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3ECE1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color w:val="auto"/>
        </w:rPr>
      </w:pPr>
    </w:p>
    <w:p w14:paraId="7F744899">
      <w:pPr>
        <w:keepNext w:val="0"/>
        <w:keepLines w:val="0"/>
        <w:pageBreakBefore w:val="0"/>
        <w:widowControl w:val="0"/>
        <w:kinsoku/>
        <w:wordWrap/>
        <w:overflowPunct/>
        <w:topLinePunct w:val="0"/>
        <w:autoSpaceDE/>
        <w:autoSpaceDN/>
        <w:bidi w:val="0"/>
        <w:adjustRightInd w:val="0"/>
        <w:snapToGrid w:val="0"/>
        <w:spacing w:line="360" w:lineRule="auto"/>
        <w:textAlignment w:val="auto"/>
        <w:rPr>
          <w:color w:val="auto"/>
        </w:rPr>
      </w:pPr>
    </w:p>
    <w:p w14:paraId="2B122166">
      <w:pPr>
        <w:keepNext w:val="0"/>
        <w:keepLines w:val="0"/>
        <w:pageBreakBefore w:val="0"/>
        <w:widowControl w:val="0"/>
        <w:kinsoku/>
        <w:wordWrap/>
        <w:overflowPunct/>
        <w:topLinePunct w:val="0"/>
        <w:autoSpaceDE/>
        <w:autoSpaceDN/>
        <w:bidi w:val="0"/>
        <w:adjustRightInd w:val="0"/>
        <w:snapToGrid w:val="0"/>
        <w:spacing w:line="360" w:lineRule="auto"/>
        <w:textAlignment w:val="auto"/>
        <w:rPr>
          <w:color w:val="auto"/>
        </w:rPr>
      </w:pPr>
    </w:p>
    <w:p w14:paraId="5DF1FF59">
      <w:pPr>
        <w:keepNext w:val="0"/>
        <w:keepLines w:val="0"/>
        <w:pageBreakBefore w:val="0"/>
        <w:widowControl w:val="0"/>
        <w:kinsoku/>
        <w:wordWrap/>
        <w:overflowPunct/>
        <w:topLinePunct w:val="0"/>
        <w:autoSpaceDE/>
        <w:autoSpaceDN/>
        <w:bidi w:val="0"/>
        <w:adjustRightInd w:val="0"/>
        <w:snapToGrid w:val="0"/>
        <w:textAlignment w:val="auto"/>
        <w:rPr>
          <w:color w:val="auto"/>
        </w:rPr>
      </w:pPr>
    </w:p>
    <w:p w14:paraId="71981DCB">
      <w:pPr>
        <w:keepNext w:val="0"/>
        <w:keepLines w:val="0"/>
        <w:pageBreakBefore w:val="0"/>
        <w:widowControl w:val="0"/>
        <w:kinsoku/>
        <w:wordWrap/>
        <w:overflowPunct/>
        <w:topLinePunct w:val="0"/>
        <w:autoSpaceDE/>
        <w:autoSpaceDN/>
        <w:bidi w:val="0"/>
        <w:adjustRightInd w:val="0"/>
        <w:snapToGrid w:val="0"/>
        <w:textAlignment w:val="auto"/>
        <w:rPr>
          <w:color w:val="auto"/>
        </w:rPr>
      </w:pPr>
    </w:p>
    <w:p w14:paraId="73BBE97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outlineLvl w:val="0"/>
        <w:rPr>
          <w:rFonts w:eastAsia="方正小标宋_GBK"/>
          <w:bCs/>
          <w:color w:val="auto"/>
          <w:sz w:val="72"/>
          <w:szCs w:val="72"/>
        </w:rPr>
      </w:pPr>
      <w:bookmarkStart w:id="0" w:name="_Toc24352"/>
      <w:bookmarkStart w:id="1" w:name="_Toc24054"/>
      <w:bookmarkStart w:id="2" w:name="_Toc24364"/>
      <w:bookmarkStart w:id="3" w:name="_Toc24985"/>
      <w:bookmarkStart w:id="4" w:name="_Toc25280"/>
      <w:r>
        <w:rPr>
          <w:rFonts w:eastAsia="黑体"/>
          <w:bCs/>
          <w:color w:val="auto"/>
          <w:sz w:val="72"/>
          <w:szCs w:val="72"/>
        </w:rPr>
        <w:t>建设项目环境影响报告表</w:t>
      </w:r>
      <w:bookmarkEnd w:id="0"/>
      <w:bookmarkEnd w:id="1"/>
      <w:bookmarkEnd w:id="2"/>
      <w:bookmarkEnd w:id="3"/>
      <w:bookmarkEnd w:id="4"/>
    </w:p>
    <w:p w14:paraId="0AF913E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eastAsia="楷体_GB2312"/>
          <w:bCs/>
          <w:color w:val="auto"/>
          <w:sz w:val="48"/>
          <w:szCs w:val="48"/>
        </w:rPr>
      </w:pPr>
      <w:r>
        <w:rPr>
          <w:rFonts w:eastAsia="楷体_GB2312"/>
          <w:bCs/>
          <w:color w:val="auto"/>
          <w:sz w:val="48"/>
          <w:szCs w:val="48"/>
        </w:rPr>
        <w:t>（污染影响类）</w:t>
      </w:r>
    </w:p>
    <w:p w14:paraId="1AF360ED">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color w:val="auto"/>
        </w:rPr>
      </w:pPr>
      <w:r>
        <w:rPr>
          <w:rFonts w:hint="eastAsia" w:eastAsia="楷体_GB2312"/>
          <w:bCs/>
          <w:color w:val="auto"/>
          <w:sz w:val="48"/>
          <w:szCs w:val="48"/>
          <w:lang w:eastAsia="zh-CN"/>
        </w:rPr>
        <w:t>（</w:t>
      </w:r>
      <w:r>
        <w:rPr>
          <w:rFonts w:hint="eastAsia" w:eastAsia="楷体_GB2312"/>
          <w:bCs/>
          <w:color w:val="auto"/>
          <w:sz w:val="48"/>
          <w:szCs w:val="48"/>
          <w:lang w:val="en-US" w:eastAsia="zh-CN"/>
        </w:rPr>
        <w:t>送审稿</w:t>
      </w:r>
      <w:r>
        <w:rPr>
          <w:rFonts w:hint="eastAsia" w:eastAsia="楷体_GB2312"/>
          <w:bCs/>
          <w:color w:val="auto"/>
          <w:sz w:val="48"/>
          <w:szCs w:val="48"/>
          <w:lang w:eastAsia="zh-CN"/>
        </w:rPr>
        <w:t>）</w:t>
      </w:r>
    </w:p>
    <w:p w14:paraId="612DA05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color w:val="auto"/>
        </w:rPr>
      </w:pPr>
    </w:p>
    <w:p w14:paraId="26EB2D6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color w:val="auto"/>
        </w:rPr>
      </w:pPr>
    </w:p>
    <w:p w14:paraId="31DF0D2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color w:val="auto"/>
        </w:rPr>
      </w:pPr>
    </w:p>
    <w:p w14:paraId="3730700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color w:val="auto"/>
        </w:rPr>
      </w:pPr>
    </w:p>
    <w:p w14:paraId="1FA3AC5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color w:val="auto"/>
        </w:rPr>
      </w:pPr>
    </w:p>
    <w:p w14:paraId="0CB171C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color w:val="auto"/>
        </w:rPr>
      </w:pPr>
    </w:p>
    <w:p w14:paraId="1AF3888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color w:val="auto"/>
        </w:rPr>
      </w:pPr>
    </w:p>
    <w:p w14:paraId="65DE188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color w:val="auto"/>
        </w:rPr>
      </w:pPr>
    </w:p>
    <w:p w14:paraId="1A7B006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color w:val="auto"/>
        </w:rPr>
      </w:pPr>
    </w:p>
    <w:p w14:paraId="29946AB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ascii="仿宋_GB2312" w:eastAsia="仿宋_GB2312"/>
          <w:color w:val="auto"/>
          <w:sz w:val="36"/>
          <w:szCs w:val="36"/>
          <w:u w:val="single"/>
          <w:lang w:val="en-US"/>
        </w:rPr>
      </w:pPr>
      <w:r>
        <w:rPr>
          <w:rFonts w:hint="eastAsia" w:ascii="仿宋_GB2312" w:eastAsia="仿宋_GB2312"/>
          <w:color w:val="auto"/>
          <w:sz w:val="36"/>
          <w:szCs w:val="36"/>
        </w:rPr>
        <w:t>项目名称：</w:t>
      </w:r>
      <w:r>
        <w:rPr>
          <w:rFonts w:hint="eastAsia" w:ascii="仿宋_GB2312" w:eastAsia="仿宋_GB2312"/>
          <w:color w:val="auto"/>
          <w:sz w:val="36"/>
          <w:szCs w:val="36"/>
          <w:u w:val="single"/>
          <w:lang w:val="en-US" w:eastAsia="zh-CN"/>
        </w:rPr>
        <w:t>年产220套金属制品加工专用设备制造项目</w:t>
      </w:r>
    </w:p>
    <w:p w14:paraId="11B0796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ascii="仿宋_GB2312" w:eastAsia="仿宋_GB2312"/>
          <w:color w:val="auto"/>
          <w:sz w:val="36"/>
          <w:szCs w:val="36"/>
          <w:u w:val="single"/>
          <w:lang w:val="en-US"/>
        </w:rPr>
      </w:pPr>
      <w:r>
        <w:rPr>
          <w:rFonts w:hint="eastAsia" w:ascii="仿宋_GB2312" w:eastAsia="仿宋_GB2312"/>
          <w:color w:val="auto"/>
          <w:sz w:val="36"/>
          <w:szCs w:val="36"/>
        </w:rPr>
        <w:t>建设单位（盖章）：</w:t>
      </w:r>
      <w:r>
        <w:rPr>
          <w:rFonts w:hint="eastAsia" w:ascii="仿宋_GB2312" w:eastAsia="仿宋_GB2312"/>
          <w:color w:val="auto"/>
          <w:sz w:val="36"/>
          <w:szCs w:val="36"/>
          <w:u w:val="single"/>
          <w:lang w:val="en-US" w:eastAsia="zh-CN"/>
        </w:rPr>
        <w:t xml:space="preserve">  安徽丰平智能装备有限公司    </w:t>
      </w:r>
    </w:p>
    <w:p w14:paraId="44CDAB8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ascii="仿宋_GB2312" w:eastAsia="仿宋_GB2312"/>
          <w:color w:val="auto"/>
          <w:sz w:val="36"/>
          <w:szCs w:val="36"/>
          <w:u w:val="single"/>
          <w:lang w:val="en-US"/>
        </w:rPr>
      </w:pPr>
      <w:r>
        <w:rPr>
          <w:rFonts w:hint="eastAsia" w:ascii="仿宋_GB2312" w:eastAsia="仿宋_GB2312"/>
          <w:color w:val="auto"/>
          <w:sz w:val="36"/>
          <w:szCs w:val="36"/>
        </w:rPr>
        <w:t>编制日期：</w:t>
      </w:r>
      <w:r>
        <w:rPr>
          <w:rFonts w:hint="eastAsia" w:ascii="仿宋_GB2312" w:eastAsia="仿宋_GB2312"/>
          <w:color w:val="auto"/>
          <w:sz w:val="36"/>
          <w:szCs w:val="36"/>
          <w:u w:val="single"/>
          <w:lang w:val="en-US" w:eastAsia="zh-CN"/>
        </w:rPr>
        <w:t xml:space="preserve">             </w:t>
      </w:r>
      <w:r>
        <w:rPr>
          <w:rFonts w:hint="default" w:ascii="Times New Roman" w:hAnsi="Times New Roman" w:eastAsia="仿宋_GB2312" w:cs="Times New Roman"/>
          <w:color w:val="auto"/>
          <w:sz w:val="36"/>
          <w:szCs w:val="36"/>
          <w:u w:val="single"/>
          <w:lang w:val="en-US" w:eastAsia="zh-CN"/>
        </w:rPr>
        <w:t>202</w:t>
      </w:r>
      <w:r>
        <w:rPr>
          <w:rFonts w:hint="eastAsia" w:eastAsia="仿宋_GB2312" w:cs="Times New Roman"/>
          <w:color w:val="auto"/>
          <w:sz w:val="36"/>
          <w:szCs w:val="36"/>
          <w:u w:val="single"/>
          <w:lang w:val="en-US" w:eastAsia="zh-CN"/>
        </w:rPr>
        <w:t>6</w:t>
      </w:r>
      <w:r>
        <w:rPr>
          <w:rFonts w:hint="default" w:ascii="Times New Roman" w:hAnsi="Times New Roman" w:eastAsia="仿宋_GB2312" w:cs="Times New Roman"/>
          <w:color w:val="auto"/>
          <w:sz w:val="36"/>
          <w:szCs w:val="36"/>
          <w:u w:val="single"/>
          <w:lang w:val="en-US" w:eastAsia="zh-CN"/>
        </w:rPr>
        <w:t>年</w:t>
      </w:r>
      <w:r>
        <w:rPr>
          <w:rFonts w:hint="eastAsia" w:eastAsia="仿宋_GB2312" w:cs="Times New Roman"/>
          <w:color w:val="auto"/>
          <w:sz w:val="36"/>
          <w:szCs w:val="36"/>
          <w:u w:val="single"/>
          <w:lang w:val="en-US" w:eastAsia="zh-CN"/>
        </w:rPr>
        <w:t>3</w:t>
      </w:r>
      <w:r>
        <w:rPr>
          <w:rFonts w:hint="default" w:ascii="Times New Roman" w:hAnsi="Times New Roman" w:eastAsia="仿宋_GB2312" w:cs="Times New Roman"/>
          <w:color w:val="auto"/>
          <w:sz w:val="36"/>
          <w:szCs w:val="36"/>
          <w:u w:val="single"/>
          <w:lang w:val="en-US" w:eastAsia="zh-CN"/>
        </w:rPr>
        <w:t>月</w:t>
      </w:r>
      <w:r>
        <w:rPr>
          <w:rFonts w:hint="eastAsia" w:eastAsia="仿宋_GB2312" w:cs="Times New Roman"/>
          <w:color w:val="auto"/>
          <w:sz w:val="36"/>
          <w:szCs w:val="36"/>
          <w:u w:val="single"/>
          <w:lang w:val="en-US" w:eastAsia="zh-CN"/>
        </w:rPr>
        <w:t xml:space="preserve">              </w:t>
      </w:r>
    </w:p>
    <w:p w14:paraId="35C45E3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eastAsia="仿宋_GB2312"/>
          <w:color w:val="auto"/>
          <w:sz w:val="36"/>
          <w:szCs w:val="36"/>
        </w:rPr>
      </w:pPr>
      <w:bookmarkStart w:id="5" w:name="_Hlk57884087"/>
    </w:p>
    <w:p w14:paraId="76DF9B0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color w:val="auto"/>
        </w:rPr>
      </w:pPr>
    </w:p>
    <w:p w14:paraId="626D63C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eastAsia="仿宋_GB2312"/>
          <w:color w:val="auto"/>
          <w:sz w:val="36"/>
          <w:szCs w:val="36"/>
        </w:rPr>
      </w:pPr>
    </w:p>
    <w:bookmarkEnd w:id="5"/>
    <w:p w14:paraId="2CAE62BE">
      <w:pPr>
        <w:adjustRightInd w:val="0"/>
        <w:snapToGrid w:val="0"/>
        <w:spacing w:line="288" w:lineRule="auto"/>
        <w:ind w:left="0" w:leftChars="0" w:firstLine="0" w:firstLineChars="0"/>
        <w:jc w:val="center"/>
        <w:rPr>
          <w:rFonts w:hint="eastAsia" w:ascii="楷体_GB2312" w:eastAsia="楷体_GB2312"/>
          <w:color w:val="auto"/>
          <w:sz w:val="36"/>
          <w:szCs w:val="36"/>
        </w:rPr>
      </w:pPr>
      <w:r>
        <w:rPr>
          <w:rFonts w:hint="eastAsia" w:ascii="楷体_GB2312" w:eastAsia="楷体_GB2312"/>
          <w:color w:val="auto"/>
          <w:sz w:val="36"/>
          <w:szCs w:val="36"/>
        </w:rPr>
        <w:t>中华人民共和国生态环境部制</w:t>
      </w:r>
    </w:p>
    <w:p w14:paraId="0F83B4BD">
      <w:pPr>
        <w:pStyle w:val="5"/>
        <w:ind w:left="0" w:leftChars="0" w:firstLine="0" w:firstLineChars="0"/>
        <w:rPr>
          <w:rFonts w:hint="eastAsia"/>
          <w:color w:val="auto"/>
        </w:rPr>
        <w:sectPr>
          <w:headerReference r:id="rId5" w:type="default"/>
          <w:footerReference r:id="rId6" w:type="default"/>
          <w:pgSz w:w="11905" w:h="16838"/>
          <w:pgMar w:top="1701" w:right="1531" w:bottom="1701" w:left="1531" w:header="850" w:footer="850" w:gutter="0"/>
          <w:pgBorders>
            <w:top w:val="none" w:sz="0" w:space="0"/>
            <w:left w:val="none" w:sz="0" w:space="0"/>
            <w:bottom w:val="none" w:sz="0" w:space="0"/>
            <w:right w:val="none" w:sz="0" w:space="0"/>
          </w:pgBorders>
          <w:pgNumType w:fmt="decimal"/>
          <w:cols w:space="720" w:num="1"/>
          <w:rtlGutter w:val="0"/>
          <w:docGrid w:linePitch="312" w:charSpace="0"/>
        </w:sectPr>
      </w:pPr>
    </w:p>
    <w:p w14:paraId="6428272B">
      <w:pPr>
        <w:pStyle w:val="4"/>
        <w:bidi w:val="0"/>
        <w:spacing w:line="360" w:lineRule="auto"/>
        <w:jc w:val="center"/>
        <w:rPr>
          <w:color w:val="auto"/>
        </w:rPr>
      </w:pPr>
      <w:r>
        <w:rPr>
          <w:rFonts w:hint="eastAsia"/>
          <w:color w:val="auto"/>
          <w:lang w:val="en-US" w:eastAsia="zh-CN"/>
        </w:rPr>
        <w:t>一、建设项目基本情况</w:t>
      </w:r>
    </w:p>
    <w:tbl>
      <w:tblPr>
        <w:tblStyle w:val="31"/>
        <w:tblW w:w="95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269"/>
        <w:gridCol w:w="3011"/>
        <w:gridCol w:w="1797"/>
        <w:gridCol w:w="3441"/>
      </w:tblGrid>
      <w:tr w14:paraId="30528E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80" w:hRule="atLeast"/>
          <w:jc w:val="center"/>
        </w:trPr>
        <w:tc>
          <w:tcPr>
            <w:tcW w:w="1269" w:type="dxa"/>
            <w:tcBorders>
              <w:tl2br w:val="nil"/>
              <w:tr2bl w:val="nil"/>
            </w:tcBorders>
            <w:noWrap w:val="0"/>
            <w:tcMar>
              <w:top w:w="16" w:type="dxa"/>
              <w:left w:w="16" w:type="dxa"/>
              <w:right w:w="16" w:type="dxa"/>
            </w:tcMar>
            <w:vAlign w:val="center"/>
          </w:tcPr>
          <w:p w14:paraId="662B9A36">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建设项目名称</w:t>
            </w:r>
          </w:p>
        </w:tc>
        <w:tc>
          <w:tcPr>
            <w:tcW w:w="8249" w:type="dxa"/>
            <w:gridSpan w:val="3"/>
            <w:tcBorders>
              <w:tl2br w:val="nil"/>
              <w:tr2bl w:val="nil"/>
            </w:tcBorders>
            <w:noWrap w:val="0"/>
            <w:vAlign w:val="center"/>
          </w:tcPr>
          <w:p w14:paraId="43B86DD8">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年产220套金属制品加工专用设备制造项目</w:t>
            </w:r>
          </w:p>
        </w:tc>
      </w:tr>
      <w:tr w14:paraId="560F56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379" w:hRule="atLeast"/>
          <w:jc w:val="center"/>
        </w:trPr>
        <w:tc>
          <w:tcPr>
            <w:tcW w:w="1269" w:type="dxa"/>
            <w:tcBorders>
              <w:tl2br w:val="nil"/>
              <w:tr2bl w:val="nil"/>
            </w:tcBorders>
            <w:noWrap w:val="0"/>
            <w:tcMar>
              <w:top w:w="16" w:type="dxa"/>
              <w:left w:w="16" w:type="dxa"/>
              <w:right w:w="16" w:type="dxa"/>
            </w:tcMar>
            <w:vAlign w:val="center"/>
          </w:tcPr>
          <w:p w14:paraId="3BFD62F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项目代码</w:t>
            </w:r>
          </w:p>
        </w:tc>
        <w:tc>
          <w:tcPr>
            <w:tcW w:w="8249" w:type="dxa"/>
            <w:gridSpan w:val="3"/>
            <w:tcBorders>
              <w:tl2br w:val="nil"/>
              <w:tr2bl w:val="nil"/>
            </w:tcBorders>
            <w:noWrap w:val="0"/>
            <w:vAlign w:val="center"/>
          </w:tcPr>
          <w:p w14:paraId="59F1F8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rPr>
              <w:t>2</w:t>
            </w:r>
            <w:r>
              <w:rPr>
                <w:rFonts w:hint="default" w:ascii="Times New Roman" w:hAnsi="Times New Roman" w:cs="Times New Roman"/>
                <w:color w:val="auto"/>
                <w:sz w:val="24"/>
                <w:lang w:val="en-US" w:eastAsia="zh-CN"/>
              </w:rPr>
              <w:t>311-341723-04-01-889515</w:t>
            </w:r>
          </w:p>
        </w:tc>
      </w:tr>
      <w:tr w14:paraId="75524C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0" w:hRule="atLeast"/>
          <w:jc w:val="center"/>
        </w:trPr>
        <w:tc>
          <w:tcPr>
            <w:tcW w:w="1269" w:type="dxa"/>
            <w:tcBorders>
              <w:tl2br w:val="nil"/>
              <w:tr2bl w:val="nil"/>
            </w:tcBorders>
            <w:noWrap w:val="0"/>
            <w:tcMar>
              <w:top w:w="16" w:type="dxa"/>
              <w:left w:w="16" w:type="dxa"/>
              <w:right w:w="16" w:type="dxa"/>
            </w:tcMar>
            <w:vAlign w:val="center"/>
          </w:tcPr>
          <w:p w14:paraId="1C5609DB">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建设单位联系人</w:t>
            </w:r>
          </w:p>
        </w:tc>
        <w:tc>
          <w:tcPr>
            <w:tcW w:w="3011" w:type="dxa"/>
            <w:tcBorders>
              <w:tl2br w:val="nil"/>
              <w:tr2bl w:val="nil"/>
            </w:tcBorders>
            <w:noWrap w:val="0"/>
            <w:vAlign w:val="center"/>
          </w:tcPr>
          <w:p w14:paraId="134632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lang w:val="en-US" w:eastAsia="zh-CN"/>
              </w:rPr>
              <w:t>陈婷婷</w:t>
            </w:r>
          </w:p>
        </w:tc>
        <w:tc>
          <w:tcPr>
            <w:tcW w:w="1797" w:type="dxa"/>
            <w:tcBorders>
              <w:tl2br w:val="nil"/>
              <w:tr2bl w:val="nil"/>
            </w:tcBorders>
            <w:noWrap w:val="0"/>
            <w:vAlign w:val="center"/>
          </w:tcPr>
          <w:p w14:paraId="4FE031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rPr>
              <w:t>联系方式</w:t>
            </w:r>
          </w:p>
        </w:tc>
        <w:tc>
          <w:tcPr>
            <w:tcW w:w="3441" w:type="dxa"/>
            <w:tcBorders>
              <w:tl2br w:val="nil"/>
              <w:tr2bl w:val="nil"/>
            </w:tcBorders>
            <w:noWrap w:val="0"/>
            <w:vAlign w:val="center"/>
          </w:tcPr>
          <w:p w14:paraId="56AEB4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rPr>
              <w:t>17768500751</w:t>
            </w:r>
          </w:p>
        </w:tc>
      </w:tr>
      <w:tr w14:paraId="6EE532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8" w:hRule="atLeast"/>
          <w:jc w:val="center"/>
        </w:trPr>
        <w:tc>
          <w:tcPr>
            <w:tcW w:w="1269" w:type="dxa"/>
            <w:tcBorders>
              <w:tl2br w:val="nil"/>
              <w:tr2bl w:val="nil"/>
            </w:tcBorders>
            <w:noWrap w:val="0"/>
            <w:tcMar>
              <w:top w:w="16" w:type="dxa"/>
              <w:left w:w="16" w:type="dxa"/>
              <w:right w:w="16" w:type="dxa"/>
            </w:tcMar>
            <w:vAlign w:val="center"/>
          </w:tcPr>
          <w:p w14:paraId="0A16115B">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建设地点</w:t>
            </w:r>
          </w:p>
        </w:tc>
        <w:tc>
          <w:tcPr>
            <w:tcW w:w="8249" w:type="dxa"/>
            <w:gridSpan w:val="3"/>
            <w:tcBorders>
              <w:tl2br w:val="nil"/>
              <w:tr2bl w:val="nil"/>
            </w:tcBorders>
            <w:noWrap w:val="0"/>
            <w:vAlign w:val="center"/>
          </w:tcPr>
          <w:p w14:paraId="6CDAD9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u w:val="single"/>
                <w:lang w:val="en-US" w:eastAsia="zh-CN"/>
              </w:rPr>
              <w:t>安徽</w:t>
            </w:r>
            <w:r>
              <w:rPr>
                <w:rFonts w:hint="default" w:ascii="Times New Roman" w:hAnsi="Times New Roman" w:cs="Times New Roman"/>
                <w:color w:val="auto"/>
                <w:sz w:val="24"/>
                <w:szCs w:val="24"/>
              </w:rPr>
              <w:t>省</w:t>
            </w:r>
            <w:r>
              <w:rPr>
                <w:rFonts w:hint="default" w:ascii="Times New Roman" w:hAnsi="Times New Roman" w:cs="Times New Roman"/>
                <w:color w:val="auto"/>
                <w:sz w:val="24"/>
                <w:szCs w:val="24"/>
                <w:u w:val="single"/>
                <w:lang w:val="en-US" w:eastAsia="zh-CN"/>
              </w:rPr>
              <w:t>池州</w:t>
            </w:r>
            <w:r>
              <w:rPr>
                <w:rFonts w:hint="default" w:ascii="Times New Roman" w:hAnsi="Times New Roman" w:cs="Times New Roman"/>
                <w:color w:val="auto"/>
                <w:sz w:val="24"/>
                <w:szCs w:val="24"/>
              </w:rPr>
              <w:t>市</w:t>
            </w:r>
            <w:r>
              <w:rPr>
                <w:rFonts w:hint="default" w:ascii="Times New Roman" w:hAnsi="Times New Roman" w:cs="Times New Roman"/>
                <w:color w:val="auto"/>
                <w:sz w:val="24"/>
                <w:szCs w:val="24"/>
                <w:u w:val="single"/>
                <w:lang w:val="en-US" w:eastAsia="zh-CN"/>
              </w:rPr>
              <w:t>青阳</w:t>
            </w:r>
            <w:r>
              <w:rPr>
                <w:rFonts w:hint="default" w:ascii="Times New Roman" w:hAnsi="Times New Roman" w:cs="Times New Roman"/>
                <w:color w:val="auto"/>
                <w:sz w:val="24"/>
                <w:szCs w:val="24"/>
              </w:rPr>
              <w:t>县</w:t>
            </w:r>
            <w:r>
              <w:rPr>
                <w:rFonts w:hint="default" w:ascii="Times New Roman" w:hAnsi="Times New Roman" w:cs="Times New Roman"/>
                <w:color w:val="auto"/>
                <w:sz w:val="24"/>
                <w:szCs w:val="24"/>
                <w:u w:val="single"/>
                <w:lang w:val="en-US" w:eastAsia="zh-CN"/>
              </w:rPr>
              <w:t>经济开发区东河园区</w:t>
            </w:r>
          </w:p>
        </w:tc>
      </w:tr>
      <w:tr w14:paraId="135DF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24" w:hRule="atLeast"/>
          <w:jc w:val="center"/>
        </w:trPr>
        <w:tc>
          <w:tcPr>
            <w:tcW w:w="1269" w:type="dxa"/>
            <w:tcBorders>
              <w:tl2br w:val="nil"/>
              <w:tr2bl w:val="nil"/>
            </w:tcBorders>
            <w:noWrap w:val="0"/>
            <w:tcMar>
              <w:top w:w="16" w:type="dxa"/>
              <w:left w:w="16" w:type="dxa"/>
              <w:right w:w="16" w:type="dxa"/>
            </w:tcMar>
            <w:vAlign w:val="center"/>
          </w:tcPr>
          <w:p w14:paraId="3B8F80EC">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地理坐标</w:t>
            </w:r>
          </w:p>
        </w:tc>
        <w:tc>
          <w:tcPr>
            <w:tcW w:w="8249" w:type="dxa"/>
            <w:gridSpan w:val="3"/>
            <w:tcBorders>
              <w:tl2br w:val="nil"/>
              <w:tr2bl w:val="nil"/>
            </w:tcBorders>
            <w:noWrap w:val="0"/>
            <w:vAlign w:val="center"/>
          </w:tcPr>
          <w:p w14:paraId="4CF8E9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u w:val="single"/>
                <w:lang w:val="en-US" w:eastAsia="zh-CN"/>
              </w:rPr>
              <w:t>117</w:t>
            </w:r>
            <w:r>
              <w:rPr>
                <w:rFonts w:hint="default" w:ascii="Times New Roman" w:hAnsi="Times New Roman" w:cs="Times New Roman"/>
                <w:color w:val="auto"/>
                <w:sz w:val="24"/>
                <w:szCs w:val="24"/>
              </w:rPr>
              <w:t>度</w:t>
            </w:r>
            <w:r>
              <w:rPr>
                <w:rFonts w:hint="default" w:ascii="Times New Roman" w:hAnsi="Times New Roman" w:cs="Times New Roman"/>
                <w:color w:val="auto"/>
                <w:sz w:val="24"/>
                <w:szCs w:val="24"/>
                <w:u w:val="single"/>
                <w:lang w:val="en-US" w:eastAsia="zh-CN"/>
              </w:rPr>
              <w:t>53</w:t>
            </w:r>
            <w:r>
              <w:rPr>
                <w:rFonts w:hint="default" w:ascii="Times New Roman" w:hAnsi="Times New Roman" w:cs="Times New Roman"/>
                <w:color w:val="auto"/>
                <w:sz w:val="24"/>
                <w:szCs w:val="24"/>
              </w:rPr>
              <w:t>分</w:t>
            </w:r>
            <w:r>
              <w:rPr>
                <w:rFonts w:hint="default" w:ascii="Times New Roman" w:hAnsi="Times New Roman" w:cs="Times New Roman"/>
                <w:color w:val="auto"/>
                <w:sz w:val="24"/>
                <w:szCs w:val="24"/>
                <w:u w:val="single"/>
                <w:lang w:val="en-US" w:eastAsia="zh-CN"/>
              </w:rPr>
              <w:t>37.890</w:t>
            </w:r>
            <w:r>
              <w:rPr>
                <w:rFonts w:hint="default" w:ascii="Times New Roman" w:hAnsi="Times New Roman" w:cs="Times New Roman"/>
                <w:color w:val="auto"/>
                <w:sz w:val="24"/>
                <w:szCs w:val="24"/>
              </w:rPr>
              <w:t>秒，</w:t>
            </w:r>
            <w:r>
              <w:rPr>
                <w:rFonts w:hint="default" w:ascii="Times New Roman" w:hAnsi="Times New Roman" w:cs="Times New Roman"/>
                <w:color w:val="auto"/>
                <w:sz w:val="24"/>
                <w:szCs w:val="24"/>
                <w:u w:val="single"/>
                <w:lang w:val="en-US" w:eastAsia="zh-CN"/>
              </w:rPr>
              <w:t>30</w:t>
            </w:r>
            <w:r>
              <w:rPr>
                <w:rFonts w:hint="default" w:ascii="Times New Roman" w:hAnsi="Times New Roman" w:cs="Times New Roman"/>
                <w:color w:val="auto"/>
                <w:sz w:val="24"/>
                <w:szCs w:val="24"/>
              </w:rPr>
              <w:t>度</w:t>
            </w:r>
            <w:r>
              <w:rPr>
                <w:rFonts w:hint="default" w:ascii="Times New Roman" w:hAnsi="Times New Roman" w:cs="Times New Roman"/>
                <w:color w:val="auto"/>
                <w:sz w:val="24"/>
                <w:szCs w:val="24"/>
                <w:u w:val="single"/>
                <w:lang w:val="en-US" w:eastAsia="zh-CN"/>
              </w:rPr>
              <w:t>38</w:t>
            </w:r>
            <w:r>
              <w:rPr>
                <w:rFonts w:hint="default" w:ascii="Times New Roman" w:hAnsi="Times New Roman" w:cs="Times New Roman"/>
                <w:color w:val="auto"/>
                <w:sz w:val="24"/>
                <w:szCs w:val="24"/>
              </w:rPr>
              <w:t>分</w:t>
            </w:r>
            <w:r>
              <w:rPr>
                <w:rFonts w:hint="default" w:ascii="Times New Roman" w:hAnsi="Times New Roman" w:cs="Times New Roman"/>
                <w:color w:val="auto"/>
                <w:sz w:val="24"/>
                <w:szCs w:val="24"/>
                <w:u w:val="single"/>
                <w:lang w:val="en-US" w:eastAsia="zh-CN"/>
              </w:rPr>
              <w:t>4.668</w:t>
            </w:r>
            <w:r>
              <w:rPr>
                <w:rFonts w:hint="default" w:ascii="Times New Roman" w:hAnsi="Times New Roman" w:cs="Times New Roman"/>
                <w:color w:val="auto"/>
                <w:sz w:val="24"/>
                <w:szCs w:val="24"/>
              </w:rPr>
              <w:t>秒）</w:t>
            </w:r>
          </w:p>
        </w:tc>
      </w:tr>
      <w:tr w14:paraId="486283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269" w:type="dxa"/>
            <w:tcBorders>
              <w:tl2br w:val="nil"/>
              <w:tr2bl w:val="nil"/>
            </w:tcBorders>
            <w:noWrap w:val="0"/>
            <w:tcMar>
              <w:top w:w="16" w:type="dxa"/>
              <w:left w:w="16" w:type="dxa"/>
              <w:right w:w="16" w:type="dxa"/>
            </w:tcMar>
            <w:vAlign w:val="center"/>
          </w:tcPr>
          <w:p w14:paraId="1AB50931">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国民经济行业类别</w:t>
            </w:r>
          </w:p>
        </w:tc>
        <w:tc>
          <w:tcPr>
            <w:tcW w:w="3011" w:type="dxa"/>
            <w:tcBorders>
              <w:tl2br w:val="nil"/>
              <w:tr2bl w:val="nil"/>
            </w:tcBorders>
            <w:noWrap w:val="0"/>
            <w:vAlign w:val="center"/>
          </w:tcPr>
          <w:p w14:paraId="3507B4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C3422</w:t>
            </w:r>
            <w:r>
              <w:rPr>
                <w:rFonts w:hint="eastAsia" w:cs="Times New Roman"/>
                <w:color w:val="auto"/>
                <w:sz w:val="24"/>
                <w:szCs w:val="24"/>
                <w:highlight w:val="none"/>
                <w:vertAlign w:val="baseline"/>
                <w:lang w:val="en-US" w:eastAsia="zh-CN"/>
              </w:rPr>
              <w:t>金属成形</w:t>
            </w:r>
            <w:r>
              <w:rPr>
                <w:rFonts w:hint="eastAsia" w:ascii="Times New Roman" w:hAnsi="Times New Roman" w:eastAsia="宋体" w:cs="Times New Roman"/>
                <w:color w:val="auto"/>
                <w:sz w:val="24"/>
                <w:szCs w:val="24"/>
                <w:highlight w:val="none"/>
                <w:vertAlign w:val="baseline"/>
                <w:lang w:val="en-US" w:eastAsia="zh-CN"/>
              </w:rPr>
              <w:t>机床制造</w:t>
            </w:r>
          </w:p>
          <w:p w14:paraId="61949B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C</w:t>
            </w:r>
            <w:r>
              <w:rPr>
                <w:rFonts w:hint="default" w:ascii="Times New Roman" w:hAnsi="Times New Roman" w:eastAsia="宋体" w:cs="Times New Roman"/>
                <w:color w:val="auto"/>
                <w:sz w:val="24"/>
                <w:szCs w:val="24"/>
                <w:highlight w:val="none"/>
                <w:vertAlign w:val="baseline"/>
                <w:lang w:val="en-US" w:eastAsia="zh-CN"/>
              </w:rPr>
              <w:t>3423铸造机械制造</w:t>
            </w:r>
          </w:p>
          <w:p w14:paraId="7F5614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b w:val="0"/>
                <w:bCs w:val="0"/>
                <w:color w:val="auto"/>
                <w:sz w:val="24"/>
                <w:szCs w:val="24"/>
                <w:lang w:val="en-US" w:eastAsia="zh-CN"/>
              </w:rPr>
            </w:pPr>
            <w:r>
              <w:rPr>
                <w:rFonts w:hint="eastAsia" w:ascii="Times New Roman" w:hAnsi="Times New Roman" w:eastAsia="宋体" w:cs="Times New Roman"/>
                <w:color w:val="auto"/>
                <w:sz w:val="24"/>
                <w:szCs w:val="24"/>
                <w:highlight w:val="none"/>
                <w:vertAlign w:val="baseline"/>
                <w:lang w:val="en-US" w:eastAsia="zh-CN"/>
              </w:rPr>
              <w:t>C</w:t>
            </w:r>
            <w:r>
              <w:rPr>
                <w:rFonts w:hint="default" w:ascii="Times New Roman" w:hAnsi="Times New Roman" w:eastAsia="宋体" w:cs="Times New Roman"/>
                <w:color w:val="auto"/>
                <w:sz w:val="24"/>
                <w:szCs w:val="24"/>
                <w:highlight w:val="none"/>
                <w:vertAlign w:val="baseline"/>
                <w:lang w:val="en-US" w:eastAsia="zh-CN"/>
              </w:rPr>
              <w:t>3461烘炉、熔炉及电炉制造</w:t>
            </w:r>
          </w:p>
        </w:tc>
        <w:tc>
          <w:tcPr>
            <w:tcW w:w="1797" w:type="dxa"/>
            <w:tcBorders>
              <w:tl2br w:val="nil"/>
              <w:tr2bl w:val="nil"/>
            </w:tcBorders>
            <w:noWrap w:val="0"/>
            <w:vAlign w:val="center"/>
          </w:tcPr>
          <w:p w14:paraId="0FF3F4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建设项目</w:t>
            </w:r>
          </w:p>
          <w:p w14:paraId="74AA12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auto"/>
                <w:sz w:val="24"/>
                <w:szCs w:val="24"/>
              </w:rPr>
            </w:pPr>
            <w:r>
              <w:rPr>
                <w:rFonts w:hint="default" w:ascii="Times New Roman" w:hAnsi="Times New Roman" w:eastAsia="宋体" w:cs="Times New Roman"/>
                <w:color w:val="auto"/>
                <w:sz w:val="24"/>
                <w:szCs w:val="24"/>
              </w:rPr>
              <w:t>行业类别</w:t>
            </w:r>
          </w:p>
        </w:tc>
        <w:tc>
          <w:tcPr>
            <w:tcW w:w="3441" w:type="dxa"/>
            <w:tcBorders>
              <w:tl2br w:val="nil"/>
              <w:tr2bl w:val="nil"/>
            </w:tcBorders>
            <w:noWrap w:val="0"/>
            <w:vAlign w:val="center"/>
          </w:tcPr>
          <w:p w14:paraId="432683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b w:val="0"/>
                <w:bCs w:val="0"/>
                <w:color w:val="auto"/>
                <w:sz w:val="24"/>
                <w:szCs w:val="24"/>
                <w:lang w:val="en-US" w:eastAsia="zh-CN"/>
              </w:rPr>
            </w:pPr>
            <w:r>
              <w:rPr>
                <w:rFonts w:hint="eastAsia" w:ascii="Times New Roman" w:hAnsi="Times New Roman" w:eastAsia="宋体" w:cs="Times New Roman"/>
                <w:color w:val="auto"/>
                <w:sz w:val="24"/>
                <w:szCs w:val="24"/>
                <w:lang w:val="en-US" w:eastAsia="zh-CN"/>
              </w:rPr>
              <w:t>三十一</w:t>
            </w:r>
            <w:r>
              <w:rPr>
                <w:rFonts w:hint="default"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通用设备制造业 34 金属加工机械制造</w:t>
            </w:r>
          </w:p>
        </w:tc>
      </w:tr>
      <w:tr w14:paraId="771BC8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269" w:type="dxa"/>
            <w:tcBorders>
              <w:tl2br w:val="nil"/>
              <w:tr2bl w:val="nil"/>
            </w:tcBorders>
            <w:noWrap w:val="0"/>
            <w:tcMar>
              <w:top w:w="16" w:type="dxa"/>
              <w:left w:w="16" w:type="dxa"/>
              <w:right w:w="16" w:type="dxa"/>
            </w:tcMar>
            <w:vAlign w:val="center"/>
          </w:tcPr>
          <w:p w14:paraId="7A55C399">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建设性质</w:t>
            </w:r>
          </w:p>
        </w:tc>
        <w:tc>
          <w:tcPr>
            <w:tcW w:w="3011" w:type="dxa"/>
            <w:tcBorders>
              <w:tl2br w:val="nil"/>
              <w:tr2bl w:val="nil"/>
            </w:tcBorders>
            <w:noWrap w:val="0"/>
            <w:vAlign w:val="center"/>
          </w:tcPr>
          <w:p w14:paraId="37E456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color w:val="auto"/>
                <w:sz w:val="24"/>
                <w:szCs w:val="24"/>
              </w:rPr>
            </w:pPr>
            <w:r>
              <w:rPr>
                <w:color w:val="auto"/>
                <w:sz w:val="24"/>
                <w:szCs w:val="24"/>
              </w:rPr>
              <w:sym w:font="Wingdings" w:char="00FE"/>
            </w:r>
            <w:r>
              <w:rPr>
                <w:color w:val="auto"/>
                <w:sz w:val="24"/>
                <w:szCs w:val="24"/>
              </w:rPr>
              <w:t>新建（迁建）</w:t>
            </w:r>
          </w:p>
          <w:p w14:paraId="06D5CF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color w:val="auto"/>
                <w:sz w:val="24"/>
                <w:szCs w:val="24"/>
              </w:rPr>
            </w:pPr>
            <w:r>
              <w:rPr>
                <w:color w:val="auto"/>
                <w:sz w:val="24"/>
                <w:szCs w:val="24"/>
              </w:rPr>
              <w:sym w:font="Wingdings" w:char="00A8"/>
            </w:r>
            <w:r>
              <w:rPr>
                <w:color w:val="auto"/>
                <w:sz w:val="24"/>
                <w:szCs w:val="24"/>
              </w:rPr>
              <w:t>改建</w:t>
            </w:r>
          </w:p>
          <w:p w14:paraId="1D5C81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color w:val="auto"/>
                <w:sz w:val="24"/>
                <w:szCs w:val="24"/>
              </w:rPr>
            </w:pPr>
            <w:r>
              <w:rPr>
                <w:color w:val="auto"/>
                <w:sz w:val="24"/>
                <w:szCs w:val="24"/>
              </w:rPr>
              <w:sym w:font="Wingdings" w:char="00A8"/>
            </w:r>
            <w:r>
              <w:rPr>
                <w:rFonts w:hint="eastAsia"/>
                <w:color w:val="auto"/>
                <w:sz w:val="24"/>
                <w:szCs w:val="24"/>
              </w:rPr>
              <w:t>新建</w:t>
            </w:r>
          </w:p>
          <w:p w14:paraId="6490BD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4"/>
                <w:szCs w:val="24"/>
              </w:rPr>
            </w:pPr>
            <w:r>
              <w:rPr>
                <w:color w:val="auto"/>
                <w:sz w:val="24"/>
                <w:szCs w:val="24"/>
              </w:rPr>
              <w:sym w:font="Wingdings" w:char="00A8"/>
            </w:r>
            <w:r>
              <w:rPr>
                <w:color w:val="auto"/>
                <w:sz w:val="24"/>
                <w:szCs w:val="24"/>
              </w:rPr>
              <w:t>技术改造</w:t>
            </w:r>
          </w:p>
        </w:tc>
        <w:tc>
          <w:tcPr>
            <w:tcW w:w="1797" w:type="dxa"/>
            <w:tcBorders>
              <w:tl2br w:val="nil"/>
              <w:tr2bl w:val="nil"/>
            </w:tcBorders>
            <w:noWrap w:val="0"/>
            <w:vAlign w:val="center"/>
          </w:tcPr>
          <w:p w14:paraId="2E3330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sz w:val="24"/>
                <w:szCs w:val="24"/>
              </w:rPr>
            </w:pPr>
            <w:r>
              <w:rPr>
                <w:color w:val="auto"/>
                <w:sz w:val="24"/>
                <w:szCs w:val="24"/>
              </w:rPr>
              <w:t>建设项目</w:t>
            </w:r>
          </w:p>
          <w:p w14:paraId="69EAF5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rPr>
            </w:pPr>
            <w:r>
              <w:rPr>
                <w:color w:val="auto"/>
                <w:sz w:val="24"/>
                <w:szCs w:val="24"/>
              </w:rPr>
              <w:t>申报情形</w:t>
            </w:r>
          </w:p>
        </w:tc>
        <w:tc>
          <w:tcPr>
            <w:tcW w:w="3441" w:type="dxa"/>
            <w:tcBorders>
              <w:tl2br w:val="nil"/>
              <w:tr2bl w:val="nil"/>
            </w:tcBorders>
            <w:noWrap w:val="0"/>
            <w:vAlign w:val="center"/>
          </w:tcPr>
          <w:p w14:paraId="1B8318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color w:val="auto"/>
                <w:sz w:val="24"/>
                <w:szCs w:val="24"/>
              </w:rPr>
            </w:pPr>
            <w:r>
              <w:rPr>
                <w:color w:val="auto"/>
                <w:sz w:val="24"/>
                <w:szCs w:val="24"/>
              </w:rPr>
              <w:sym w:font="Wingdings" w:char="00FE"/>
            </w:r>
            <w:r>
              <w:rPr>
                <w:color w:val="auto"/>
                <w:sz w:val="24"/>
                <w:szCs w:val="24"/>
              </w:rPr>
              <w:t>首次申报项目</w:t>
            </w:r>
          </w:p>
          <w:p w14:paraId="661306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color w:val="auto"/>
                <w:sz w:val="24"/>
                <w:szCs w:val="24"/>
              </w:rPr>
            </w:pPr>
            <w:r>
              <w:rPr>
                <w:color w:val="auto"/>
                <w:sz w:val="24"/>
                <w:szCs w:val="24"/>
              </w:rPr>
              <w:sym w:font="Wingdings" w:char="00A8"/>
            </w:r>
            <w:r>
              <w:rPr>
                <w:color w:val="auto"/>
                <w:sz w:val="24"/>
                <w:szCs w:val="24"/>
              </w:rPr>
              <w:t>不予批准后再次申报项目</w:t>
            </w:r>
          </w:p>
          <w:p w14:paraId="3C89BD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color w:val="auto"/>
                <w:sz w:val="24"/>
                <w:szCs w:val="24"/>
              </w:rPr>
            </w:pPr>
            <w:r>
              <w:rPr>
                <w:color w:val="auto"/>
                <w:sz w:val="24"/>
                <w:szCs w:val="24"/>
              </w:rPr>
              <w:sym w:font="Wingdings" w:char="00A8"/>
            </w:r>
            <w:r>
              <w:rPr>
                <w:color w:val="auto"/>
                <w:sz w:val="24"/>
                <w:szCs w:val="24"/>
              </w:rPr>
              <w:t>超五年重新审核项目</w:t>
            </w:r>
          </w:p>
          <w:p w14:paraId="22FB82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4"/>
                <w:szCs w:val="24"/>
              </w:rPr>
            </w:pPr>
            <w:r>
              <w:rPr>
                <w:color w:val="auto"/>
                <w:sz w:val="24"/>
                <w:szCs w:val="24"/>
              </w:rPr>
              <w:sym w:font="Wingdings" w:char="00A8"/>
            </w:r>
            <w:r>
              <w:rPr>
                <w:color w:val="auto"/>
                <w:sz w:val="24"/>
                <w:szCs w:val="24"/>
              </w:rPr>
              <w:t>重大变动重新报批项目</w:t>
            </w:r>
          </w:p>
        </w:tc>
      </w:tr>
      <w:tr w14:paraId="73E18E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269" w:type="dxa"/>
            <w:tcBorders>
              <w:tl2br w:val="nil"/>
              <w:tr2bl w:val="nil"/>
            </w:tcBorders>
            <w:noWrap w:val="0"/>
            <w:tcMar>
              <w:top w:w="16" w:type="dxa"/>
              <w:left w:w="16" w:type="dxa"/>
              <w:right w:w="16" w:type="dxa"/>
            </w:tcMar>
            <w:vAlign w:val="center"/>
          </w:tcPr>
          <w:p w14:paraId="7D89AC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rPr>
            </w:pPr>
            <w:r>
              <w:rPr>
                <w:color w:val="auto"/>
                <w:sz w:val="24"/>
              </w:rPr>
              <w:t>项目审批部门</w:t>
            </w:r>
          </w:p>
        </w:tc>
        <w:tc>
          <w:tcPr>
            <w:tcW w:w="3011" w:type="dxa"/>
            <w:tcBorders>
              <w:tl2br w:val="nil"/>
              <w:tr2bl w:val="nil"/>
            </w:tcBorders>
            <w:noWrap w:val="0"/>
            <w:vAlign w:val="center"/>
          </w:tcPr>
          <w:p w14:paraId="550E4B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lang w:val="en-US" w:eastAsia="zh-CN"/>
              </w:rPr>
            </w:pPr>
            <w:r>
              <w:rPr>
                <w:rFonts w:hint="default" w:eastAsia="宋体"/>
                <w:color w:val="auto"/>
                <w:sz w:val="24"/>
                <w:lang w:val="en-US" w:eastAsia="zh-CN"/>
              </w:rPr>
              <w:t>青阳县发展改革委</w:t>
            </w:r>
          </w:p>
        </w:tc>
        <w:tc>
          <w:tcPr>
            <w:tcW w:w="1797" w:type="dxa"/>
            <w:tcBorders>
              <w:tl2br w:val="nil"/>
              <w:tr2bl w:val="nil"/>
            </w:tcBorders>
            <w:noWrap w:val="0"/>
            <w:vAlign w:val="center"/>
          </w:tcPr>
          <w:p w14:paraId="41B207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lang w:val="en-US" w:eastAsia="zh-CN"/>
              </w:rPr>
            </w:pPr>
            <w:r>
              <w:rPr>
                <w:color w:val="auto"/>
                <w:sz w:val="24"/>
              </w:rPr>
              <w:t>项目审批文号</w:t>
            </w:r>
          </w:p>
        </w:tc>
        <w:tc>
          <w:tcPr>
            <w:tcW w:w="3441" w:type="dxa"/>
            <w:tcBorders>
              <w:tl2br w:val="nil"/>
              <w:tr2bl w:val="nil"/>
            </w:tcBorders>
            <w:noWrap w:val="0"/>
            <w:vAlign w:val="center"/>
          </w:tcPr>
          <w:p w14:paraId="647EAB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lang w:val="en-US" w:eastAsia="zh-CN"/>
              </w:rPr>
            </w:pPr>
            <w:r>
              <w:rPr>
                <w:rFonts w:hint="eastAsia"/>
                <w:color w:val="auto"/>
                <w:sz w:val="24"/>
                <w:lang w:val="en-US" w:eastAsia="zh-CN"/>
              </w:rPr>
              <w:t>青发改〔2023〕540号</w:t>
            </w:r>
          </w:p>
        </w:tc>
      </w:tr>
      <w:tr w14:paraId="24AFDA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45" w:hRule="atLeast"/>
          <w:jc w:val="center"/>
        </w:trPr>
        <w:tc>
          <w:tcPr>
            <w:tcW w:w="1269" w:type="dxa"/>
            <w:tcBorders>
              <w:tl2br w:val="nil"/>
              <w:tr2bl w:val="nil"/>
            </w:tcBorders>
            <w:noWrap w:val="0"/>
            <w:tcMar>
              <w:top w:w="16" w:type="dxa"/>
              <w:left w:w="16" w:type="dxa"/>
              <w:right w:w="16" w:type="dxa"/>
            </w:tcMar>
            <w:vAlign w:val="center"/>
          </w:tcPr>
          <w:p w14:paraId="6F35A5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rPr>
            </w:pPr>
            <w:r>
              <w:rPr>
                <w:color w:val="auto"/>
                <w:sz w:val="24"/>
              </w:rPr>
              <w:t>总投资（万元）</w:t>
            </w:r>
          </w:p>
        </w:tc>
        <w:tc>
          <w:tcPr>
            <w:tcW w:w="3011" w:type="dxa"/>
            <w:tcBorders>
              <w:tl2br w:val="nil"/>
              <w:tr2bl w:val="nil"/>
            </w:tcBorders>
            <w:noWrap w:val="0"/>
            <w:vAlign w:val="center"/>
          </w:tcPr>
          <w:p w14:paraId="5C4979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lang w:val="en-US" w:eastAsia="zh-CN"/>
              </w:rPr>
            </w:pPr>
            <w:r>
              <w:rPr>
                <w:rFonts w:hint="eastAsia"/>
                <w:color w:val="auto"/>
                <w:sz w:val="24"/>
                <w:lang w:val="en-US" w:eastAsia="zh-CN"/>
              </w:rPr>
              <w:t>11000</w:t>
            </w:r>
          </w:p>
        </w:tc>
        <w:tc>
          <w:tcPr>
            <w:tcW w:w="1797" w:type="dxa"/>
            <w:tcBorders>
              <w:tl2br w:val="nil"/>
              <w:tr2bl w:val="nil"/>
            </w:tcBorders>
            <w:noWrap w:val="0"/>
            <w:tcMar>
              <w:top w:w="16" w:type="dxa"/>
              <w:left w:w="16" w:type="dxa"/>
              <w:right w:w="16" w:type="dxa"/>
            </w:tcMar>
            <w:vAlign w:val="center"/>
          </w:tcPr>
          <w:p w14:paraId="238373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rPr>
            </w:pPr>
            <w:r>
              <w:rPr>
                <w:color w:val="auto"/>
                <w:sz w:val="24"/>
              </w:rPr>
              <w:t>环保投资（万元）</w:t>
            </w:r>
          </w:p>
        </w:tc>
        <w:tc>
          <w:tcPr>
            <w:tcW w:w="3441" w:type="dxa"/>
            <w:tcBorders>
              <w:tl2br w:val="nil"/>
              <w:tr2bl w:val="nil"/>
            </w:tcBorders>
            <w:noWrap w:val="0"/>
            <w:vAlign w:val="center"/>
          </w:tcPr>
          <w:p w14:paraId="4F93F1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37</w:t>
            </w:r>
          </w:p>
        </w:tc>
      </w:tr>
      <w:tr w14:paraId="3833ED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0" w:hRule="atLeast"/>
          <w:jc w:val="center"/>
        </w:trPr>
        <w:tc>
          <w:tcPr>
            <w:tcW w:w="1269" w:type="dxa"/>
            <w:tcBorders>
              <w:tl2br w:val="nil"/>
              <w:tr2bl w:val="nil"/>
            </w:tcBorders>
            <w:noWrap w:val="0"/>
            <w:tcMar>
              <w:top w:w="16" w:type="dxa"/>
              <w:left w:w="16" w:type="dxa"/>
              <w:right w:w="16" w:type="dxa"/>
            </w:tcMar>
            <w:vAlign w:val="center"/>
          </w:tcPr>
          <w:p w14:paraId="275F0E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rPr>
            </w:pPr>
            <w:r>
              <w:rPr>
                <w:color w:val="auto"/>
                <w:sz w:val="24"/>
              </w:rPr>
              <w:t>环保投资占比（%）</w:t>
            </w:r>
          </w:p>
        </w:tc>
        <w:tc>
          <w:tcPr>
            <w:tcW w:w="3011" w:type="dxa"/>
            <w:tcBorders>
              <w:tl2br w:val="nil"/>
              <w:tr2bl w:val="nil"/>
            </w:tcBorders>
            <w:noWrap w:val="0"/>
            <w:vAlign w:val="center"/>
          </w:tcPr>
          <w:p w14:paraId="42D5F7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0.336</w:t>
            </w:r>
          </w:p>
        </w:tc>
        <w:tc>
          <w:tcPr>
            <w:tcW w:w="1797" w:type="dxa"/>
            <w:tcBorders>
              <w:tl2br w:val="nil"/>
              <w:tr2bl w:val="nil"/>
            </w:tcBorders>
            <w:noWrap w:val="0"/>
            <w:tcMar>
              <w:top w:w="16" w:type="dxa"/>
              <w:left w:w="16" w:type="dxa"/>
              <w:right w:w="16" w:type="dxa"/>
            </w:tcMar>
            <w:vAlign w:val="center"/>
          </w:tcPr>
          <w:p w14:paraId="177F68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rPr>
            </w:pPr>
            <w:r>
              <w:rPr>
                <w:color w:val="auto"/>
                <w:sz w:val="24"/>
              </w:rPr>
              <w:t>施工工期</w:t>
            </w:r>
          </w:p>
        </w:tc>
        <w:tc>
          <w:tcPr>
            <w:tcW w:w="3441" w:type="dxa"/>
            <w:tcBorders>
              <w:tl2br w:val="nil"/>
              <w:tr2bl w:val="nil"/>
            </w:tcBorders>
            <w:noWrap w:val="0"/>
            <w:vAlign w:val="center"/>
          </w:tcPr>
          <w:p w14:paraId="799710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lang w:val="en-US" w:eastAsia="zh-CN"/>
              </w:rPr>
            </w:pPr>
            <w:r>
              <w:rPr>
                <w:rFonts w:hint="eastAsia"/>
                <w:color w:val="auto"/>
                <w:sz w:val="24"/>
                <w:lang w:val="en-US" w:eastAsia="zh-CN"/>
              </w:rPr>
              <w:t>/</w:t>
            </w:r>
          </w:p>
        </w:tc>
      </w:tr>
      <w:tr w14:paraId="4582E7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0" w:hRule="atLeast"/>
          <w:jc w:val="center"/>
        </w:trPr>
        <w:tc>
          <w:tcPr>
            <w:tcW w:w="1269" w:type="dxa"/>
            <w:tcBorders>
              <w:tl2br w:val="nil"/>
              <w:tr2bl w:val="nil"/>
            </w:tcBorders>
            <w:noWrap w:val="0"/>
            <w:tcMar>
              <w:top w:w="16" w:type="dxa"/>
              <w:left w:w="16" w:type="dxa"/>
              <w:right w:w="16" w:type="dxa"/>
            </w:tcMar>
            <w:vAlign w:val="center"/>
          </w:tcPr>
          <w:p w14:paraId="04D7EF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rPr>
            </w:pPr>
            <w:r>
              <w:rPr>
                <w:color w:val="auto"/>
                <w:sz w:val="24"/>
              </w:rPr>
              <w:t>是否开工建设</w:t>
            </w:r>
          </w:p>
        </w:tc>
        <w:tc>
          <w:tcPr>
            <w:tcW w:w="3011" w:type="dxa"/>
            <w:tcBorders>
              <w:tl2br w:val="nil"/>
              <w:tr2bl w:val="nil"/>
            </w:tcBorders>
            <w:noWrap w:val="0"/>
            <w:vAlign w:val="center"/>
          </w:tcPr>
          <w:p w14:paraId="1DDF57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color w:val="auto"/>
                <w:sz w:val="24"/>
              </w:rPr>
            </w:pPr>
            <w:r>
              <w:rPr>
                <w:color w:val="auto"/>
                <w:sz w:val="24"/>
              </w:rPr>
              <w:sym w:font="Wingdings" w:char="00FE"/>
            </w:r>
            <w:r>
              <w:rPr>
                <w:color w:val="auto"/>
                <w:sz w:val="24"/>
              </w:rPr>
              <w:t>否</w:t>
            </w:r>
          </w:p>
          <w:p w14:paraId="254755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sz w:val="24"/>
                <w:szCs w:val="24"/>
              </w:rPr>
            </w:pPr>
            <w:r>
              <w:rPr>
                <w:color w:val="auto"/>
                <w:sz w:val="24"/>
              </w:rPr>
              <w:sym w:font="Wingdings" w:char="00A8"/>
            </w:r>
            <w:r>
              <w:rPr>
                <w:color w:val="auto"/>
                <w:sz w:val="24"/>
              </w:rPr>
              <w:t>是</w:t>
            </w:r>
          </w:p>
        </w:tc>
        <w:tc>
          <w:tcPr>
            <w:tcW w:w="1797" w:type="dxa"/>
            <w:tcBorders>
              <w:tl2br w:val="nil"/>
              <w:tr2bl w:val="nil"/>
            </w:tcBorders>
            <w:noWrap w:val="0"/>
            <w:tcMar>
              <w:top w:w="16" w:type="dxa"/>
              <w:left w:w="16" w:type="dxa"/>
              <w:right w:w="16" w:type="dxa"/>
            </w:tcMar>
            <w:vAlign w:val="center"/>
          </w:tcPr>
          <w:p w14:paraId="329634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rPr>
            </w:pPr>
            <w:r>
              <w:rPr>
                <w:color w:val="auto"/>
                <w:spacing w:val="-6"/>
                <w:sz w:val="24"/>
                <w:highlight w:val="none"/>
              </w:rPr>
              <w:t>用地面积（m</w:t>
            </w:r>
            <w:r>
              <w:rPr>
                <w:color w:val="auto"/>
                <w:spacing w:val="-6"/>
                <w:sz w:val="24"/>
                <w:highlight w:val="none"/>
                <w:vertAlign w:val="superscript"/>
              </w:rPr>
              <w:t>2</w:t>
            </w:r>
            <w:r>
              <w:rPr>
                <w:color w:val="auto"/>
                <w:spacing w:val="-6"/>
                <w:sz w:val="24"/>
                <w:highlight w:val="none"/>
              </w:rPr>
              <w:t>）</w:t>
            </w:r>
          </w:p>
        </w:tc>
        <w:tc>
          <w:tcPr>
            <w:tcW w:w="3441" w:type="dxa"/>
            <w:tcBorders>
              <w:tl2br w:val="nil"/>
              <w:tr2bl w:val="nil"/>
            </w:tcBorders>
            <w:noWrap w:val="0"/>
            <w:vAlign w:val="center"/>
          </w:tcPr>
          <w:p w14:paraId="777B95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4"/>
                <w:szCs w:val="24"/>
                <w:lang w:val="en-US" w:eastAsia="zh-CN"/>
              </w:rPr>
            </w:pPr>
            <w:r>
              <w:rPr>
                <w:rFonts w:hint="eastAsia"/>
                <w:color w:val="auto"/>
                <w:spacing w:val="-6"/>
                <w:sz w:val="24"/>
                <w:highlight w:val="none"/>
                <w:lang w:val="en-US" w:eastAsia="zh-CN"/>
              </w:rPr>
              <w:t>8700</w:t>
            </w:r>
          </w:p>
        </w:tc>
      </w:tr>
      <w:tr w14:paraId="02456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269" w:type="dxa"/>
            <w:tcBorders>
              <w:tl2br w:val="nil"/>
              <w:tr2bl w:val="nil"/>
            </w:tcBorders>
            <w:noWrap w:val="0"/>
            <w:vAlign w:val="center"/>
          </w:tcPr>
          <w:p w14:paraId="05F05DB3">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4"/>
                <w:szCs w:val="24"/>
              </w:rPr>
              <w:t>专项评价设置情况</w:t>
            </w:r>
          </w:p>
        </w:tc>
        <w:tc>
          <w:tcPr>
            <w:tcW w:w="8249" w:type="dxa"/>
            <w:gridSpan w:val="3"/>
            <w:tcBorders>
              <w:tl2br w:val="nil"/>
              <w:tr2bl w:val="nil"/>
            </w:tcBorders>
            <w:noWrap w:val="0"/>
            <w:vAlign w:val="center"/>
          </w:tcPr>
          <w:tbl>
            <w:tblPr>
              <w:tblStyle w:val="32"/>
              <w:tblW w:w="807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7"/>
              <w:gridCol w:w="3050"/>
              <w:gridCol w:w="3496"/>
              <w:gridCol w:w="665"/>
            </w:tblGrid>
            <w:tr w14:paraId="3D160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1" w:hRule="atLeast"/>
                <w:jc w:val="center"/>
              </w:trPr>
              <w:tc>
                <w:tcPr>
                  <w:tcW w:w="867" w:type="dxa"/>
                  <w:tcBorders>
                    <w:tl2br w:val="nil"/>
                    <w:tr2bl w:val="nil"/>
                  </w:tcBorders>
                  <w:vAlign w:val="center"/>
                </w:tcPr>
                <w:p w14:paraId="564881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rPr>
                    <w:t>专项评价类别</w:t>
                  </w:r>
                </w:p>
              </w:tc>
              <w:tc>
                <w:tcPr>
                  <w:tcW w:w="3050" w:type="dxa"/>
                  <w:tcBorders>
                    <w:tl2br w:val="nil"/>
                    <w:tr2bl w:val="nil"/>
                  </w:tcBorders>
                  <w:vAlign w:val="center"/>
                </w:tcPr>
                <w:p w14:paraId="0E52BAA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rPr>
                    <w:t>设置原则</w:t>
                  </w:r>
                </w:p>
              </w:tc>
              <w:tc>
                <w:tcPr>
                  <w:tcW w:w="3496" w:type="dxa"/>
                  <w:tcBorders>
                    <w:tl2br w:val="nil"/>
                    <w:tr2bl w:val="nil"/>
                  </w:tcBorders>
                  <w:vAlign w:val="center"/>
                </w:tcPr>
                <w:p w14:paraId="2920FA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eastAsia="zh-CN"/>
                    </w:rPr>
                    <w:t>本项目</w:t>
                  </w:r>
                  <w:r>
                    <w:rPr>
                      <w:rFonts w:hint="default" w:ascii="Times New Roman" w:hAnsi="Times New Roman" w:cs="Times New Roman"/>
                      <w:b/>
                      <w:bCs/>
                      <w:color w:val="auto"/>
                    </w:rPr>
                    <w:t>情况</w:t>
                  </w:r>
                </w:p>
              </w:tc>
              <w:tc>
                <w:tcPr>
                  <w:tcW w:w="665" w:type="dxa"/>
                  <w:tcBorders>
                    <w:tl2br w:val="nil"/>
                    <w:tr2bl w:val="nil"/>
                  </w:tcBorders>
                  <w:vAlign w:val="center"/>
                </w:tcPr>
                <w:p w14:paraId="12D80C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rPr>
                    <w:t>设置与否</w:t>
                  </w:r>
                </w:p>
              </w:tc>
            </w:tr>
            <w:tr w14:paraId="5652FF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867" w:type="dxa"/>
                  <w:tcBorders>
                    <w:tl2br w:val="nil"/>
                    <w:tr2bl w:val="nil"/>
                  </w:tcBorders>
                  <w:vAlign w:val="center"/>
                </w:tcPr>
                <w:p w14:paraId="530BC1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大气</w:t>
                  </w:r>
                </w:p>
              </w:tc>
              <w:tc>
                <w:tcPr>
                  <w:tcW w:w="3050" w:type="dxa"/>
                  <w:tcBorders>
                    <w:tl2br w:val="nil"/>
                    <w:tr2bl w:val="nil"/>
                  </w:tcBorders>
                  <w:vAlign w:val="center"/>
                </w:tcPr>
                <w:p w14:paraId="31EC97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rPr>
                    <w:t>排放废气含有毒有害污染物、二噁英、苯并[a]芘、氰化物、氯气且厂界外500米范围内有环境空气保护目标的建设项目</w:t>
                  </w:r>
                </w:p>
              </w:tc>
              <w:tc>
                <w:tcPr>
                  <w:tcW w:w="3496" w:type="dxa"/>
                  <w:tcBorders>
                    <w:tl2br w:val="nil"/>
                    <w:tr2bl w:val="nil"/>
                  </w:tcBorders>
                  <w:vAlign w:val="center"/>
                </w:tcPr>
                <w:p w14:paraId="2BA466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eastAsia="zh-CN"/>
                    </w:rPr>
                    <w:t>本项目</w:t>
                  </w:r>
                  <w:r>
                    <w:rPr>
                      <w:rFonts w:hint="default" w:ascii="Times New Roman" w:hAnsi="Times New Roman" w:cs="Times New Roman"/>
                      <w:b w:val="0"/>
                      <w:bCs/>
                      <w:color w:val="auto"/>
                    </w:rPr>
                    <w:t>排放的废气为有机废气，不涉及有毒有害污染物、二噁英、苯并[a]芘、氰化物、氯气。</w:t>
                  </w:r>
                </w:p>
              </w:tc>
              <w:tc>
                <w:tcPr>
                  <w:tcW w:w="665" w:type="dxa"/>
                  <w:tcBorders>
                    <w:tl2br w:val="nil"/>
                    <w:tr2bl w:val="nil"/>
                  </w:tcBorders>
                  <w:vAlign w:val="center"/>
                </w:tcPr>
                <w:p w14:paraId="5DBDBBF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否</w:t>
                  </w:r>
                </w:p>
              </w:tc>
            </w:tr>
            <w:tr w14:paraId="25B97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67" w:type="dxa"/>
                  <w:tcBorders>
                    <w:tl2br w:val="nil"/>
                    <w:tr2bl w:val="nil"/>
                  </w:tcBorders>
                  <w:vAlign w:val="center"/>
                </w:tcPr>
                <w:p w14:paraId="242C921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地表水</w:t>
                  </w:r>
                </w:p>
              </w:tc>
              <w:tc>
                <w:tcPr>
                  <w:tcW w:w="3050" w:type="dxa"/>
                  <w:tcBorders>
                    <w:tl2br w:val="nil"/>
                    <w:tr2bl w:val="nil"/>
                  </w:tcBorders>
                  <w:vAlign w:val="center"/>
                </w:tcPr>
                <w:p w14:paraId="208D82A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新增工业废水直排建设项目（槽罐车外送污水处理厂的除外）；新增废水直排的污水集中处理厂</w:t>
                  </w:r>
                </w:p>
              </w:tc>
              <w:tc>
                <w:tcPr>
                  <w:tcW w:w="3496" w:type="dxa"/>
                  <w:tcBorders>
                    <w:tl2br w:val="nil"/>
                    <w:tr2bl w:val="nil"/>
                  </w:tcBorders>
                  <w:vAlign w:val="center"/>
                </w:tcPr>
                <w:p w14:paraId="76FF85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eastAsia="zh-CN"/>
                    </w:rPr>
                    <w:t>本项目</w:t>
                  </w:r>
                  <w:r>
                    <w:rPr>
                      <w:rFonts w:hint="default" w:ascii="Times New Roman" w:hAnsi="Times New Roman" w:cs="Times New Roman"/>
                      <w:b w:val="0"/>
                      <w:bCs/>
                      <w:color w:val="auto"/>
                    </w:rPr>
                    <w:t>生活污水经预处理达到接管</w:t>
                  </w:r>
                  <w:r>
                    <w:rPr>
                      <w:rFonts w:hint="eastAsia" w:ascii="Times New Roman" w:hAnsi="Times New Roman" w:cs="Times New Roman"/>
                      <w:b w:val="0"/>
                      <w:bCs/>
                      <w:color w:val="auto"/>
                      <w:lang w:val="en-US" w:eastAsia="zh-CN"/>
                    </w:rPr>
                    <w:t>限值</w:t>
                  </w:r>
                  <w:r>
                    <w:rPr>
                      <w:rFonts w:hint="default" w:ascii="Times New Roman" w:hAnsi="Times New Roman" w:cs="Times New Roman"/>
                      <w:b w:val="0"/>
                      <w:bCs/>
                      <w:color w:val="auto"/>
                    </w:rPr>
                    <w:t>和《污水综合排放标准》（GB 8978-1996）三级标准后</w:t>
                  </w:r>
                  <w:r>
                    <w:rPr>
                      <w:rFonts w:hint="default" w:ascii="Times New Roman" w:hAnsi="Times New Roman" w:cs="Times New Roman"/>
                      <w:b w:val="0"/>
                      <w:bCs/>
                      <w:color w:val="auto"/>
                      <w:lang w:eastAsia="zh-CN"/>
                    </w:rPr>
                    <w:t>经厂区污水排口排入</w:t>
                  </w:r>
                  <w:r>
                    <w:rPr>
                      <w:rFonts w:hint="eastAsia" w:ascii="Times New Roman" w:hAnsi="Times New Roman" w:cs="Times New Roman"/>
                      <w:b w:val="0"/>
                      <w:bCs/>
                      <w:color w:val="auto"/>
                      <w:lang w:val="en-US" w:eastAsia="zh-CN"/>
                    </w:rPr>
                    <w:t>市政</w:t>
                  </w:r>
                  <w:r>
                    <w:rPr>
                      <w:rFonts w:hint="default" w:ascii="Times New Roman" w:hAnsi="Times New Roman" w:cs="Times New Roman"/>
                      <w:b w:val="0"/>
                      <w:bCs/>
                      <w:color w:val="auto"/>
                    </w:rPr>
                    <w:t>污水管网送至</w:t>
                  </w:r>
                  <w:r>
                    <w:rPr>
                      <w:rFonts w:hint="eastAsia" w:ascii="Times New Roman" w:hAnsi="Times New Roman" w:cs="Times New Roman"/>
                      <w:b w:val="0"/>
                      <w:bCs/>
                      <w:color w:val="auto"/>
                      <w:lang w:val="en-US" w:eastAsia="zh-CN"/>
                    </w:rPr>
                    <w:t>青阳县</w:t>
                  </w:r>
                  <w:r>
                    <w:rPr>
                      <w:rFonts w:hint="default" w:ascii="Times New Roman" w:hAnsi="Times New Roman" w:cs="Times New Roman"/>
                      <w:b w:val="0"/>
                      <w:bCs/>
                      <w:color w:val="auto"/>
                    </w:rPr>
                    <w:t>污水处理厂</w:t>
                  </w:r>
                  <w:r>
                    <w:rPr>
                      <w:rFonts w:hint="default" w:ascii="Times New Roman" w:hAnsi="Times New Roman" w:cs="Times New Roman"/>
                      <w:b w:val="0"/>
                      <w:bCs/>
                      <w:color w:val="auto"/>
                      <w:lang w:eastAsia="zh-CN"/>
                    </w:rPr>
                    <w:t>。</w:t>
                  </w:r>
                </w:p>
              </w:tc>
              <w:tc>
                <w:tcPr>
                  <w:tcW w:w="665" w:type="dxa"/>
                  <w:tcBorders>
                    <w:tl2br w:val="nil"/>
                    <w:tr2bl w:val="nil"/>
                  </w:tcBorders>
                  <w:vAlign w:val="center"/>
                </w:tcPr>
                <w:p w14:paraId="48D501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否</w:t>
                  </w:r>
                </w:p>
              </w:tc>
            </w:tr>
            <w:tr w14:paraId="7132F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867" w:type="dxa"/>
                  <w:tcBorders>
                    <w:tl2br w:val="nil"/>
                    <w:tr2bl w:val="nil"/>
                  </w:tcBorders>
                  <w:vAlign w:val="center"/>
                </w:tcPr>
                <w:p w14:paraId="716E7C3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环境风险</w:t>
                  </w:r>
                </w:p>
              </w:tc>
              <w:tc>
                <w:tcPr>
                  <w:tcW w:w="3050" w:type="dxa"/>
                  <w:tcBorders>
                    <w:tl2br w:val="nil"/>
                    <w:tr2bl w:val="nil"/>
                  </w:tcBorders>
                  <w:vAlign w:val="center"/>
                </w:tcPr>
                <w:p w14:paraId="52B9EA3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有毒有害和易燃易爆危险物质存储量超过临界量的建设项目</w:t>
                  </w:r>
                </w:p>
              </w:tc>
              <w:tc>
                <w:tcPr>
                  <w:tcW w:w="3496" w:type="dxa"/>
                  <w:tcBorders>
                    <w:tl2br w:val="nil"/>
                    <w:tr2bl w:val="nil"/>
                  </w:tcBorders>
                  <w:vAlign w:val="center"/>
                </w:tcPr>
                <w:p w14:paraId="4A5C5A1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根据原辅材料存储量核算，</w:t>
                  </w:r>
                  <w:r>
                    <w:rPr>
                      <w:rFonts w:hint="default" w:ascii="Times New Roman" w:hAnsi="Times New Roman" w:cs="Times New Roman"/>
                      <w:b w:val="0"/>
                      <w:bCs/>
                      <w:color w:val="auto"/>
                      <w:lang w:eastAsia="zh-CN"/>
                    </w:rPr>
                    <w:t>本项目</w:t>
                  </w:r>
                  <w:r>
                    <w:rPr>
                      <w:rFonts w:hint="default" w:ascii="Times New Roman" w:hAnsi="Times New Roman" w:cs="Times New Roman"/>
                      <w:b w:val="0"/>
                      <w:bCs/>
                      <w:color w:val="auto"/>
                    </w:rPr>
                    <w:t>部分涉及的有毒有害和易燃易爆危险物质，Q值总和为0.144441＜1，则不设置环境风险专项评价。</w:t>
                  </w:r>
                </w:p>
              </w:tc>
              <w:tc>
                <w:tcPr>
                  <w:tcW w:w="665" w:type="dxa"/>
                  <w:tcBorders>
                    <w:tl2br w:val="nil"/>
                    <w:tr2bl w:val="nil"/>
                  </w:tcBorders>
                  <w:vAlign w:val="center"/>
                </w:tcPr>
                <w:p w14:paraId="40578A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否</w:t>
                  </w:r>
                </w:p>
              </w:tc>
            </w:tr>
            <w:tr w14:paraId="1CA09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7" w:hRule="atLeast"/>
                <w:jc w:val="center"/>
              </w:trPr>
              <w:tc>
                <w:tcPr>
                  <w:tcW w:w="867" w:type="dxa"/>
                  <w:tcBorders>
                    <w:tl2br w:val="nil"/>
                    <w:tr2bl w:val="nil"/>
                  </w:tcBorders>
                  <w:vAlign w:val="center"/>
                </w:tcPr>
                <w:p w14:paraId="201CA2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生态</w:t>
                  </w:r>
                </w:p>
              </w:tc>
              <w:tc>
                <w:tcPr>
                  <w:tcW w:w="3050" w:type="dxa"/>
                  <w:tcBorders>
                    <w:tl2br w:val="nil"/>
                    <w:tr2bl w:val="nil"/>
                  </w:tcBorders>
                  <w:vAlign w:val="center"/>
                </w:tcPr>
                <w:p w14:paraId="0CBC6A0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取水口下游500米范围内有重要水生生物的自然产卵场、索饵场、越冬场和洄游通道的新增河道取水的污染类建设项目</w:t>
                  </w:r>
                </w:p>
              </w:tc>
              <w:tc>
                <w:tcPr>
                  <w:tcW w:w="3496" w:type="dxa"/>
                  <w:tcBorders>
                    <w:tl2br w:val="nil"/>
                    <w:tr2bl w:val="nil"/>
                  </w:tcBorders>
                  <w:vAlign w:val="center"/>
                </w:tcPr>
                <w:p w14:paraId="4B8E434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eastAsia="zh-CN"/>
                    </w:rPr>
                    <w:t>本项目不涉及单独取水；项目供水由市政管网供水</w:t>
                  </w:r>
                </w:p>
              </w:tc>
              <w:tc>
                <w:tcPr>
                  <w:tcW w:w="665" w:type="dxa"/>
                  <w:tcBorders>
                    <w:tl2br w:val="nil"/>
                    <w:tr2bl w:val="nil"/>
                  </w:tcBorders>
                  <w:vAlign w:val="center"/>
                </w:tcPr>
                <w:p w14:paraId="0CF7C68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否</w:t>
                  </w:r>
                </w:p>
              </w:tc>
            </w:tr>
            <w:tr w14:paraId="0C9CD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7" w:hRule="atLeast"/>
                <w:jc w:val="center"/>
              </w:trPr>
              <w:tc>
                <w:tcPr>
                  <w:tcW w:w="867" w:type="dxa"/>
                  <w:tcBorders>
                    <w:tl2br w:val="nil"/>
                    <w:tr2bl w:val="nil"/>
                  </w:tcBorders>
                  <w:vAlign w:val="top"/>
                </w:tcPr>
                <w:p w14:paraId="72C4D5A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海洋</w:t>
                  </w:r>
                </w:p>
              </w:tc>
              <w:tc>
                <w:tcPr>
                  <w:tcW w:w="3050" w:type="dxa"/>
                  <w:tcBorders>
                    <w:tl2br w:val="nil"/>
                    <w:tr2bl w:val="nil"/>
                  </w:tcBorders>
                  <w:vAlign w:val="top"/>
                </w:tcPr>
                <w:p w14:paraId="5EF9C2C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直接向海排放污染物的海洋工程建设项目</w:t>
                  </w:r>
                </w:p>
              </w:tc>
              <w:tc>
                <w:tcPr>
                  <w:tcW w:w="3496" w:type="dxa"/>
                  <w:tcBorders>
                    <w:tl2br w:val="nil"/>
                    <w:tr2bl w:val="nil"/>
                  </w:tcBorders>
                  <w:vAlign w:val="center"/>
                </w:tcPr>
                <w:p w14:paraId="3B0EDA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不涉及</w:t>
                  </w:r>
                </w:p>
              </w:tc>
              <w:tc>
                <w:tcPr>
                  <w:tcW w:w="665" w:type="dxa"/>
                  <w:tcBorders>
                    <w:tl2br w:val="nil"/>
                    <w:tr2bl w:val="nil"/>
                  </w:tcBorders>
                  <w:vAlign w:val="center"/>
                </w:tcPr>
                <w:p w14:paraId="1BB69E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否</w:t>
                  </w:r>
                </w:p>
              </w:tc>
            </w:tr>
          </w:tbl>
          <w:p w14:paraId="46DC84C5">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1"/>
                <w:szCs w:val="21"/>
                <w:lang w:val="en-US" w:eastAsia="zh-CN"/>
              </w:rPr>
            </w:pPr>
          </w:p>
        </w:tc>
      </w:tr>
      <w:tr w14:paraId="297287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69" w:type="dxa"/>
            <w:tcBorders>
              <w:tl2br w:val="nil"/>
              <w:tr2bl w:val="nil"/>
            </w:tcBorders>
            <w:noWrap w:val="0"/>
            <w:vAlign w:val="center"/>
          </w:tcPr>
          <w:p w14:paraId="4AEB6433">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规划情况</w:t>
            </w:r>
          </w:p>
        </w:tc>
        <w:tc>
          <w:tcPr>
            <w:tcW w:w="8249" w:type="dxa"/>
            <w:gridSpan w:val="3"/>
            <w:tcBorders>
              <w:tl2br w:val="nil"/>
              <w:tr2bl w:val="nil"/>
            </w:tcBorders>
            <w:noWrap w:val="0"/>
            <w:vAlign w:val="center"/>
          </w:tcPr>
          <w:p w14:paraId="6EB57358">
            <w:pPr>
              <w:bidi w:val="0"/>
              <w:ind w:left="0" w:leftChars="0" w:firstLine="0" w:firstLineChars="0"/>
              <w:rPr>
                <w:rFonts w:hint="eastAsia"/>
                <w:color w:val="auto"/>
                <w:lang w:eastAsia="zh-CN"/>
              </w:rPr>
            </w:pPr>
            <w:r>
              <w:rPr>
                <w:rFonts w:hint="eastAsia"/>
                <w:b/>
                <w:bCs/>
                <w:color w:val="auto"/>
                <w:lang w:val="en-US" w:eastAsia="zh-CN"/>
              </w:rPr>
              <w:t>1、规划名称：</w:t>
            </w:r>
            <w:r>
              <w:rPr>
                <w:rFonts w:hint="eastAsia"/>
                <w:color w:val="auto"/>
                <w:lang w:eastAsia="zh-CN"/>
              </w:rPr>
              <w:t>《青阳县国土空间总体规划》（2021-2035）；</w:t>
            </w:r>
          </w:p>
          <w:p w14:paraId="6B43D6F1">
            <w:pPr>
              <w:bidi w:val="0"/>
              <w:rPr>
                <w:rFonts w:hint="eastAsia"/>
                <w:color w:val="auto"/>
                <w:sz w:val="24"/>
                <w:szCs w:val="24"/>
                <w:lang w:val="en-US" w:eastAsia="zh-CN"/>
              </w:rPr>
            </w:pPr>
            <w:r>
              <w:rPr>
                <w:b/>
                <w:bCs/>
                <w:color w:val="auto"/>
                <w:sz w:val="24"/>
                <w:szCs w:val="24"/>
              </w:rPr>
              <w:t>审批机关：</w:t>
            </w:r>
            <w:r>
              <w:rPr>
                <w:rFonts w:hint="eastAsia"/>
                <w:color w:val="auto"/>
                <w:sz w:val="24"/>
                <w:szCs w:val="24"/>
                <w:lang w:val="en-US" w:eastAsia="zh-CN"/>
              </w:rPr>
              <w:t>青阳县人民政府；</w:t>
            </w:r>
          </w:p>
          <w:p w14:paraId="74164C06">
            <w:pPr>
              <w:bidi w:val="0"/>
              <w:rPr>
                <w:rFonts w:hint="eastAsia"/>
                <w:color w:val="auto"/>
                <w:sz w:val="24"/>
                <w:szCs w:val="24"/>
                <w:lang w:val="en-US" w:eastAsia="zh-CN"/>
              </w:rPr>
            </w:pPr>
            <w:r>
              <w:rPr>
                <w:rFonts w:hint="eastAsia"/>
                <w:b/>
                <w:bCs/>
                <w:color w:val="auto"/>
                <w:sz w:val="24"/>
                <w:szCs w:val="24"/>
                <w:lang w:val="en-US" w:eastAsia="zh-CN"/>
              </w:rPr>
              <w:t>批复时间：</w:t>
            </w:r>
            <w:r>
              <w:rPr>
                <w:rFonts w:hint="eastAsia"/>
                <w:color w:val="auto"/>
                <w:sz w:val="24"/>
                <w:szCs w:val="24"/>
                <w:lang w:val="en-US" w:eastAsia="zh-CN"/>
              </w:rPr>
              <w:t>2024年6月。</w:t>
            </w:r>
          </w:p>
          <w:p w14:paraId="3217A93C">
            <w:pPr>
              <w:bidi w:val="0"/>
              <w:ind w:left="0" w:leftChars="0" w:firstLine="0" w:firstLineChars="0"/>
              <w:rPr>
                <w:rFonts w:hint="eastAsia" w:ascii="Times New Roman" w:hAnsi="Times New Roman" w:eastAsia="宋体" w:cs="Times New Roman"/>
                <w:color w:val="auto"/>
                <w:sz w:val="24"/>
                <w:szCs w:val="24"/>
                <w:lang w:eastAsia="zh-CN"/>
              </w:rPr>
            </w:pPr>
            <w:r>
              <w:rPr>
                <w:rFonts w:hint="eastAsia" w:cs="Times New Roman"/>
                <w:b/>
                <w:bCs/>
                <w:color w:val="auto"/>
                <w:sz w:val="24"/>
                <w:szCs w:val="24"/>
                <w:lang w:val="en-US" w:eastAsia="zh-CN"/>
              </w:rPr>
              <w:t>2、</w:t>
            </w:r>
            <w:r>
              <w:rPr>
                <w:rFonts w:hint="default" w:ascii="Times New Roman" w:hAnsi="Times New Roman" w:cs="Times New Roman"/>
                <w:b/>
                <w:bCs/>
                <w:color w:val="auto"/>
                <w:sz w:val="24"/>
                <w:szCs w:val="24"/>
              </w:rPr>
              <w:t>规划名称：</w:t>
            </w:r>
            <w:r>
              <w:rPr>
                <w:rFonts w:hint="default" w:ascii="Times New Roman" w:hAnsi="Times New Roman" w:cs="Times New Roman"/>
                <w:color w:val="auto"/>
                <w:sz w:val="24"/>
                <w:szCs w:val="24"/>
              </w:rPr>
              <w:t>《安徽青阳经济开发区总体发展规划》（2021-2030年）</w:t>
            </w:r>
            <w:r>
              <w:rPr>
                <w:rFonts w:hint="eastAsia" w:cs="Times New Roman"/>
                <w:color w:val="auto"/>
                <w:sz w:val="24"/>
                <w:szCs w:val="24"/>
                <w:lang w:eastAsia="zh-CN"/>
              </w:rPr>
              <w:t>；</w:t>
            </w:r>
          </w:p>
          <w:p w14:paraId="70AF2281">
            <w:pPr>
              <w:bidi w:val="0"/>
              <w:rPr>
                <w:rFonts w:hint="eastAsia" w:ascii="Times New Roman" w:hAnsi="Times New Roman" w:eastAsia="宋体" w:cs="Times New Roman"/>
                <w:color w:val="auto"/>
                <w:sz w:val="24"/>
                <w:szCs w:val="24"/>
                <w:lang w:eastAsia="zh-CN"/>
              </w:rPr>
            </w:pPr>
            <w:r>
              <w:rPr>
                <w:rFonts w:hint="default" w:ascii="Times New Roman" w:hAnsi="Times New Roman" w:cs="Times New Roman"/>
                <w:b/>
                <w:bCs/>
                <w:color w:val="auto"/>
                <w:sz w:val="24"/>
                <w:szCs w:val="24"/>
              </w:rPr>
              <w:t>规划审批机关：</w:t>
            </w:r>
            <w:r>
              <w:rPr>
                <w:rFonts w:hint="default" w:ascii="Times New Roman" w:hAnsi="Times New Roman" w:cs="Times New Roman"/>
                <w:color w:val="auto"/>
                <w:sz w:val="24"/>
                <w:szCs w:val="24"/>
              </w:rPr>
              <w:t>安徽省人民政府</w:t>
            </w:r>
            <w:r>
              <w:rPr>
                <w:rFonts w:hint="eastAsia" w:cs="Times New Roman"/>
                <w:color w:val="auto"/>
                <w:sz w:val="24"/>
                <w:szCs w:val="24"/>
                <w:lang w:eastAsia="zh-CN"/>
              </w:rPr>
              <w:t>；</w:t>
            </w:r>
          </w:p>
          <w:p w14:paraId="5CF6EF7F">
            <w:pPr>
              <w:bidi w:val="0"/>
              <w:rPr>
                <w:rFonts w:hint="eastAsia" w:ascii="Times New Roman" w:hAnsi="Times New Roman" w:eastAsia="宋体" w:cs="Times New Roman"/>
                <w:color w:val="auto"/>
                <w:sz w:val="24"/>
                <w:szCs w:val="24"/>
                <w:lang w:eastAsia="zh-CN"/>
              </w:rPr>
            </w:pPr>
            <w:r>
              <w:rPr>
                <w:rFonts w:hint="default" w:ascii="Times New Roman" w:hAnsi="Times New Roman" w:cs="Times New Roman"/>
                <w:b/>
                <w:bCs/>
                <w:color w:val="auto"/>
                <w:sz w:val="24"/>
                <w:szCs w:val="24"/>
              </w:rPr>
              <w:t>审批文件名称：</w:t>
            </w:r>
            <w:r>
              <w:rPr>
                <w:rFonts w:hint="default" w:ascii="Times New Roman" w:hAnsi="Times New Roman" w:cs="Times New Roman"/>
                <w:color w:val="auto"/>
                <w:sz w:val="24"/>
                <w:szCs w:val="24"/>
              </w:rPr>
              <w:t>《安徽青阳经济开发区总体发展规划》（2021-2030年）的批复</w:t>
            </w:r>
            <w:r>
              <w:rPr>
                <w:rFonts w:hint="eastAsia" w:cs="Times New Roman"/>
                <w:color w:val="auto"/>
                <w:sz w:val="24"/>
                <w:szCs w:val="24"/>
                <w:lang w:eastAsia="zh-CN"/>
              </w:rPr>
              <w:t>；</w:t>
            </w:r>
          </w:p>
          <w:p w14:paraId="25898A9A">
            <w:pPr>
              <w:bidi w:val="0"/>
              <w:rPr>
                <w:rFonts w:hint="default" w:ascii="Times New Roman" w:hAnsi="Times New Roman" w:cs="Times New Roman"/>
                <w:color w:val="auto"/>
                <w:sz w:val="24"/>
                <w:szCs w:val="24"/>
                <w:lang w:val="en-US" w:eastAsia="zh-CN"/>
              </w:rPr>
            </w:pPr>
            <w:r>
              <w:rPr>
                <w:rFonts w:hint="default" w:ascii="Times New Roman" w:hAnsi="Times New Roman" w:cs="Times New Roman"/>
                <w:b/>
                <w:bCs/>
                <w:color w:val="auto"/>
                <w:sz w:val="24"/>
                <w:szCs w:val="24"/>
              </w:rPr>
              <w:t>审批文号</w:t>
            </w:r>
            <w:r>
              <w:rPr>
                <w:rFonts w:hint="eastAsia" w:cs="Times New Roman"/>
                <w:b/>
                <w:bCs/>
                <w:color w:val="auto"/>
                <w:sz w:val="24"/>
                <w:szCs w:val="24"/>
                <w:lang w:eastAsia="zh-CN"/>
              </w:rPr>
              <w:t>：</w:t>
            </w:r>
            <w:r>
              <w:rPr>
                <w:rFonts w:hint="default" w:ascii="Times New Roman" w:hAnsi="Times New Roman" w:cs="Times New Roman"/>
                <w:color w:val="auto"/>
                <w:sz w:val="24"/>
                <w:szCs w:val="24"/>
              </w:rPr>
              <w:t>皖政秘</w:t>
            </w:r>
            <w:r>
              <w:rPr>
                <w:rFonts w:hint="eastAsia" w:cs="Times New Roman"/>
                <w:color w:val="auto"/>
                <w:sz w:val="24"/>
                <w:szCs w:val="24"/>
                <w:lang w:eastAsia="zh-CN"/>
              </w:rPr>
              <w:t>〔2021〕24号</w:t>
            </w:r>
            <w:r>
              <w:rPr>
                <w:rFonts w:hint="default" w:ascii="Times New Roman" w:hAnsi="Times New Roman" w:cs="Times New Roman"/>
                <w:color w:val="auto"/>
                <w:sz w:val="24"/>
                <w:szCs w:val="24"/>
              </w:rPr>
              <w:t>。</w:t>
            </w:r>
          </w:p>
        </w:tc>
      </w:tr>
      <w:tr w14:paraId="0188F2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69" w:type="dxa"/>
            <w:tcBorders>
              <w:tl2br w:val="nil"/>
              <w:tr2bl w:val="nil"/>
            </w:tcBorders>
            <w:noWrap w:val="0"/>
            <w:vAlign w:val="center"/>
          </w:tcPr>
          <w:p w14:paraId="31B15701">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规划环境影响评价情况</w:t>
            </w:r>
          </w:p>
        </w:tc>
        <w:tc>
          <w:tcPr>
            <w:tcW w:w="8249" w:type="dxa"/>
            <w:gridSpan w:val="3"/>
            <w:tcBorders>
              <w:tl2br w:val="nil"/>
              <w:tr2bl w:val="nil"/>
            </w:tcBorders>
            <w:noWrap w:val="0"/>
            <w:vAlign w:val="center"/>
          </w:tcPr>
          <w:p w14:paraId="474F2ED2">
            <w:pPr>
              <w:keepNext w:val="0"/>
              <w:keepLines w:val="0"/>
              <w:pageBreakBefore w:val="0"/>
              <w:widowControl w:val="0"/>
              <w:shd w:val="clear"/>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b/>
                <w:bCs/>
                <w:color w:val="auto"/>
                <w:sz w:val="24"/>
                <w:szCs w:val="24"/>
                <w:lang w:val="en-US" w:eastAsia="zh-CN"/>
              </w:rPr>
            </w:pPr>
            <w:r>
              <w:rPr>
                <w:rFonts w:hint="eastAsia" w:cs="Times New Roman"/>
                <w:b/>
                <w:bCs/>
                <w:color w:val="auto"/>
                <w:sz w:val="24"/>
                <w:szCs w:val="24"/>
                <w:highlight w:val="none"/>
                <w:lang w:val="en-US" w:eastAsia="zh-CN"/>
              </w:rPr>
              <w:t>1、</w:t>
            </w:r>
            <w:r>
              <w:rPr>
                <w:rFonts w:hint="default" w:ascii="Times New Roman" w:hAnsi="Times New Roman" w:cs="Times New Roman"/>
                <w:b/>
                <w:bCs/>
                <w:color w:val="auto"/>
                <w:sz w:val="24"/>
                <w:szCs w:val="24"/>
                <w:lang w:val="en-US" w:eastAsia="zh-CN"/>
              </w:rPr>
              <w:t>规划环评</w:t>
            </w:r>
          </w:p>
          <w:p w14:paraId="4A77DB60">
            <w:pPr>
              <w:keepNext w:val="0"/>
              <w:keepLines w:val="0"/>
              <w:pageBreakBefore w:val="0"/>
              <w:widowControl w:val="0"/>
              <w:shd w:val="clear"/>
              <w:kinsoku/>
              <w:wordWrap/>
              <w:overflowPunct/>
              <w:topLinePunct w:val="0"/>
              <w:autoSpaceDE/>
              <w:autoSpaceDN/>
              <w:bidi w:val="0"/>
              <w:adjustRightInd/>
              <w:snapToGrid/>
              <w:ind w:left="0" w:leftChars="0" w:firstLine="482" w:firstLineChars="200"/>
              <w:textAlignment w:val="auto"/>
              <w:rPr>
                <w:rFonts w:hint="default" w:ascii="Times New Roman" w:hAnsi="Times New Roman" w:cs="Times New Roman"/>
                <w:color w:val="auto"/>
                <w:sz w:val="24"/>
                <w:szCs w:val="24"/>
                <w:lang w:val="en-US" w:eastAsia="zh-CN"/>
              </w:rPr>
            </w:pPr>
            <w:r>
              <w:rPr>
                <w:rFonts w:hint="eastAsia" w:cs="Times New Roman"/>
                <w:b/>
                <w:bCs/>
                <w:color w:val="auto"/>
                <w:sz w:val="24"/>
                <w:szCs w:val="24"/>
                <w:lang w:val="en-US" w:eastAsia="zh-CN"/>
              </w:rPr>
              <w:t>规划环评</w:t>
            </w:r>
            <w:r>
              <w:rPr>
                <w:rFonts w:hint="default" w:ascii="Times New Roman" w:hAnsi="Times New Roman" w:cs="Times New Roman"/>
                <w:b/>
                <w:bCs/>
                <w:color w:val="auto"/>
                <w:sz w:val="24"/>
                <w:szCs w:val="24"/>
                <w:lang w:val="en-US" w:eastAsia="zh-CN"/>
              </w:rPr>
              <w:t>名称：</w:t>
            </w:r>
            <w:r>
              <w:rPr>
                <w:rFonts w:hint="default" w:ascii="Times New Roman" w:hAnsi="Times New Roman" w:cs="Times New Roman"/>
                <w:color w:val="auto"/>
                <w:sz w:val="24"/>
                <w:szCs w:val="24"/>
                <w:lang w:val="en-US" w:eastAsia="zh-CN"/>
              </w:rPr>
              <w:t>《安徽青阳经济开发区总体发展规划（2021-2030年）环境影响报告书》</w:t>
            </w:r>
          </w:p>
          <w:p w14:paraId="4E897ECF">
            <w:pPr>
              <w:keepNext w:val="0"/>
              <w:keepLines w:val="0"/>
              <w:pageBreakBefore w:val="0"/>
              <w:widowControl w:val="0"/>
              <w:shd w:val="clear"/>
              <w:kinsoku/>
              <w:wordWrap/>
              <w:overflowPunct/>
              <w:topLinePunct w:val="0"/>
              <w:autoSpaceDE/>
              <w:autoSpaceDN/>
              <w:bidi w:val="0"/>
              <w:adjustRightInd/>
              <w:snapToGrid/>
              <w:ind w:left="0" w:leftChars="0" w:firstLine="482"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b/>
                <w:bCs/>
                <w:color w:val="auto"/>
                <w:sz w:val="24"/>
                <w:szCs w:val="24"/>
                <w:lang w:val="en-US" w:eastAsia="zh-CN"/>
              </w:rPr>
              <w:t>规划环评审批机关：</w:t>
            </w:r>
            <w:r>
              <w:rPr>
                <w:rFonts w:hint="default" w:ascii="Times New Roman" w:hAnsi="Times New Roman" w:cs="Times New Roman"/>
                <w:color w:val="auto"/>
                <w:sz w:val="24"/>
                <w:szCs w:val="24"/>
                <w:lang w:val="en-US" w:eastAsia="zh-CN"/>
              </w:rPr>
              <w:t>安徽省生态环境厅</w:t>
            </w:r>
          </w:p>
          <w:p w14:paraId="003644AB">
            <w:pPr>
              <w:keepNext w:val="0"/>
              <w:keepLines w:val="0"/>
              <w:pageBreakBefore w:val="0"/>
              <w:widowControl w:val="0"/>
              <w:shd w:val="clear"/>
              <w:kinsoku/>
              <w:wordWrap/>
              <w:overflowPunct/>
              <w:topLinePunct w:val="0"/>
              <w:autoSpaceDE/>
              <w:autoSpaceDN/>
              <w:bidi w:val="0"/>
              <w:adjustRightInd/>
              <w:snapToGrid/>
              <w:ind w:left="0" w:leftChars="0" w:firstLine="482"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b/>
                <w:bCs/>
                <w:color w:val="auto"/>
                <w:sz w:val="24"/>
                <w:szCs w:val="24"/>
                <w:lang w:val="en-US" w:eastAsia="zh-CN"/>
              </w:rPr>
              <w:t>规划环评文号：</w:t>
            </w:r>
            <w:r>
              <w:rPr>
                <w:rFonts w:hint="default" w:ascii="Times New Roman" w:hAnsi="Times New Roman" w:cs="Times New Roman"/>
                <w:color w:val="auto"/>
                <w:sz w:val="24"/>
                <w:szCs w:val="24"/>
                <w:lang w:val="en-US" w:eastAsia="zh-CN"/>
              </w:rPr>
              <w:t>皖环函</w:t>
            </w:r>
            <w:r>
              <w:rPr>
                <w:rFonts w:hint="eastAsia" w:cs="Times New Roman"/>
                <w:color w:val="auto"/>
                <w:sz w:val="24"/>
                <w:szCs w:val="24"/>
                <w:lang w:val="en-US" w:eastAsia="zh-CN"/>
              </w:rPr>
              <w:t>〔2021〕701号。</w:t>
            </w:r>
          </w:p>
        </w:tc>
      </w:tr>
      <w:tr w14:paraId="503503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69" w:type="dxa"/>
            <w:tcBorders>
              <w:tl2br w:val="nil"/>
              <w:tr2bl w:val="nil"/>
            </w:tcBorders>
            <w:noWrap w:val="0"/>
            <w:vAlign w:val="center"/>
          </w:tcPr>
          <w:p w14:paraId="10DDD226">
            <w:pPr>
              <w:pStyle w:val="11"/>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规划</w:t>
            </w:r>
            <w:r>
              <w:rPr>
                <w:rFonts w:hint="default" w:ascii="Times New Roman" w:hAnsi="Times New Roman" w:cs="Times New Roman"/>
                <w:color w:val="auto"/>
                <w:sz w:val="24"/>
                <w:szCs w:val="24"/>
                <w:lang w:val="en-US" w:eastAsia="zh-CN"/>
              </w:rPr>
              <w:t>及规划环境影响评价</w:t>
            </w:r>
            <w:r>
              <w:rPr>
                <w:rFonts w:hint="default" w:ascii="Times New Roman" w:hAnsi="Times New Roman" w:cs="Times New Roman"/>
                <w:color w:val="auto"/>
                <w:sz w:val="24"/>
                <w:szCs w:val="24"/>
              </w:rPr>
              <w:t>符合性分析</w:t>
            </w:r>
          </w:p>
        </w:tc>
        <w:tc>
          <w:tcPr>
            <w:tcW w:w="8249" w:type="dxa"/>
            <w:gridSpan w:val="3"/>
            <w:tcBorders>
              <w:tl2br w:val="nil"/>
              <w:tr2bl w:val="nil"/>
            </w:tcBorders>
            <w:noWrap w:val="0"/>
            <w:vAlign w:val="center"/>
          </w:tcPr>
          <w:p w14:paraId="72DD09FB">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1.1 与《青阳县国土空间总体规划》（2021-2035）相符性分析</w:t>
            </w:r>
          </w:p>
          <w:p w14:paraId="7B845742">
            <w:pPr>
              <w:pStyle w:val="38"/>
              <w:keepNext w:val="0"/>
              <w:keepLines w:val="0"/>
              <w:pageBreakBefore w:val="0"/>
              <w:widowControl/>
              <w:kinsoku/>
              <w:wordWrap/>
              <w:overflowPunct/>
              <w:topLinePunct w:val="0"/>
              <w:autoSpaceDE/>
              <w:autoSpaceDN/>
              <w:bidi w:val="0"/>
              <w:adjustRightInd w:val="0"/>
              <w:snapToGrid w:val="0"/>
              <w:spacing w:before="0" w:after="0"/>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表</w:t>
            </w:r>
            <w:r>
              <w:rPr>
                <w:rFonts w:hint="default" w:ascii="Times New Roman" w:hAnsi="Times New Roman" w:cs="Times New Roman"/>
                <w:color w:val="auto"/>
                <w:lang w:val="en-US" w:eastAsia="zh-CN"/>
              </w:rPr>
              <w:t>1</w:t>
            </w:r>
            <w:r>
              <w:rPr>
                <w:rFonts w:hint="default" w:ascii="Times New Roman" w:hAnsi="Times New Roman" w:eastAsia="宋体" w:cs="Times New Roman"/>
                <w:color w:val="auto"/>
                <w:lang w:val="en-US" w:eastAsia="zh-CN"/>
              </w:rPr>
              <w:t>-</w:t>
            </w:r>
            <w:r>
              <w:rPr>
                <w:rFonts w:hint="default" w:ascii="Times New Roman" w:hAnsi="Times New Roman" w:cs="Times New Roman"/>
                <w:color w:val="auto"/>
                <w:lang w:val="en-US" w:eastAsia="zh-CN"/>
              </w:rPr>
              <w:t>1</w:t>
            </w:r>
            <w:r>
              <w:rPr>
                <w:rFonts w:hint="default" w:ascii="Times New Roman" w:hAnsi="Times New Roman" w:eastAsia="宋体" w:cs="Times New Roman"/>
                <w:color w:val="auto"/>
                <w:lang w:val="en-US" w:eastAsia="zh-CN"/>
              </w:rPr>
              <w:t xml:space="preserve">  项目与《青阳县国土空间总体规划》（2021-2035）相符性分析一览表</w:t>
            </w:r>
          </w:p>
          <w:tbl>
            <w:tblPr>
              <w:tblStyle w:val="31"/>
              <w:tblW w:w="80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021"/>
              <w:gridCol w:w="4719"/>
              <w:gridCol w:w="1691"/>
              <w:gridCol w:w="667"/>
            </w:tblGrid>
            <w:tr w14:paraId="7E00C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7" w:hRule="atLeast"/>
                <w:tblHeader/>
                <w:jc w:val="center"/>
              </w:trPr>
              <w:tc>
                <w:tcPr>
                  <w:tcW w:w="1021" w:type="dxa"/>
                  <w:tcBorders>
                    <w:tl2br w:val="nil"/>
                    <w:tr2bl w:val="nil"/>
                  </w:tcBorders>
                  <w:noWrap w:val="0"/>
                  <w:vAlign w:val="center"/>
                </w:tcPr>
                <w:p w14:paraId="7E4B6CCC">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序号</w:t>
                  </w:r>
                </w:p>
              </w:tc>
              <w:tc>
                <w:tcPr>
                  <w:tcW w:w="4719" w:type="dxa"/>
                  <w:tcBorders>
                    <w:tl2br w:val="nil"/>
                    <w:tr2bl w:val="nil"/>
                  </w:tcBorders>
                  <w:noWrap w:val="0"/>
                  <w:vAlign w:val="center"/>
                </w:tcPr>
                <w:p w14:paraId="69F36C8A">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kern w:val="2"/>
                      <w:sz w:val="21"/>
                      <w:szCs w:val="21"/>
                      <w:lang w:val="en-US" w:eastAsia="zh-CN" w:bidi="ar-SA"/>
                    </w:rPr>
                    <w:t>《青阳县国土空间总体规划》（2021-2035）要求</w:t>
                  </w:r>
                </w:p>
              </w:tc>
              <w:tc>
                <w:tcPr>
                  <w:tcW w:w="1691" w:type="dxa"/>
                  <w:tcBorders>
                    <w:tl2br w:val="nil"/>
                    <w:tr2bl w:val="nil"/>
                  </w:tcBorders>
                  <w:noWrap w:val="0"/>
                  <w:vAlign w:val="center"/>
                </w:tcPr>
                <w:p w14:paraId="39BABC20">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cs="Times New Roman"/>
                      <w:b/>
                      <w:bCs/>
                      <w:color w:val="auto"/>
                      <w:sz w:val="21"/>
                      <w:szCs w:val="21"/>
                      <w:lang w:eastAsia="zh-CN"/>
                    </w:rPr>
                    <w:t>本项目</w:t>
                  </w:r>
                  <w:r>
                    <w:rPr>
                      <w:rFonts w:hint="default" w:ascii="Times New Roman" w:hAnsi="Times New Roman" w:eastAsia="宋体" w:cs="Times New Roman"/>
                      <w:b/>
                      <w:bCs/>
                      <w:color w:val="auto"/>
                      <w:sz w:val="21"/>
                      <w:szCs w:val="21"/>
                    </w:rPr>
                    <w:t>情况分析</w:t>
                  </w:r>
                </w:p>
              </w:tc>
              <w:tc>
                <w:tcPr>
                  <w:tcW w:w="667" w:type="dxa"/>
                  <w:tcBorders>
                    <w:tl2br w:val="nil"/>
                    <w:tr2bl w:val="nil"/>
                  </w:tcBorders>
                  <w:noWrap w:val="0"/>
                  <w:vAlign w:val="center"/>
                </w:tcPr>
                <w:p w14:paraId="36B56C8A">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kern w:val="2"/>
                      <w:sz w:val="21"/>
                      <w:szCs w:val="21"/>
                      <w:lang w:val="en-US" w:eastAsia="zh-CN" w:bidi="ar-SA"/>
                    </w:rPr>
                    <w:t>符合情况</w:t>
                  </w:r>
                </w:p>
              </w:tc>
            </w:tr>
            <w:tr w14:paraId="5CDD4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73" w:hRule="atLeast"/>
                <w:jc w:val="center"/>
              </w:trPr>
              <w:tc>
                <w:tcPr>
                  <w:tcW w:w="1021" w:type="dxa"/>
                  <w:tcBorders>
                    <w:tl2br w:val="nil"/>
                    <w:tr2bl w:val="nil"/>
                  </w:tcBorders>
                  <w:noWrap w:val="0"/>
                  <w:vAlign w:val="center"/>
                </w:tcPr>
                <w:p w14:paraId="1F927258">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第三章以“三区三线”为基础，构建国土空间新格局</w:t>
                  </w:r>
                </w:p>
              </w:tc>
              <w:tc>
                <w:tcPr>
                  <w:tcW w:w="4719" w:type="dxa"/>
                  <w:tcBorders>
                    <w:tl2br w:val="nil"/>
                    <w:tr2bl w:val="nil"/>
                  </w:tcBorders>
                  <w:noWrap w:val="0"/>
                  <w:vAlign w:val="center"/>
                </w:tcPr>
                <w:p w14:paraId="14A5BFFD">
                  <w:pPr>
                    <w:pStyle w:val="37"/>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both"/>
                    <w:textAlignment w:val="auto"/>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bCs/>
                      <w:color w:val="auto"/>
                      <w:kern w:val="2"/>
                      <w:sz w:val="21"/>
                      <w:szCs w:val="21"/>
                      <w:lang w:val="en-US" w:eastAsia="zh-CN" w:bidi="ar-SA"/>
                    </w:rPr>
                    <w:t>第一节 严守三条控制线</w:t>
                  </w:r>
                </w:p>
                <w:p w14:paraId="33148170">
                  <w:pPr>
                    <w:pStyle w:val="37"/>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both"/>
                    <w:textAlignment w:val="auto"/>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bCs/>
                      <w:color w:val="auto"/>
                      <w:kern w:val="2"/>
                      <w:sz w:val="21"/>
                      <w:szCs w:val="21"/>
                      <w:lang w:val="en-US" w:eastAsia="zh-CN" w:bidi="ar-SA"/>
                    </w:rPr>
                    <w:t>落实耕地和永久基本农田保护红线。</w:t>
                  </w:r>
                  <w:r>
                    <w:rPr>
                      <w:rFonts w:hint="default" w:ascii="Times New Roman" w:hAnsi="Times New Roman" w:eastAsia="宋体" w:cs="Times New Roman"/>
                      <w:b w:val="0"/>
                      <w:bCs w:val="0"/>
                      <w:color w:val="auto"/>
                      <w:kern w:val="2"/>
                      <w:sz w:val="21"/>
                      <w:szCs w:val="21"/>
                      <w:lang w:val="en-US" w:eastAsia="zh-CN" w:bidi="ar-SA"/>
                    </w:rPr>
                    <w:t>规划期内全县耕地保有量不少于31.13万亩，落实耕地占补平衡。规划期内永久基本农田面积不少于27.96万亩。严格实施耕地用途管制，耕地和永久基本农田未经批准不得擅自调整。</w:t>
                  </w:r>
                </w:p>
                <w:p w14:paraId="2982CC9D">
                  <w:pPr>
                    <w:pStyle w:val="37"/>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both"/>
                    <w:textAlignment w:val="auto"/>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bCs/>
                      <w:color w:val="auto"/>
                      <w:kern w:val="2"/>
                      <w:sz w:val="21"/>
                      <w:szCs w:val="21"/>
                      <w:lang w:val="en-US" w:eastAsia="zh-CN" w:bidi="ar-SA"/>
                    </w:rPr>
                    <w:t>落实生态保护红线。</w:t>
                  </w:r>
                  <w:r>
                    <w:rPr>
                      <w:rFonts w:hint="default" w:ascii="Times New Roman" w:hAnsi="Times New Roman" w:eastAsia="宋体" w:cs="Times New Roman"/>
                      <w:b w:val="0"/>
                      <w:bCs w:val="0"/>
                      <w:color w:val="auto"/>
                      <w:kern w:val="2"/>
                      <w:sz w:val="21"/>
                      <w:szCs w:val="21"/>
                      <w:lang w:val="en-US" w:eastAsia="zh-CN" w:bidi="ar-SA"/>
                    </w:rPr>
                    <w:t>规划期内全县划定生态保护红线不少于245.82平方千米。</w:t>
                  </w:r>
                </w:p>
                <w:p w14:paraId="51B9C960">
                  <w:pPr>
                    <w:pStyle w:val="37"/>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both"/>
                    <w:textAlignment w:val="auto"/>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bCs/>
                      <w:color w:val="auto"/>
                      <w:kern w:val="2"/>
                      <w:sz w:val="21"/>
                      <w:szCs w:val="21"/>
                      <w:lang w:val="en-US" w:eastAsia="zh-CN" w:bidi="ar-SA"/>
                    </w:rPr>
                    <w:t>合理划定城镇开发边界。</w:t>
                  </w:r>
                  <w:r>
                    <w:rPr>
                      <w:rFonts w:hint="default" w:ascii="Times New Roman" w:hAnsi="Times New Roman" w:eastAsia="宋体" w:cs="Times New Roman"/>
                      <w:b w:val="0"/>
                      <w:bCs w:val="0"/>
                      <w:color w:val="auto"/>
                      <w:kern w:val="2"/>
                      <w:sz w:val="21"/>
                      <w:szCs w:val="21"/>
                      <w:lang w:val="en-US" w:eastAsia="zh-CN" w:bidi="ar-SA"/>
                    </w:rPr>
                    <w:t>在优先划定耕地和永久基本农田、生态保护红线的基础上，全县划定城镇开发边界不高于48.40平方千米。</w:t>
                  </w:r>
                </w:p>
              </w:tc>
              <w:tc>
                <w:tcPr>
                  <w:tcW w:w="1691" w:type="dxa"/>
                  <w:tcBorders>
                    <w:tl2br w:val="nil"/>
                    <w:tr2bl w:val="nil"/>
                  </w:tcBorders>
                  <w:noWrap w:val="0"/>
                  <w:vAlign w:val="center"/>
                </w:tcPr>
                <w:p w14:paraId="76457E75">
                  <w:pPr>
                    <w:pStyle w:val="37"/>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both"/>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kern w:val="2"/>
                      <w:sz w:val="21"/>
                      <w:szCs w:val="21"/>
                      <w:lang w:val="en-US" w:eastAsia="zh-CN" w:bidi="ar-SA"/>
                    </w:rPr>
                    <w:t>对照《青阳县国土空间总体规划》（2021-2035）</w:t>
                  </w:r>
                  <w:r>
                    <w:rPr>
                      <w:rFonts w:hint="eastAsia" w:ascii="Times New Roman" w:hAnsi="Times New Roman" w:cs="Times New Roman"/>
                      <w:b w:val="0"/>
                      <w:bCs w:val="0"/>
                      <w:color w:val="auto"/>
                      <w:kern w:val="2"/>
                      <w:sz w:val="21"/>
                      <w:szCs w:val="21"/>
                      <w:lang w:val="en-US" w:eastAsia="zh-CN" w:bidi="ar-SA"/>
                    </w:rPr>
                    <w:t>县</w:t>
                  </w:r>
                  <w:r>
                    <w:rPr>
                      <w:rFonts w:hint="default" w:ascii="Times New Roman" w:hAnsi="Times New Roman" w:cs="Times New Roman"/>
                      <w:b w:val="0"/>
                      <w:bCs w:val="0"/>
                      <w:color w:val="auto"/>
                      <w:kern w:val="2"/>
                      <w:sz w:val="21"/>
                      <w:szCs w:val="21"/>
                      <w:lang w:val="en-US" w:eastAsia="zh-CN" w:bidi="ar-SA"/>
                    </w:rPr>
                    <w:t>域国土空间控制线规划图</w:t>
                  </w:r>
                  <w:r>
                    <w:rPr>
                      <w:rFonts w:hint="eastAsia" w:ascii="Times New Roman" w:hAnsi="Times New Roman" w:cs="Times New Roman"/>
                      <w:b w:val="0"/>
                      <w:bCs w:val="0"/>
                      <w:color w:val="auto"/>
                      <w:kern w:val="2"/>
                      <w:sz w:val="21"/>
                      <w:szCs w:val="21"/>
                      <w:lang w:val="en-US" w:eastAsia="zh-CN" w:bidi="ar-SA"/>
                    </w:rPr>
                    <w:t>（详见附图9）</w:t>
                  </w:r>
                  <w:r>
                    <w:rPr>
                      <w:rFonts w:hint="default" w:ascii="Times New Roman" w:hAnsi="Times New Roman" w:cs="Times New Roman"/>
                      <w:b w:val="0"/>
                      <w:bCs w:val="0"/>
                      <w:color w:val="auto"/>
                      <w:kern w:val="2"/>
                      <w:sz w:val="21"/>
                      <w:szCs w:val="21"/>
                      <w:lang w:val="en-US" w:eastAsia="zh-CN" w:bidi="ar-SA"/>
                    </w:rPr>
                    <w:t>，本项目位于城市开发边界内，不占用永久基本农田和生态保护红线</w:t>
                  </w:r>
                  <w:r>
                    <w:rPr>
                      <w:rFonts w:hint="eastAsia" w:ascii="Times New Roman" w:hAnsi="Times New Roman" w:cs="Times New Roman"/>
                      <w:b w:val="0"/>
                      <w:bCs w:val="0"/>
                      <w:color w:val="auto"/>
                      <w:kern w:val="2"/>
                      <w:sz w:val="21"/>
                      <w:szCs w:val="21"/>
                      <w:lang w:val="en-US" w:eastAsia="zh-CN" w:bidi="ar-SA"/>
                    </w:rPr>
                    <w:t>。</w:t>
                  </w:r>
                </w:p>
              </w:tc>
              <w:tc>
                <w:tcPr>
                  <w:tcW w:w="667" w:type="dxa"/>
                  <w:tcBorders>
                    <w:tl2br w:val="nil"/>
                    <w:tr2bl w:val="nil"/>
                  </w:tcBorders>
                  <w:noWrap w:val="0"/>
                  <w:vAlign w:val="center"/>
                </w:tcPr>
                <w:p w14:paraId="23D50B31">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符合</w:t>
                  </w:r>
                </w:p>
              </w:tc>
            </w:tr>
          </w:tbl>
          <w:p w14:paraId="00A17628">
            <w:pPr>
              <w:bidi w:val="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综上，本项目与《青阳县国土空间总体规划》（2021-2035）相符合</w:t>
            </w:r>
            <w:r>
              <w:rPr>
                <w:rFonts w:hint="default" w:ascii="Times New Roman" w:hAnsi="Times New Roman" w:eastAsia="宋体" w:cs="Times New Roman"/>
                <w:color w:val="auto"/>
                <w:sz w:val="24"/>
                <w:szCs w:val="24"/>
              </w:rPr>
              <w:t>。</w:t>
            </w:r>
          </w:p>
          <w:p w14:paraId="756C9497">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b/>
                <w:bCs/>
                <w:color w:val="auto"/>
                <w:sz w:val="24"/>
                <w:lang w:val="zh-CN"/>
              </w:rPr>
            </w:pPr>
            <w:r>
              <w:rPr>
                <w:rFonts w:hint="eastAsia" w:cs="Times New Roman"/>
                <w:b/>
                <w:bCs/>
                <w:color w:val="auto"/>
                <w:sz w:val="24"/>
                <w:szCs w:val="24"/>
                <w:lang w:val="en-US" w:eastAsia="zh-CN"/>
              </w:rPr>
              <w:t xml:space="preserve">1.2 </w:t>
            </w:r>
            <w:r>
              <w:rPr>
                <w:b/>
                <w:bCs/>
                <w:color w:val="auto"/>
                <w:sz w:val="24"/>
              </w:rPr>
              <w:t>与</w:t>
            </w:r>
            <w:r>
              <w:rPr>
                <w:rFonts w:hint="eastAsia"/>
                <w:b/>
                <w:bCs/>
                <w:color w:val="auto"/>
                <w:sz w:val="24"/>
              </w:rPr>
              <w:t>《安徽青阳经济开发区总体发展规划（</w:t>
            </w:r>
            <w:r>
              <w:rPr>
                <w:rFonts w:hint="eastAsia"/>
                <w:b/>
                <w:bCs/>
                <w:color w:val="auto"/>
                <w:sz w:val="24"/>
                <w:lang w:eastAsia="zh-CN"/>
              </w:rPr>
              <w:t>2021-2030年</w:t>
            </w:r>
            <w:r>
              <w:rPr>
                <w:rFonts w:hint="eastAsia"/>
                <w:b/>
                <w:bCs/>
                <w:color w:val="auto"/>
                <w:sz w:val="24"/>
              </w:rPr>
              <w:t>）》符合</w:t>
            </w:r>
            <w:r>
              <w:rPr>
                <w:b/>
                <w:bCs/>
                <w:color w:val="auto"/>
                <w:sz w:val="24"/>
                <w:lang w:val="zh-CN"/>
              </w:rPr>
              <w:t>性分析</w:t>
            </w:r>
          </w:p>
          <w:p w14:paraId="2C808E3D">
            <w:pPr>
              <w:bidi w:val="0"/>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1</w:t>
            </w:r>
            <w:r>
              <w:rPr>
                <w:rFonts w:hint="eastAsia" w:ascii="Times New Roman" w:hAnsi="Times New Roman" w:cs="Times New Roman"/>
                <w:color w:val="auto"/>
                <w:sz w:val="24"/>
                <w:szCs w:val="24"/>
                <w:lang w:eastAsia="zh-CN"/>
              </w:rPr>
              <w:t>）</w:t>
            </w:r>
            <w:r>
              <w:rPr>
                <w:rFonts w:hint="default" w:ascii="Times New Roman" w:hAnsi="Times New Roman" w:cs="Times New Roman"/>
                <w:color w:val="auto"/>
                <w:sz w:val="24"/>
                <w:szCs w:val="24"/>
              </w:rPr>
              <w:t>规划范围与面积</w:t>
            </w:r>
          </w:p>
          <w:p w14:paraId="698F83B5">
            <w:pPr>
              <w:bidi w:val="0"/>
              <w:rPr>
                <w:rFonts w:hint="default" w:ascii="Times New Roman" w:hAnsi="Times New Roman" w:cs="Times New Roman"/>
                <w:color w:val="auto"/>
                <w:sz w:val="24"/>
                <w:szCs w:val="24"/>
              </w:rPr>
            </w:pPr>
            <w:r>
              <w:rPr>
                <w:rFonts w:hint="eastAsia" w:cs="Times New Roman"/>
                <w:color w:val="auto"/>
                <w:sz w:val="24"/>
                <w:szCs w:val="24"/>
                <w:lang w:val="en-US" w:eastAsia="zh-CN"/>
              </w:rPr>
              <w:t>根据《安徽青阳经济开发区总体发展规划（2021-2030年）》，青阳经济开发区调整后的园区位于青阳县城的东部和县域的东部、北部，分为东河园区、木镇新河园区和童埠园区，其中，东河园区位于青阳县城的东部，规划用地规模控制为507.2公顷；木镇新河园位于木镇以南、新河以北，规划用地规模控制为215.34公顷；童埠园位于青阳县北部，规划用地规模控制为69.91公顷，规划用地面积总计792.45公顷。</w:t>
            </w:r>
          </w:p>
          <w:p w14:paraId="6E3C0808">
            <w:pPr>
              <w:bidi w:val="0"/>
              <w:rPr>
                <w:rFonts w:hint="eastAsia" w:ascii="Times New Roman" w:hAnsi="Times New Roman" w:eastAsia="宋体" w:cs="Times New Roman"/>
                <w:color w:val="auto"/>
                <w:sz w:val="24"/>
                <w:szCs w:val="24"/>
                <w:lang w:eastAsia="zh-CN"/>
              </w:rPr>
            </w:pPr>
            <w:r>
              <w:rPr>
                <w:rFonts w:hint="eastAsia" w:cs="Times New Roman"/>
                <w:color w:val="auto"/>
                <w:sz w:val="24"/>
                <w:szCs w:val="24"/>
                <w:lang w:val="en-US" w:eastAsia="zh-CN"/>
              </w:rPr>
              <w:t>（2）规划目标</w:t>
            </w:r>
          </w:p>
          <w:p w14:paraId="67DEEC1E">
            <w:pPr>
              <w:autoSpaceDE w:val="0"/>
              <w:autoSpaceDN w:val="0"/>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规划确定青阳经济开发区的发展定位为：“一基地、两示范、三高地”。“一基地”：世界级镁基新材料及轻量化应用示范基地；“两示范”：长三角一体化融合发展示范区、安徽省高质量创新发展示范区；“三高地”：开放发展新高地、绿色低碳发展新高地、现代服务新高地。</w:t>
            </w:r>
          </w:p>
          <w:p w14:paraId="5EDF1DB1">
            <w:pPr>
              <w:bidi w:val="0"/>
              <w:rPr>
                <w:rFonts w:hint="default"/>
                <w:color w:val="auto"/>
              </w:rPr>
            </w:pPr>
            <w:r>
              <w:rPr>
                <w:rFonts w:hint="default" w:ascii="Times New Roman" w:hAnsi="Times New Roman" w:cs="Times New Roman"/>
                <w:color w:val="auto"/>
                <w:sz w:val="24"/>
                <w:szCs w:val="24"/>
                <w:highlight w:val="none"/>
              </w:rPr>
              <w:t>东河园功能定位：打造科技创新典范，建设前沿产业集聚区、服务经济新引擎，打造绿色转型新标杆，建设智能制造新高地、循环经济示范区。</w:t>
            </w:r>
          </w:p>
          <w:p w14:paraId="7B3B516A">
            <w:pPr>
              <w:bidi w:val="0"/>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（3）产业定位</w:t>
            </w:r>
          </w:p>
          <w:p w14:paraId="0A479833">
            <w:pPr>
              <w:bidi w:val="0"/>
              <w:rPr>
                <w:rFonts w:hint="eastAsia" w:cs="Times New Roman"/>
                <w:color w:val="auto"/>
                <w:sz w:val="24"/>
                <w:szCs w:val="24"/>
                <w:lang w:val="en-US" w:eastAsia="zh-CN"/>
              </w:rPr>
            </w:pPr>
            <w:r>
              <w:rPr>
                <w:rFonts w:hint="eastAsia" w:cs="Times New Roman"/>
                <w:color w:val="auto"/>
                <w:sz w:val="24"/>
                <w:szCs w:val="24"/>
                <w:lang w:val="en-US" w:eastAsia="zh-CN"/>
              </w:rPr>
              <w:t>规划的主导产业为镁基新材料产业集群、机电装备制造产业集群及非金属新材料产业集群。</w:t>
            </w:r>
          </w:p>
          <w:p w14:paraId="78F7C767">
            <w:pPr>
              <w:bidi w:val="0"/>
              <w:rPr>
                <w:rFonts w:hint="default" w:ascii="Times New Roman" w:hAnsi="Times New Roman" w:cs="Times New Roman"/>
                <w:color w:val="auto"/>
                <w:sz w:val="24"/>
                <w:szCs w:val="24"/>
              </w:rPr>
            </w:pPr>
            <w:r>
              <w:rPr>
                <w:rFonts w:hint="eastAsia" w:cs="Times New Roman"/>
                <w:color w:val="auto"/>
                <w:sz w:val="24"/>
                <w:szCs w:val="24"/>
                <w:lang w:val="en-US" w:eastAsia="zh-CN"/>
              </w:rPr>
              <w:t>机电装备制造产业集群：借助镁基新材料产业的发展，培育壮大高端镁合金零部件生产等下游产业为机电制造产业发展的新动能；通过对流体设备制造、机电制造、电子元器件生产等传统产业高端化、智能化、绿色化转型，增强产业创新能力，提升现有产业能级，发展为以标准化、品牌化、高端化产品为主的机电装备制造产业集群。</w:t>
            </w:r>
          </w:p>
          <w:p w14:paraId="3D83FB67">
            <w:pPr>
              <w:autoSpaceDE w:val="0"/>
              <w:autoSpaceDN w:val="0"/>
              <w:spacing w:line="360" w:lineRule="auto"/>
              <w:ind w:firstLine="480" w:firstLineChars="200"/>
              <w:rPr>
                <w:rFonts w:hint="eastAsia" w:cs="Times New Roman"/>
                <w:color w:val="auto"/>
                <w:sz w:val="24"/>
                <w:szCs w:val="24"/>
                <w:lang w:val="en-US" w:eastAsia="zh-CN"/>
              </w:rPr>
            </w:pPr>
            <w:r>
              <w:rPr>
                <w:rFonts w:hint="eastAsia" w:cs="Times New Roman"/>
                <w:color w:val="auto"/>
                <w:sz w:val="24"/>
                <w:szCs w:val="24"/>
                <w:lang w:val="en-US" w:eastAsia="zh-CN"/>
              </w:rPr>
              <w:t>东河园产业布局发展重点：围绕高端制造功能，集聚发展特色工艺、关键装备、高端合金、智能装备等前沿产业项目。以童埠园镁基材料、木镇新河园镁合金深加工产品为产业上游，延伸发展工装设备、高端零部件、复材结构件、大型压铸件等先进镁合金应用产业；依托存量、布局增量，以科技创新为引擎、智能制造为核心，打造新一代信息技术产业、智能机器人、成套设备、精密工程等产业集群。积极布局生产性服务业，推进研发与转化功能型平台落地，推动重大科技成果转移转化；打造一批市场化运作的共性技术研发和产业促进服务平台，加快吸引行业龙头企业、创新创业企业和专业性服务机构入驻，培育新型孵化器、加速器，实现生产性服务业集约发展。</w:t>
            </w:r>
          </w:p>
          <w:p w14:paraId="18750837">
            <w:pPr>
              <w:bidi w:val="0"/>
              <w:rPr>
                <w:rFonts w:hint="default" w:ascii="Times New Roman" w:hAnsi="Times New Roman" w:cs="Times New Roman"/>
                <w:color w:val="auto"/>
                <w:sz w:val="24"/>
                <w:szCs w:val="24"/>
              </w:rPr>
            </w:pPr>
            <w:r>
              <w:rPr>
                <w:rFonts w:hint="eastAsia" w:cs="Times New Roman"/>
                <w:color w:val="auto"/>
                <w:sz w:val="24"/>
                <w:szCs w:val="24"/>
                <w:lang w:val="en-US" w:eastAsia="zh-CN"/>
              </w:rPr>
              <w:t>（4）</w:t>
            </w:r>
            <w:r>
              <w:rPr>
                <w:rFonts w:hint="default" w:ascii="Times New Roman" w:hAnsi="Times New Roman" w:cs="Times New Roman"/>
                <w:color w:val="auto"/>
                <w:sz w:val="24"/>
                <w:szCs w:val="24"/>
              </w:rPr>
              <w:t>规划符合性分析</w:t>
            </w:r>
          </w:p>
          <w:p w14:paraId="6516C5D5">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color w:val="auto"/>
                <w:sz w:val="24"/>
                <w:szCs w:val="24"/>
                <w:lang w:val="en-US" w:eastAsia="zh-CN"/>
              </w:rPr>
            </w:pPr>
            <w:r>
              <w:rPr>
                <w:rFonts w:hint="default" w:ascii="Times New Roman" w:hAnsi="Times New Roman" w:eastAsia="宋体" w:cs="Times New Roman"/>
                <w:color w:val="auto"/>
                <w:sz w:val="24"/>
                <w:szCs w:val="24"/>
                <w:highlight w:val="none"/>
                <w:lang w:val="en-US" w:eastAsia="zh-CN"/>
              </w:rPr>
              <w:t>本</w:t>
            </w:r>
            <w:r>
              <w:rPr>
                <w:rFonts w:hint="default" w:ascii="Times New Roman" w:hAnsi="Times New Roman" w:eastAsia="宋体" w:cs="Times New Roman"/>
                <w:color w:val="auto"/>
                <w:sz w:val="24"/>
                <w:szCs w:val="24"/>
                <w:highlight w:val="none"/>
              </w:rPr>
              <w:t>项目位于安徽青阳经济开发区东河园区</w:t>
            </w:r>
            <w:r>
              <w:rPr>
                <w:rFonts w:hint="default" w:ascii="Times New Roman" w:hAnsi="Times New Roman" w:eastAsia="宋体" w:cs="Times New Roman"/>
                <w:color w:val="auto"/>
                <w:sz w:val="24"/>
                <w:highlight w:val="none"/>
                <w:lang w:val="en-US" w:eastAsia="zh-CN"/>
              </w:rPr>
              <w:t>，</w:t>
            </w:r>
            <w:r>
              <w:rPr>
                <w:rFonts w:hint="default"/>
                <w:color w:val="auto"/>
                <w:sz w:val="24"/>
                <w:szCs w:val="24"/>
              </w:rPr>
              <w:t>地理位置图详见附图1</w:t>
            </w:r>
            <w:r>
              <w:rPr>
                <w:rFonts w:hint="eastAsia"/>
                <w:color w:val="auto"/>
                <w:sz w:val="24"/>
                <w:szCs w:val="24"/>
                <w:lang w:eastAsia="zh-CN"/>
              </w:rPr>
              <w:t>，</w:t>
            </w:r>
            <w:r>
              <w:rPr>
                <w:rFonts w:hint="default" w:ascii="Times New Roman" w:hAnsi="Times New Roman" w:eastAsia="宋体" w:cs="Times New Roman"/>
                <w:color w:val="auto"/>
                <w:sz w:val="24"/>
                <w:szCs w:val="24"/>
                <w:highlight w:val="none"/>
                <w:lang w:val="en-US" w:eastAsia="zh-CN"/>
              </w:rPr>
              <w:t>根据</w:t>
            </w:r>
            <w:r>
              <w:rPr>
                <w:rFonts w:hint="eastAsia" w:cs="Times New Roman"/>
                <w:color w:val="auto"/>
                <w:sz w:val="24"/>
                <w:szCs w:val="24"/>
                <w:highlight w:val="none"/>
                <w:lang w:val="en-US" w:eastAsia="zh-CN"/>
              </w:rPr>
              <w:t>《青阳县</w:t>
            </w:r>
            <w:r>
              <w:rPr>
                <w:rFonts w:hint="default" w:ascii="Times New Roman" w:hAnsi="Times New Roman" w:eastAsia="宋体" w:cs="Times New Roman"/>
                <w:color w:val="auto"/>
                <w:sz w:val="24"/>
                <w:szCs w:val="24"/>
                <w:highlight w:val="none"/>
                <w:lang w:val="en-US" w:eastAsia="zh-CN"/>
              </w:rPr>
              <w:t>经济开发区总体规划（</w:t>
            </w:r>
            <w:r>
              <w:rPr>
                <w:rFonts w:hint="eastAsia" w:cs="Times New Roman"/>
                <w:color w:val="auto"/>
                <w:sz w:val="24"/>
                <w:szCs w:val="24"/>
                <w:highlight w:val="none"/>
                <w:lang w:val="en-US" w:eastAsia="zh-CN"/>
              </w:rPr>
              <w:t>2021-2030年</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》中</w:t>
            </w:r>
            <w:r>
              <w:rPr>
                <w:rFonts w:hint="default" w:ascii="Times New Roman" w:hAnsi="Times New Roman" w:eastAsia="宋体" w:cs="Times New Roman"/>
                <w:color w:val="auto"/>
                <w:sz w:val="24"/>
                <w:szCs w:val="24"/>
                <w:highlight w:val="none"/>
                <w:lang w:val="en-US" w:eastAsia="zh-CN"/>
              </w:rPr>
              <w:t>的位置</w:t>
            </w:r>
            <w:r>
              <w:rPr>
                <w:rFonts w:hint="eastAsia"/>
                <w:color w:val="auto"/>
                <w:sz w:val="24"/>
                <w:szCs w:val="24"/>
                <w:lang w:val="en-US" w:eastAsia="zh-CN"/>
              </w:rPr>
              <w:t>（详见附图10）</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项目用地</w:t>
            </w:r>
            <w:r>
              <w:rPr>
                <w:rFonts w:hint="default" w:ascii="Times New Roman" w:hAnsi="Times New Roman" w:eastAsia="宋体" w:cs="Times New Roman"/>
                <w:color w:val="auto"/>
                <w:sz w:val="24"/>
                <w:szCs w:val="24"/>
                <w:highlight w:val="none"/>
                <w:lang w:val="en-US" w:eastAsia="zh-CN"/>
              </w:rPr>
              <w:t>属于</w:t>
            </w:r>
            <w:r>
              <w:rPr>
                <w:rFonts w:hint="default" w:ascii="Times New Roman" w:hAnsi="Times New Roman" w:eastAsia="宋体" w:cs="Times New Roman"/>
                <w:color w:val="auto"/>
                <w:sz w:val="24"/>
                <w:szCs w:val="24"/>
                <w:highlight w:val="none"/>
              </w:rPr>
              <w:t>工业用地。</w:t>
            </w:r>
            <w:r>
              <w:rPr>
                <w:rFonts w:hint="default" w:ascii="Times New Roman" w:hAnsi="Times New Roman" w:eastAsia="宋体" w:cs="Times New Roman"/>
                <w:color w:val="auto"/>
                <w:kern w:val="0"/>
                <w:sz w:val="24"/>
                <w:szCs w:val="24"/>
                <w:highlight w:val="none"/>
                <w:lang w:val="en-US" w:eastAsia="zh-CN"/>
              </w:rPr>
              <w:t>本</w:t>
            </w:r>
            <w:r>
              <w:rPr>
                <w:rFonts w:hint="default" w:ascii="Times New Roman" w:hAnsi="Times New Roman" w:eastAsia="宋体" w:cs="Times New Roman"/>
                <w:color w:val="auto"/>
                <w:kern w:val="0"/>
                <w:sz w:val="24"/>
                <w:szCs w:val="24"/>
                <w:highlight w:val="none"/>
              </w:rPr>
              <w:t>项目行业类别为</w:t>
            </w:r>
            <w:r>
              <w:rPr>
                <w:rFonts w:hint="default" w:ascii="Times New Roman" w:hAnsi="Times New Roman" w:cs="Times New Roman"/>
                <w:color w:val="auto"/>
                <w:sz w:val="24"/>
                <w:szCs w:val="24"/>
                <w:highlight w:val="none"/>
                <w:lang w:val="en-US" w:eastAsia="zh-CN"/>
              </w:rPr>
              <w:t>C3422</w:t>
            </w:r>
            <w:r>
              <w:rPr>
                <w:rFonts w:hint="eastAsia" w:cs="Times New Roman"/>
                <w:color w:val="auto"/>
                <w:sz w:val="24"/>
                <w:szCs w:val="24"/>
                <w:highlight w:val="none"/>
                <w:lang w:val="en-US" w:eastAsia="zh-CN"/>
              </w:rPr>
              <w:t>金属成形</w:t>
            </w:r>
            <w:r>
              <w:rPr>
                <w:rFonts w:hint="default" w:ascii="Times New Roman" w:hAnsi="Times New Roman" w:cs="Times New Roman"/>
                <w:color w:val="auto"/>
                <w:sz w:val="24"/>
                <w:szCs w:val="24"/>
                <w:highlight w:val="none"/>
                <w:lang w:val="en-US" w:eastAsia="zh-CN"/>
              </w:rPr>
              <w:t>机床制造</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C3423铸造机械制造</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C3461烘炉、熔炉及电炉制造，属于主导产业</w:t>
            </w:r>
            <w:r>
              <w:rPr>
                <w:rFonts w:hint="eastAsia" w:ascii="Times New Roman" w:hAnsi="Times New Roman" w:cs="Times New Roman"/>
                <w:color w:val="auto"/>
                <w:sz w:val="24"/>
                <w:szCs w:val="24"/>
                <w:highlight w:val="none"/>
                <w:lang w:val="en-US" w:eastAsia="zh-CN"/>
              </w:rPr>
              <w:t>的配套产业</w:t>
            </w:r>
            <w:r>
              <w:rPr>
                <w:rFonts w:hint="default"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因此，本项目</w:t>
            </w:r>
            <w:r>
              <w:rPr>
                <w:rFonts w:hint="default" w:ascii="Times New Roman" w:hAnsi="Times New Roman" w:cs="Times New Roman"/>
                <w:color w:val="auto"/>
                <w:sz w:val="24"/>
                <w:szCs w:val="24"/>
                <w:highlight w:val="none"/>
                <w:lang w:val="en-US" w:eastAsia="zh-CN"/>
              </w:rPr>
              <w:t>的建设</w:t>
            </w:r>
            <w:r>
              <w:rPr>
                <w:rFonts w:hint="default" w:ascii="Times New Roman" w:hAnsi="Times New Roman" w:cs="Times New Roman"/>
                <w:color w:val="auto"/>
                <w:sz w:val="24"/>
                <w:szCs w:val="24"/>
                <w:highlight w:val="none"/>
              </w:rPr>
              <w:t>符合《安徽青阳经济开发区总体发展规划（2021-2030年）》</w:t>
            </w:r>
            <w:r>
              <w:rPr>
                <w:rFonts w:hint="default" w:ascii="Times New Roman" w:hAnsi="Times New Roman" w:cs="Times New Roman"/>
                <w:color w:val="auto"/>
                <w:sz w:val="24"/>
                <w:szCs w:val="24"/>
                <w:highlight w:val="none"/>
                <w:lang w:val="en-US" w:eastAsia="zh-CN"/>
              </w:rPr>
              <w:t>中产业规划</w:t>
            </w:r>
            <w:r>
              <w:rPr>
                <w:rFonts w:hint="default" w:ascii="Times New Roman" w:hAnsi="Times New Roman" w:cs="Times New Roman"/>
                <w:color w:val="auto"/>
                <w:sz w:val="24"/>
                <w:szCs w:val="24"/>
                <w:highlight w:val="none"/>
              </w:rPr>
              <w:t>要求</w:t>
            </w:r>
            <w:r>
              <w:rPr>
                <w:rFonts w:hint="default" w:ascii="Times New Roman" w:hAnsi="Times New Roman" w:eastAsia="宋体" w:cs="Times New Roman"/>
                <w:color w:val="auto"/>
                <w:kern w:val="0"/>
                <w:sz w:val="24"/>
                <w:szCs w:val="24"/>
                <w:highlight w:val="none"/>
              </w:rPr>
              <w:t>。</w:t>
            </w:r>
          </w:p>
          <w:p w14:paraId="0216EFAD">
            <w:pPr>
              <w:bidi w:val="0"/>
              <w:rPr>
                <w:rFonts w:hint="eastAsia"/>
                <w:color w:val="auto"/>
                <w:sz w:val="24"/>
                <w:szCs w:val="24"/>
                <w:lang w:val="en-US" w:eastAsia="zh-CN"/>
              </w:rPr>
            </w:pPr>
            <w:r>
              <w:rPr>
                <w:rFonts w:hint="default"/>
                <w:color w:val="auto"/>
                <w:sz w:val="24"/>
                <w:szCs w:val="24"/>
              </w:rPr>
              <w:t>项目位于安徽省池州市青阳县经济开发区东河园区安徽赛王仓储有限公司厂区内，</w:t>
            </w:r>
            <w:r>
              <w:rPr>
                <w:rFonts w:hint="eastAsia"/>
                <w:color w:val="auto"/>
                <w:sz w:val="24"/>
                <w:szCs w:val="24"/>
                <w:lang w:eastAsia="zh-CN"/>
              </w:rPr>
              <w:t>厂界外</w:t>
            </w:r>
            <w:r>
              <w:rPr>
                <w:rFonts w:hint="default"/>
                <w:color w:val="auto"/>
                <w:sz w:val="24"/>
                <w:szCs w:val="24"/>
              </w:rPr>
              <w:t>西北侧为5.47m人才公寓，东侧为城东路，南侧</w:t>
            </w:r>
            <w:r>
              <w:rPr>
                <w:rFonts w:hint="eastAsia"/>
                <w:color w:val="auto"/>
                <w:sz w:val="24"/>
                <w:szCs w:val="24"/>
                <w:lang w:eastAsia="zh-CN"/>
              </w:rPr>
              <w:t>为乔木路</w:t>
            </w:r>
            <w:r>
              <w:rPr>
                <w:rFonts w:hint="default"/>
                <w:color w:val="auto"/>
                <w:sz w:val="24"/>
                <w:szCs w:val="24"/>
              </w:rPr>
              <w:t>，西侧为池州赛唯特电子科技有限公司</w:t>
            </w:r>
            <w:r>
              <w:rPr>
                <w:rFonts w:hint="eastAsia"/>
                <w:color w:val="auto"/>
                <w:sz w:val="24"/>
                <w:szCs w:val="24"/>
                <w:lang w:val="en-US" w:eastAsia="zh-CN"/>
              </w:rPr>
              <w:t>，</w:t>
            </w:r>
            <w:r>
              <w:rPr>
                <w:rFonts w:hint="default"/>
                <w:color w:val="auto"/>
                <w:sz w:val="24"/>
                <w:szCs w:val="24"/>
              </w:rPr>
              <w:t>项目周边环境</w:t>
            </w:r>
            <w:r>
              <w:rPr>
                <w:rFonts w:hint="eastAsia"/>
                <w:color w:val="auto"/>
                <w:sz w:val="24"/>
                <w:szCs w:val="24"/>
                <w:lang w:val="en-US" w:eastAsia="zh-CN"/>
              </w:rPr>
              <w:t>关系</w:t>
            </w:r>
            <w:r>
              <w:rPr>
                <w:rFonts w:hint="default"/>
                <w:color w:val="auto"/>
                <w:sz w:val="24"/>
                <w:szCs w:val="24"/>
              </w:rPr>
              <w:t>图详见附图</w:t>
            </w:r>
            <w:r>
              <w:rPr>
                <w:rFonts w:hint="eastAsia"/>
                <w:color w:val="auto"/>
                <w:sz w:val="24"/>
                <w:szCs w:val="24"/>
                <w:lang w:val="en-US" w:eastAsia="zh-CN"/>
              </w:rPr>
              <w:t>11。</w:t>
            </w:r>
          </w:p>
          <w:p w14:paraId="48D90C78">
            <w:pPr>
              <w:bidi w:val="0"/>
              <w:rPr>
                <w:rFonts w:hint="default"/>
                <w:color w:val="auto"/>
                <w:sz w:val="24"/>
                <w:szCs w:val="24"/>
              </w:rPr>
            </w:pPr>
            <w:r>
              <w:rPr>
                <w:rFonts w:hint="eastAsia"/>
                <w:color w:val="auto"/>
                <w:sz w:val="24"/>
                <w:szCs w:val="24"/>
                <w:lang w:val="en-US" w:eastAsia="zh-CN"/>
              </w:rPr>
              <w:t>根据《产业结构调整指导目录（2024年本）》中可知，本项目不在鼓励类、限制类、淘汰类之列，可视为允许类。</w:t>
            </w:r>
          </w:p>
          <w:p w14:paraId="78445927">
            <w:pPr>
              <w:bidi w:val="0"/>
              <w:rPr>
                <w:rFonts w:hint="default"/>
                <w:color w:val="auto"/>
                <w:sz w:val="24"/>
                <w:szCs w:val="24"/>
              </w:rPr>
            </w:pPr>
            <w:r>
              <w:rPr>
                <w:rFonts w:hint="default"/>
                <w:color w:val="auto"/>
                <w:sz w:val="24"/>
                <w:szCs w:val="24"/>
              </w:rPr>
              <w:t>因此</w:t>
            </w:r>
            <w:r>
              <w:rPr>
                <w:rFonts w:hint="eastAsia"/>
                <w:color w:val="auto"/>
                <w:sz w:val="24"/>
                <w:szCs w:val="24"/>
                <w:lang w:eastAsia="zh-CN"/>
              </w:rPr>
              <w:t>，本项目</w:t>
            </w:r>
            <w:r>
              <w:rPr>
                <w:rFonts w:hint="default"/>
                <w:color w:val="auto"/>
                <w:sz w:val="24"/>
                <w:szCs w:val="24"/>
              </w:rPr>
              <w:t>的建设符合《安徽青阳经济开发区总体发展规划（</w:t>
            </w:r>
            <w:r>
              <w:rPr>
                <w:rFonts w:hint="eastAsia"/>
                <w:color w:val="auto"/>
                <w:sz w:val="24"/>
                <w:szCs w:val="24"/>
                <w:lang w:eastAsia="zh-CN"/>
              </w:rPr>
              <w:t>2021-2030年</w:t>
            </w:r>
            <w:r>
              <w:rPr>
                <w:rFonts w:hint="default"/>
                <w:color w:val="auto"/>
                <w:sz w:val="24"/>
                <w:szCs w:val="24"/>
              </w:rPr>
              <w:t>）》的规划要求。</w:t>
            </w:r>
          </w:p>
          <w:p w14:paraId="71599686">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表1-2  项目周边入驻企业调查</w:t>
            </w:r>
          </w:p>
          <w:tbl>
            <w:tblPr>
              <w:tblStyle w:val="32"/>
              <w:tblW w:w="807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93"/>
              <w:gridCol w:w="1993"/>
              <w:gridCol w:w="2326"/>
              <w:gridCol w:w="2566"/>
            </w:tblGrid>
            <w:tr w14:paraId="3D5CB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210" w:hRule="atLeast"/>
                <w:jc w:val="center"/>
              </w:trPr>
              <w:tc>
                <w:tcPr>
                  <w:tcW w:w="1193" w:type="dxa"/>
                  <w:tcBorders>
                    <w:tl2br w:val="nil"/>
                    <w:tr2bl w:val="nil"/>
                  </w:tcBorders>
                  <w:noWrap w:val="0"/>
                  <w:vAlign w:val="center"/>
                </w:tcPr>
                <w:p w14:paraId="023F0D7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相对位置</w:t>
                  </w:r>
                </w:p>
              </w:tc>
              <w:tc>
                <w:tcPr>
                  <w:tcW w:w="1993" w:type="dxa"/>
                  <w:tcBorders>
                    <w:tl2br w:val="nil"/>
                    <w:tr2bl w:val="nil"/>
                  </w:tcBorders>
                  <w:noWrap w:val="0"/>
                  <w:vAlign w:val="center"/>
                </w:tcPr>
                <w:p w14:paraId="6AAFE4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入驻企业</w:t>
                  </w:r>
                </w:p>
              </w:tc>
              <w:tc>
                <w:tcPr>
                  <w:tcW w:w="2326" w:type="dxa"/>
                  <w:tcBorders>
                    <w:tl2br w:val="nil"/>
                    <w:tr2bl w:val="nil"/>
                  </w:tcBorders>
                  <w:noWrap w:val="0"/>
                  <w:vAlign w:val="center"/>
                </w:tcPr>
                <w:p w14:paraId="475C00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项目名称</w:t>
                  </w:r>
                </w:p>
              </w:tc>
              <w:tc>
                <w:tcPr>
                  <w:tcW w:w="2566" w:type="dxa"/>
                  <w:tcBorders>
                    <w:tl2br w:val="nil"/>
                    <w:tr2bl w:val="nil"/>
                  </w:tcBorders>
                  <w:noWrap w:val="0"/>
                  <w:vAlign w:val="center"/>
                </w:tcPr>
                <w:p w14:paraId="5C3A3D2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主要污染物</w:t>
                  </w:r>
                </w:p>
              </w:tc>
            </w:tr>
            <w:tr w14:paraId="2CD50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4" w:hRule="atLeast"/>
                <w:jc w:val="center"/>
              </w:trPr>
              <w:tc>
                <w:tcPr>
                  <w:tcW w:w="1193" w:type="dxa"/>
                  <w:tcBorders>
                    <w:tl2br w:val="nil"/>
                    <w:tr2bl w:val="nil"/>
                  </w:tcBorders>
                  <w:noWrap w:val="0"/>
                  <w:vAlign w:val="center"/>
                </w:tcPr>
                <w:p w14:paraId="38FD7A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w:t>
                  </w:r>
                </w:p>
              </w:tc>
              <w:tc>
                <w:tcPr>
                  <w:tcW w:w="1993" w:type="dxa"/>
                  <w:tcBorders>
                    <w:tl2br w:val="nil"/>
                    <w:tr2bl w:val="nil"/>
                  </w:tcBorders>
                  <w:noWrap w:val="0"/>
                  <w:vAlign w:val="center"/>
                </w:tcPr>
                <w:p w14:paraId="0603C11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本项目</w:t>
                  </w:r>
                </w:p>
              </w:tc>
              <w:tc>
                <w:tcPr>
                  <w:tcW w:w="2326" w:type="dxa"/>
                  <w:tcBorders>
                    <w:tl2br w:val="nil"/>
                    <w:tr2bl w:val="nil"/>
                  </w:tcBorders>
                  <w:noWrap w:val="0"/>
                  <w:vAlign w:val="center"/>
                </w:tcPr>
                <w:p w14:paraId="0CAE63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年产220套金属制品加工专用设备制造项目</w:t>
                  </w:r>
                </w:p>
              </w:tc>
              <w:tc>
                <w:tcPr>
                  <w:tcW w:w="2566" w:type="dxa"/>
                  <w:tcBorders>
                    <w:tl2br w:val="nil"/>
                    <w:tr2bl w:val="nil"/>
                  </w:tcBorders>
                  <w:noWrap w:val="0"/>
                  <w:vAlign w:val="center"/>
                </w:tcPr>
                <w:p w14:paraId="141E1A3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非甲烷总烃、颗粒物</w:t>
                  </w:r>
                  <w:r>
                    <w:rPr>
                      <w:rFonts w:hint="eastAsia" w:ascii="Times New Roman" w:hAnsi="Times New Roman" w:cs="Times New Roman"/>
                      <w:color w:val="auto"/>
                      <w:lang w:val="en-US" w:eastAsia="zh-CN"/>
                    </w:rPr>
                    <w:t>（含锡及其化合物、铜及其化合物）</w:t>
                  </w:r>
                </w:p>
              </w:tc>
            </w:tr>
            <w:tr w14:paraId="61458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93" w:type="dxa"/>
                  <w:tcBorders>
                    <w:tl2br w:val="nil"/>
                    <w:tr2bl w:val="nil"/>
                  </w:tcBorders>
                  <w:noWrap w:val="0"/>
                  <w:vAlign w:val="center"/>
                </w:tcPr>
                <w:p w14:paraId="64F011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西</w:t>
                  </w:r>
                  <w:r>
                    <w:rPr>
                      <w:rFonts w:hint="default" w:ascii="Times New Roman" w:hAnsi="Times New Roman" w:cs="Times New Roman"/>
                      <w:color w:val="auto"/>
                      <w:lang w:val="en-US" w:eastAsia="zh-CN"/>
                    </w:rPr>
                    <w:t>北侧</w:t>
                  </w:r>
                </w:p>
              </w:tc>
              <w:tc>
                <w:tcPr>
                  <w:tcW w:w="1993" w:type="dxa"/>
                  <w:tcBorders>
                    <w:tl2br w:val="nil"/>
                    <w:tr2bl w:val="nil"/>
                  </w:tcBorders>
                  <w:noWrap w:val="0"/>
                  <w:vAlign w:val="center"/>
                </w:tcPr>
                <w:p w14:paraId="422CAE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color w:val="auto"/>
                      <w:lang w:val="en-US" w:eastAsia="zh-CN"/>
                    </w:rPr>
                  </w:pPr>
                  <w:r>
                    <w:rPr>
                      <w:rFonts w:hint="default"/>
                      <w:color w:val="auto"/>
                    </w:rPr>
                    <w:t>人才公寓</w:t>
                  </w:r>
                </w:p>
              </w:tc>
              <w:tc>
                <w:tcPr>
                  <w:tcW w:w="2326" w:type="dxa"/>
                  <w:tcBorders>
                    <w:tl2br w:val="nil"/>
                    <w:tr2bl w:val="nil"/>
                  </w:tcBorders>
                  <w:noWrap w:val="0"/>
                  <w:vAlign w:val="center"/>
                </w:tcPr>
                <w:p w14:paraId="318A437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color w:val="auto"/>
                      <w:lang w:val="en-US" w:eastAsia="zh-CN"/>
                    </w:rPr>
                  </w:pPr>
                  <w:r>
                    <w:rPr>
                      <w:rFonts w:hint="default"/>
                      <w:color w:val="auto"/>
                      <w:lang w:val="en-US" w:eastAsia="zh-CN"/>
                    </w:rPr>
                    <w:t>/</w:t>
                  </w:r>
                </w:p>
              </w:tc>
              <w:tc>
                <w:tcPr>
                  <w:tcW w:w="2566" w:type="dxa"/>
                  <w:tcBorders>
                    <w:tl2br w:val="nil"/>
                    <w:tr2bl w:val="nil"/>
                  </w:tcBorders>
                  <w:noWrap w:val="0"/>
                  <w:vAlign w:val="center"/>
                </w:tcPr>
                <w:p w14:paraId="20E252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r>
            <w:tr w14:paraId="08BAF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1193" w:type="dxa"/>
                  <w:tcBorders>
                    <w:tl2br w:val="nil"/>
                    <w:tr2bl w:val="nil"/>
                  </w:tcBorders>
                  <w:noWrap w:val="0"/>
                  <w:vAlign w:val="center"/>
                </w:tcPr>
                <w:p w14:paraId="767598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南侧</w:t>
                  </w:r>
                </w:p>
              </w:tc>
              <w:tc>
                <w:tcPr>
                  <w:tcW w:w="1993" w:type="dxa"/>
                  <w:tcBorders>
                    <w:tl2br w:val="nil"/>
                    <w:tr2bl w:val="nil"/>
                  </w:tcBorders>
                  <w:noWrap w:val="0"/>
                  <w:vAlign w:val="center"/>
                </w:tcPr>
                <w:p w14:paraId="71DD349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乔木路</w:t>
                  </w:r>
                </w:p>
              </w:tc>
              <w:tc>
                <w:tcPr>
                  <w:tcW w:w="2326" w:type="dxa"/>
                  <w:tcBorders>
                    <w:tl2br w:val="nil"/>
                    <w:tr2bl w:val="nil"/>
                  </w:tcBorders>
                  <w:noWrap w:val="0"/>
                  <w:vAlign w:val="center"/>
                </w:tcPr>
                <w:p w14:paraId="0753EE5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c>
                <w:tcPr>
                  <w:tcW w:w="2566" w:type="dxa"/>
                  <w:tcBorders>
                    <w:tl2br w:val="nil"/>
                    <w:tr2bl w:val="nil"/>
                  </w:tcBorders>
                  <w:noWrap w:val="0"/>
                  <w:vAlign w:val="center"/>
                </w:tcPr>
                <w:p w14:paraId="454FDB9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r>
            <w:tr w14:paraId="65EE2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1193" w:type="dxa"/>
                  <w:tcBorders>
                    <w:tl2br w:val="nil"/>
                    <w:tr2bl w:val="nil"/>
                  </w:tcBorders>
                  <w:noWrap w:val="0"/>
                  <w:vAlign w:val="center"/>
                </w:tcPr>
                <w:p w14:paraId="419A24E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西侧围墙外</w:t>
                  </w:r>
                </w:p>
              </w:tc>
              <w:tc>
                <w:tcPr>
                  <w:tcW w:w="1993" w:type="dxa"/>
                  <w:tcBorders>
                    <w:tl2br w:val="nil"/>
                    <w:tr2bl w:val="nil"/>
                  </w:tcBorders>
                  <w:noWrap w:val="0"/>
                  <w:vAlign w:val="center"/>
                </w:tcPr>
                <w:p w14:paraId="292106A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池州赛唯特电子科技有限公司</w:t>
                  </w:r>
                </w:p>
              </w:tc>
              <w:tc>
                <w:tcPr>
                  <w:tcW w:w="2326" w:type="dxa"/>
                  <w:tcBorders>
                    <w:tl2br w:val="nil"/>
                    <w:tr2bl w:val="nil"/>
                  </w:tcBorders>
                  <w:noWrap w:val="0"/>
                  <w:vAlign w:val="center"/>
                </w:tcPr>
                <w:p w14:paraId="25EDD0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年产3000万件电子元器件及配件技术改造项目</w:t>
                  </w:r>
                </w:p>
              </w:tc>
              <w:tc>
                <w:tcPr>
                  <w:tcW w:w="2566" w:type="dxa"/>
                  <w:tcBorders>
                    <w:tl2br w:val="nil"/>
                    <w:tr2bl w:val="nil"/>
                  </w:tcBorders>
                  <w:noWrap w:val="0"/>
                  <w:vAlign w:val="center"/>
                </w:tcPr>
                <w:p w14:paraId="6F40C23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锡及其化合物、</w:t>
                  </w:r>
                  <w:r>
                    <w:rPr>
                      <w:rFonts w:hint="default" w:ascii="Times New Roman" w:hAnsi="Times New Roman" w:cs="Times New Roman"/>
                      <w:color w:val="auto"/>
                      <w:lang w:val="en-US" w:eastAsia="zh-CN"/>
                    </w:rPr>
                    <w:t>非甲烷总烃</w:t>
                  </w:r>
                </w:p>
              </w:tc>
            </w:tr>
            <w:tr w14:paraId="48FF4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20" w:hRule="atLeast"/>
                <w:jc w:val="center"/>
              </w:trPr>
              <w:tc>
                <w:tcPr>
                  <w:tcW w:w="1193" w:type="dxa"/>
                  <w:tcBorders>
                    <w:tl2br w:val="nil"/>
                    <w:tr2bl w:val="nil"/>
                  </w:tcBorders>
                  <w:noWrap w:val="0"/>
                  <w:vAlign w:val="center"/>
                </w:tcPr>
                <w:p w14:paraId="2ECCC4A8">
                  <w:pPr>
                    <w:pStyle w:val="37"/>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东侧</w:t>
                  </w:r>
                </w:p>
              </w:tc>
              <w:tc>
                <w:tcPr>
                  <w:tcW w:w="1993" w:type="dxa"/>
                  <w:tcBorders>
                    <w:tl2br w:val="nil"/>
                    <w:tr2bl w:val="nil"/>
                  </w:tcBorders>
                  <w:noWrap w:val="0"/>
                  <w:vAlign w:val="center"/>
                </w:tcPr>
                <w:p w14:paraId="01726AE8">
                  <w:pPr>
                    <w:pStyle w:val="37"/>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城东</w:t>
                  </w:r>
                  <w:r>
                    <w:rPr>
                      <w:rFonts w:hint="default" w:ascii="Times New Roman" w:hAnsi="Times New Roman" w:cs="Times New Roman"/>
                      <w:color w:val="auto"/>
                      <w:lang w:val="en-US" w:eastAsia="zh-CN"/>
                    </w:rPr>
                    <w:t>路</w:t>
                  </w:r>
                </w:p>
              </w:tc>
              <w:tc>
                <w:tcPr>
                  <w:tcW w:w="2326" w:type="dxa"/>
                  <w:tcBorders>
                    <w:tl2br w:val="nil"/>
                    <w:tr2bl w:val="nil"/>
                  </w:tcBorders>
                  <w:noWrap w:val="0"/>
                  <w:vAlign w:val="center"/>
                </w:tcPr>
                <w:p w14:paraId="7A62AD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c>
                <w:tcPr>
                  <w:tcW w:w="2566" w:type="dxa"/>
                  <w:tcBorders>
                    <w:tl2br w:val="nil"/>
                    <w:tr2bl w:val="nil"/>
                  </w:tcBorders>
                  <w:noWrap w:val="0"/>
                  <w:vAlign w:val="center"/>
                </w:tcPr>
                <w:p w14:paraId="30E6DAB1">
                  <w:pPr>
                    <w:pStyle w:val="37"/>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r>
          </w:tbl>
          <w:p w14:paraId="66C050A0">
            <w:pPr>
              <w:bidi w:val="0"/>
              <w:rPr>
                <w:rFonts w:hint="default" w:ascii="Times New Roman" w:hAnsi="Times New Roman" w:cs="Times New Roman"/>
                <w:color w:val="auto"/>
                <w:sz w:val="24"/>
                <w:szCs w:val="24"/>
              </w:rPr>
            </w:pPr>
          </w:p>
          <w:p w14:paraId="67C53C92">
            <w:pPr>
              <w:bidi w:val="0"/>
              <w:rPr>
                <w:rFonts w:hint="default" w:ascii="Times New Roman" w:hAnsi="Times New Roman" w:cs="Times New Roman"/>
                <w:color w:val="auto"/>
                <w:lang w:eastAsia="zh-CN"/>
              </w:rPr>
            </w:pPr>
          </w:p>
        </w:tc>
      </w:tr>
    </w:tbl>
    <w:p w14:paraId="5ECEFAC3">
      <w:pPr>
        <w:bidi w:val="0"/>
        <w:rPr>
          <w:rFonts w:hint="eastAsia"/>
          <w:color w:val="auto"/>
          <w:lang w:val="en-US" w:eastAsia="zh-CN"/>
        </w:rPr>
        <w:sectPr>
          <w:footerReference r:id="rId7" w:type="default"/>
          <w:pgSz w:w="11905" w:h="16838"/>
          <w:pgMar w:top="1701" w:right="1531" w:bottom="1701" w:left="1531" w:header="1134" w:footer="1020" w:gutter="0"/>
          <w:pgBorders>
            <w:top w:val="none" w:sz="0" w:space="0"/>
            <w:left w:val="none" w:sz="0" w:space="0"/>
            <w:bottom w:val="none" w:sz="0" w:space="0"/>
            <w:right w:val="none" w:sz="0" w:space="0"/>
          </w:pgBorders>
          <w:pgNumType w:fmt="decimal" w:start="1"/>
          <w:cols w:space="720" w:num="1"/>
          <w:rtlGutter w:val="0"/>
          <w:docGrid w:linePitch="312" w:charSpace="0"/>
        </w:sectPr>
      </w:pPr>
    </w:p>
    <w:tbl>
      <w:tblPr>
        <w:tblStyle w:val="32"/>
        <w:tblW w:w="14199"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Layout w:type="fixed"/>
        <w:tblCellMar>
          <w:top w:w="0" w:type="dxa"/>
          <w:left w:w="108" w:type="dxa"/>
          <w:bottom w:w="0" w:type="dxa"/>
          <w:right w:w="108" w:type="dxa"/>
        </w:tblCellMar>
      </w:tblPr>
      <w:tblGrid>
        <w:gridCol w:w="759"/>
        <w:gridCol w:w="13440"/>
      </w:tblGrid>
      <w:tr w14:paraId="04874A3C">
        <w:tblPrEx>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CellMar>
            <w:top w:w="0" w:type="dxa"/>
            <w:left w:w="108" w:type="dxa"/>
            <w:bottom w:w="0" w:type="dxa"/>
            <w:right w:w="108" w:type="dxa"/>
          </w:tblCellMar>
        </w:tblPrEx>
        <w:trPr>
          <w:trHeight w:val="8326" w:hRule="atLeast"/>
          <w:jc w:val="center"/>
        </w:trPr>
        <w:tc>
          <w:tcPr>
            <w:tcW w:w="759" w:type="dxa"/>
            <w:tcBorders>
              <w:tl2br w:val="nil"/>
              <w:tr2bl w:val="nil"/>
            </w:tcBorders>
            <w:vAlign w:val="center"/>
          </w:tcPr>
          <w:p w14:paraId="6261B8B8">
            <w:pPr>
              <w:bidi w:val="0"/>
              <w:spacing w:line="240" w:lineRule="auto"/>
              <w:ind w:left="0" w:leftChars="0" w:firstLine="0" w:firstLineChars="0"/>
              <w:jc w:val="center"/>
              <w:rPr>
                <w:rFonts w:hint="eastAsia"/>
                <w:color w:val="auto"/>
                <w:sz w:val="24"/>
                <w:szCs w:val="24"/>
                <w:lang w:val="en-US" w:eastAsia="zh-CN"/>
              </w:rPr>
            </w:pPr>
            <w:r>
              <w:rPr>
                <w:rFonts w:hint="default" w:ascii="Times New Roman" w:hAnsi="Times New Roman" w:cs="Times New Roman"/>
                <w:color w:val="auto"/>
                <w:sz w:val="24"/>
                <w:szCs w:val="24"/>
              </w:rPr>
              <w:t>规划及规划环境影响评价符合性分析</w:t>
            </w:r>
          </w:p>
        </w:tc>
        <w:tc>
          <w:tcPr>
            <w:tcW w:w="13440" w:type="dxa"/>
            <w:tcBorders>
              <w:tl2br w:val="nil"/>
              <w:tr2bl w:val="nil"/>
            </w:tcBorders>
            <w:vAlign w:val="center"/>
          </w:tcPr>
          <w:p w14:paraId="2D4C6D7E">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b/>
                <w:bCs/>
                <w:color w:val="auto"/>
                <w:sz w:val="24"/>
                <w:lang w:val="zh-CN"/>
              </w:rPr>
            </w:pPr>
            <w:r>
              <w:rPr>
                <w:rFonts w:hint="eastAsia"/>
                <w:b/>
                <w:bCs/>
                <w:color w:val="auto"/>
                <w:sz w:val="24"/>
              </w:rPr>
              <w:t>1.</w:t>
            </w:r>
            <w:r>
              <w:rPr>
                <w:rFonts w:hint="eastAsia"/>
                <w:b/>
                <w:bCs/>
                <w:color w:val="auto"/>
                <w:sz w:val="24"/>
                <w:lang w:val="en-US" w:eastAsia="zh-CN"/>
              </w:rPr>
              <w:t xml:space="preserve">3 </w:t>
            </w:r>
            <w:r>
              <w:rPr>
                <w:b/>
                <w:bCs/>
                <w:color w:val="auto"/>
                <w:sz w:val="24"/>
              </w:rPr>
              <w:t>与</w:t>
            </w:r>
            <w:r>
              <w:rPr>
                <w:rFonts w:hint="eastAsia"/>
                <w:b/>
                <w:bCs/>
                <w:color w:val="auto"/>
                <w:sz w:val="24"/>
              </w:rPr>
              <w:t>《安徽青阳经济开发区总体发展规划》</w:t>
            </w:r>
            <w:r>
              <w:rPr>
                <w:rFonts w:hint="eastAsia"/>
                <w:b/>
                <w:bCs/>
                <w:color w:val="auto"/>
                <w:sz w:val="24"/>
                <w:lang w:eastAsia="zh-CN"/>
              </w:rPr>
              <w:t>（2021-2030年</w:t>
            </w:r>
            <w:r>
              <w:rPr>
                <w:rFonts w:hint="eastAsia"/>
                <w:b/>
                <w:bCs/>
                <w:color w:val="auto"/>
                <w:sz w:val="24"/>
              </w:rPr>
              <w:t>）环境影响报告书》</w:t>
            </w:r>
            <w:r>
              <w:rPr>
                <w:rFonts w:hint="eastAsia"/>
                <w:b/>
                <w:bCs/>
                <w:color w:val="auto"/>
                <w:sz w:val="24"/>
                <w:lang w:val="en-US" w:eastAsia="zh-CN"/>
              </w:rPr>
              <w:t>及其</w:t>
            </w:r>
            <w:r>
              <w:rPr>
                <w:rFonts w:hint="eastAsia"/>
                <w:b/>
                <w:bCs/>
                <w:color w:val="auto"/>
                <w:sz w:val="24"/>
              </w:rPr>
              <w:t>审查意见（皖环函</w:t>
            </w:r>
            <w:r>
              <w:rPr>
                <w:rFonts w:hint="eastAsia"/>
                <w:b/>
                <w:bCs/>
                <w:color w:val="auto"/>
                <w:sz w:val="24"/>
                <w:lang w:eastAsia="zh-CN"/>
              </w:rPr>
              <w:t>〔2021〕701号</w:t>
            </w:r>
            <w:r>
              <w:rPr>
                <w:rFonts w:hint="eastAsia"/>
                <w:b/>
                <w:bCs/>
                <w:color w:val="auto"/>
                <w:sz w:val="24"/>
              </w:rPr>
              <w:t>）的符合性分析</w:t>
            </w:r>
          </w:p>
          <w:p w14:paraId="05E012C8">
            <w:pPr>
              <w:ind w:firstLine="420"/>
              <w:rPr>
                <w:rFonts w:hint="eastAsia" w:cs="Times New Roman"/>
                <w:color w:val="auto"/>
                <w:lang w:val="en-US" w:eastAsia="zh-CN"/>
              </w:rPr>
            </w:pPr>
            <w:r>
              <w:rPr>
                <w:rFonts w:hint="eastAsia" w:cs="Times New Roman"/>
                <w:color w:val="auto"/>
                <w:lang w:val="en-US" w:eastAsia="zh-CN"/>
              </w:rPr>
              <w:t>根据本项目建设内容与《安徽青阳经济开发区总体发展规划（2021-2030年）环境影响报告书》及其审查意见（皖环函〔2021〕701号）相符性分析具体如下。</w:t>
            </w:r>
          </w:p>
          <w:p w14:paraId="7D1F0901">
            <w:pPr>
              <w:pStyle w:val="38"/>
              <w:keepNext w:val="0"/>
              <w:keepLines w:val="0"/>
              <w:pageBreakBefore w:val="0"/>
              <w:widowControl/>
              <w:kinsoku/>
              <w:wordWrap/>
              <w:overflowPunct/>
              <w:topLinePunct w:val="0"/>
              <w:autoSpaceDE/>
              <w:autoSpaceDN/>
              <w:bidi w:val="0"/>
              <w:adjustRightInd w:val="0"/>
              <w:snapToGrid w:val="0"/>
              <w:spacing w:before="0" w:after="0"/>
              <w:textAlignment w:val="auto"/>
              <w:rPr>
                <w:rFonts w:hint="default"/>
                <w:color w:val="auto"/>
                <w:lang w:val="en-US" w:eastAsia="zh-CN"/>
              </w:rPr>
            </w:pPr>
            <w:r>
              <w:rPr>
                <w:rFonts w:hint="eastAsia"/>
                <w:color w:val="auto"/>
                <w:lang w:val="en-US" w:eastAsia="zh-CN"/>
              </w:rPr>
              <w:t>表1-3  项目与安徽青阳经济开发区生态环境准入清单相符性分析一览表</w:t>
            </w:r>
          </w:p>
          <w:tbl>
            <w:tblPr>
              <w:tblStyle w:val="31"/>
              <w:tblW w:w="133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557"/>
              <w:gridCol w:w="1062"/>
              <w:gridCol w:w="819"/>
              <w:gridCol w:w="910"/>
              <w:gridCol w:w="873"/>
              <w:gridCol w:w="872"/>
              <w:gridCol w:w="6859"/>
              <w:gridCol w:w="1377"/>
            </w:tblGrid>
            <w:tr w14:paraId="5EA2C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16" w:hRule="atLeast"/>
                <w:tblHeader/>
                <w:jc w:val="center"/>
              </w:trPr>
              <w:tc>
                <w:tcPr>
                  <w:tcW w:w="1619" w:type="dxa"/>
                  <w:gridSpan w:val="2"/>
                  <w:tcBorders>
                    <w:tl2br w:val="nil"/>
                    <w:tr2bl w:val="nil"/>
                  </w:tcBorders>
                  <w:shd w:val="clear" w:color="auto" w:fill="auto"/>
                  <w:vAlign w:val="center"/>
                </w:tcPr>
                <w:p w14:paraId="540ACEB2">
                  <w:pPr>
                    <w:adjustRightInd w:val="0"/>
                    <w:snapToGrid w:val="0"/>
                    <w:spacing w:after="100" w:afterAutospacing="1" w:line="240" w:lineRule="auto"/>
                    <w:ind w:firstLine="0" w:firstLineChars="0"/>
                    <w:jc w:val="center"/>
                    <w:rPr>
                      <w:b/>
                      <w:color w:val="auto"/>
                      <w:sz w:val="21"/>
                      <w:szCs w:val="21"/>
                    </w:rPr>
                  </w:pPr>
                  <w:bookmarkStart w:id="6" w:name="_Hlk79219883"/>
                  <w:r>
                    <w:rPr>
                      <w:b/>
                      <w:color w:val="auto"/>
                      <w:sz w:val="21"/>
                      <w:szCs w:val="21"/>
                    </w:rPr>
                    <w:t>行政区划</w:t>
                  </w:r>
                </w:p>
              </w:tc>
              <w:tc>
                <w:tcPr>
                  <w:tcW w:w="819" w:type="dxa"/>
                  <w:vMerge w:val="restart"/>
                  <w:tcBorders>
                    <w:tl2br w:val="nil"/>
                    <w:tr2bl w:val="nil"/>
                  </w:tcBorders>
                  <w:shd w:val="clear" w:color="auto" w:fill="auto"/>
                  <w:vAlign w:val="center"/>
                </w:tcPr>
                <w:p w14:paraId="7FBF1004">
                  <w:pPr>
                    <w:widowControl/>
                    <w:adjustRightInd w:val="0"/>
                    <w:snapToGrid w:val="0"/>
                    <w:spacing w:after="100" w:afterAutospacing="1" w:line="240" w:lineRule="auto"/>
                    <w:ind w:firstLine="0" w:firstLineChars="0"/>
                    <w:jc w:val="center"/>
                    <w:textAlignment w:val="top"/>
                    <w:rPr>
                      <w:b/>
                      <w:color w:val="auto"/>
                      <w:kern w:val="0"/>
                      <w:sz w:val="21"/>
                      <w:szCs w:val="21"/>
                    </w:rPr>
                  </w:pPr>
                  <w:r>
                    <w:rPr>
                      <w:b/>
                      <w:color w:val="auto"/>
                      <w:kern w:val="0"/>
                      <w:sz w:val="21"/>
                      <w:szCs w:val="21"/>
                    </w:rPr>
                    <w:t>开发区名称（同词条名称）</w:t>
                  </w:r>
                </w:p>
              </w:tc>
              <w:tc>
                <w:tcPr>
                  <w:tcW w:w="910" w:type="dxa"/>
                  <w:vMerge w:val="restart"/>
                  <w:tcBorders>
                    <w:tl2br w:val="nil"/>
                    <w:tr2bl w:val="nil"/>
                  </w:tcBorders>
                  <w:shd w:val="clear" w:color="auto" w:fill="auto"/>
                  <w:vAlign w:val="center"/>
                </w:tcPr>
                <w:p w14:paraId="1F65C3B7">
                  <w:pPr>
                    <w:adjustRightInd w:val="0"/>
                    <w:snapToGrid w:val="0"/>
                    <w:spacing w:after="100" w:afterAutospacing="1" w:line="240" w:lineRule="auto"/>
                    <w:ind w:firstLine="0" w:firstLineChars="0"/>
                    <w:jc w:val="center"/>
                    <w:rPr>
                      <w:b/>
                      <w:color w:val="auto"/>
                      <w:sz w:val="21"/>
                      <w:szCs w:val="21"/>
                    </w:rPr>
                  </w:pPr>
                  <w:r>
                    <w:rPr>
                      <w:b/>
                      <w:color w:val="auto"/>
                      <w:sz w:val="21"/>
                      <w:szCs w:val="21"/>
                    </w:rPr>
                    <w:t>产业定位</w:t>
                  </w:r>
                </w:p>
              </w:tc>
              <w:tc>
                <w:tcPr>
                  <w:tcW w:w="873" w:type="dxa"/>
                  <w:vMerge w:val="restart"/>
                  <w:tcBorders>
                    <w:tl2br w:val="nil"/>
                    <w:tr2bl w:val="nil"/>
                  </w:tcBorders>
                  <w:shd w:val="clear" w:color="auto" w:fill="auto"/>
                  <w:vAlign w:val="center"/>
                </w:tcPr>
                <w:p w14:paraId="6BCD19ED">
                  <w:pPr>
                    <w:adjustRightInd w:val="0"/>
                    <w:snapToGrid w:val="0"/>
                    <w:spacing w:after="100" w:afterAutospacing="1" w:line="240" w:lineRule="auto"/>
                    <w:ind w:firstLine="0" w:firstLineChars="0"/>
                    <w:jc w:val="center"/>
                    <w:rPr>
                      <w:b/>
                      <w:color w:val="auto"/>
                      <w:sz w:val="21"/>
                      <w:szCs w:val="21"/>
                    </w:rPr>
                  </w:pPr>
                  <w:r>
                    <w:rPr>
                      <w:b/>
                      <w:color w:val="auto"/>
                      <w:sz w:val="21"/>
                      <w:szCs w:val="21"/>
                    </w:rPr>
                    <w:t>规划面积</w:t>
                  </w:r>
                </w:p>
              </w:tc>
              <w:tc>
                <w:tcPr>
                  <w:tcW w:w="7731" w:type="dxa"/>
                  <w:gridSpan w:val="2"/>
                  <w:vMerge w:val="restart"/>
                  <w:tcBorders>
                    <w:tl2br w:val="nil"/>
                    <w:tr2bl w:val="nil"/>
                  </w:tcBorders>
                  <w:shd w:val="clear" w:color="auto" w:fill="auto"/>
                  <w:vAlign w:val="center"/>
                </w:tcPr>
                <w:p w14:paraId="1501258B">
                  <w:pPr>
                    <w:adjustRightInd w:val="0"/>
                    <w:snapToGrid w:val="0"/>
                    <w:spacing w:after="100" w:afterAutospacing="1" w:line="240" w:lineRule="auto"/>
                    <w:ind w:firstLine="0" w:firstLineChars="0"/>
                    <w:jc w:val="center"/>
                    <w:rPr>
                      <w:b/>
                      <w:color w:val="auto"/>
                      <w:sz w:val="21"/>
                      <w:szCs w:val="21"/>
                    </w:rPr>
                  </w:pPr>
                  <w:r>
                    <w:rPr>
                      <w:b/>
                      <w:color w:val="auto"/>
                      <w:sz w:val="21"/>
                      <w:szCs w:val="21"/>
                    </w:rPr>
                    <w:t>生态环境准入清单*</w:t>
                  </w:r>
                </w:p>
              </w:tc>
              <w:tc>
                <w:tcPr>
                  <w:tcW w:w="1377" w:type="dxa"/>
                  <w:vMerge w:val="restart"/>
                  <w:tcBorders>
                    <w:tl2br w:val="nil"/>
                    <w:tr2bl w:val="nil"/>
                  </w:tcBorders>
                  <w:shd w:val="clear" w:color="auto" w:fill="auto"/>
                  <w:vAlign w:val="center"/>
                </w:tcPr>
                <w:p w14:paraId="31FEEA5F">
                  <w:pPr>
                    <w:adjustRightInd w:val="0"/>
                    <w:snapToGrid w:val="0"/>
                    <w:spacing w:after="100" w:afterAutospacing="1" w:line="240" w:lineRule="auto"/>
                    <w:ind w:firstLine="0" w:firstLineChars="0"/>
                    <w:jc w:val="center"/>
                    <w:rPr>
                      <w:rFonts w:hint="eastAsia" w:eastAsia="宋体"/>
                      <w:b/>
                      <w:color w:val="auto"/>
                      <w:sz w:val="21"/>
                      <w:szCs w:val="21"/>
                      <w:lang w:eastAsia="zh-CN"/>
                    </w:rPr>
                  </w:pPr>
                  <w:r>
                    <w:rPr>
                      <w:rFonts w:hint="eastAsia"/>
                      <w:b/>
                      <w:color w:val="auto"/>
                      <w:sz w:val="21"/>
                      <w:szCs w:val="21"/>
                      <w:lang w:val="en-US" w:eastAsia="zh-CN"/>
                    </w:rPr>
                    <w:t>相符性</w:t>
                  </w:r>
                </w:p>
              </w:tc>
            </w:tr>
            <w:tr w14:paraId="49CBB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745" w:hRule="atLeast"/>
                <w:tblHeader/>
                <w:jc w:val="center"/>
              </w:trPr>
              <w:tc>
                <w:tcPr>
                  <w:tcW w:w="557" w:type="dxa"/>
                  <w:tcBorders>
                    <w:tl2br w:val="nil"/>
                    <w:tr2bl w:val="nil"/>
                  </w:tcBorders>
                  <w:shd w:val="clear" w:color="auto" w:fill="auto"/>
                  <w:vAlign w:val="center"/>
                </w:tcPr>
                <w:p w14:paraId="3676D0BE">
                  <w:pPr>
                    <w:adjustRightInd w:val="0"/>
                    <w:snapToGrid w:val="0"/>
                    <w:spacing w:after="100" w:afterAutospacing="1" w:line="240" w:lineRule="auto"/>
                    <w:ind w:firstLine="0" w:firstLineChars="0"/>
                    <w:jc w:val="center"/>
                    <w:rPr>
                      <w:b/>
                      <w:color w:val="auto"/>
                      <w:sz w:val="21"/>
                      <w:szCs w:val="21"/>
                    </w:rPr>
                  </w:pPr>
                  <w:r>
                    <w:rPr>
                      <w:b/>
                      <w:color w:val="auto"/>
                      <w:sz w:val="21"/>
                      <w:szCs w:val="21"/>
                    </w:rPr>
                    <w:t>市</w:t>
                  </w:r>
                </w:p>
              </w:tc>
              <w:tc>
                <w:tcPr>
                  <w:tcW w:w="1062" w:type="dxa"/>
                  <w:tcBorders>
                    <w:tl2br w:val="nil"/>
                    <w:tr2bl w:val="nil"/>
                  </w:tcBorders>
                  <w:shd w:val="clear" w:color="auto" w:fill="auto"/>
                  <w:vAlign w:val="center"/>
                </w:tcPr>
                <w:p w14:paraId="223F4B93">
                  <w:pPr>
                    <w:adjustRightInd w:val="0"/>
                    <w:snapToGrid w:val="0"/>
                    <w:spacing w:after="100" w:afterAutospacing="1" w:line="240" w:lineRule="auto"/>
                    <w:ind w:firstLine="0" w:firstLineChars="0"/>
                    <w:jc w:val="center"/>
                    <w:rPr>
                      <w:b/>
                      <w:color w:val="auto"/>
                      <w:sz w:val="21"/>
                      <w:szCs w:val="21"/>
                    </w:rPr>
                  </w:pPr>
                  <w:r>
                    <w:rPr>
                      <w:b/>
                      <w:color w:val="auto"/>
                      <w:sz w:val="21"/>
                      <w:szCs w:val="21"/>
                    </w:rPr>
                    <w:t>县（区）</w:t>
                  </w:r>
                </w:p>
              </w:tc>
              <w:tc>
                <w:tcPr>
                  <w:tcW w:w="819" w:type="dxa"/>
                  <w:vMerge w:val="continue"/>
                  <w:tcBorders>
                    <w:tl2br w:val="nil"/>
                    <w:tr2bl w:val="nil"/>
                  </w:tcBorders>
                  <w:shd w:val="clear" w:color="auto" w:fill="auto"/>
                  <w:vAlign w:val="center"/>
                </w:tcPr>
                <w:p w14:paraId="4A05EF22">
                  <w:pPr>
                    <w:widowControl/>
                    <w:adjustRightInd w:val="0"/>
                    <w:snapToGrid w:val="0"/>
                    <w:spacing w:before="0" w:after="0" w:line="240" w:lineRule="auto"/>
                    <w:ind w:firstLine="0" w:firstLineChars="0"/>
                    <w:jc w:val="left"/>
                    <w:rPr>
                      <w:b/>
                      <w:color w:val="auto"/>
                      <w:sz w:val="21"/>
                      <w:szCs w:val="21"/>
                    </w:rPr>
                  </w:pPr>
                </w:p>
              </w:tc>
              <w:tc>
                <w:tcPr>
                  <w:tcW w:w="910" w:type="dxa"/>
                  <w:vMerge w:val="continue"/>
                  <w:tcBorders>
                    <w:tl2br w:val="nil"/>
                    <w:tr2bl w:val="nil"/>
                  </w:tcBorders>
                  <w:shd w:val="clear" w:color="auto" w:fill="auto"/>
                  <w:vAlign w:val="center"/>
                </w:tcPr>
                <w:p w14:paraId="5E76B231">
                  <w:pPr>
                    <w:widowControl/>
                    <w:adjustRightInd w:val="0"/>
                    <w:snapToGrid w:val="0"/>
                    <w:spacing w:before="0" w:after="0" w:line="240" w:lineRule="auto"/>
                    <w:ind w:firstLine="0" w:firstLineChars="0"/>
                    <w:jc w:val="left"/>
                    <w:rPr>
                      <w:b/>
                      <w:color w:val="auto"/>
                      <w:sz w:val="21"/>
                      <w:szCs w:val="21"/>
                    </w:rPr>
                  </w:pPr>
                </w:p>
              </w:tc>
              <w:tc>
                <w:tcPr>
                  <w:tcW w:w="873" w:type="dxa"/>
                  <w:vMerge w:val="continue"/>
                  <w:tcBorders>
                    <w:tl2br w:val="nil"/>
                    <w:tr2bl w:val="nil"/>
                  </w:tcBorders>
                  <w:shd w:val="clear" w:color="auto" w:fill="auto"/>
                  <w:vAlign w:val="center"/>
                </w:tcPr>
                <w:p w14:paraId="78AF02F6">
                  <w:pPr>
                    <w:widowControl/>
                    <w:adjustRightInd w:val="0"/>
                    <w:snapToGrid w:val="0"/>
                    <w:spacing w:before="0" w:after="0" w:line="240" w:lineRule="auto"/>
                    <w:ind w:firstLine="0" w:firstLineChars="0"/>
                    <w:jc w:val="left"/>
                    <w:rPr>
                      <w:b/>
                      <w:color w:val="auto"/>
                      <w:sz w:val="21"/>
                      <w:szCs w:val="21"/>
                    </w:rPr>
                  </w:pPr>
                </w:p>
              </w:tc>
              <w:tc>
                <w:tcPr>
                  <w:tcW w:w="7731" w:type="dxa"/>
                  <w:gridSpan w:val="2"/>
                  <w:vMerge w:val="continue"/>
                  <w:tcBorders>
                    <w:tl2br w:val="nil"/>
                    <w:tr2bl w:val="nil"/>
                  </w:tcBorders>
                  <w:shd w:val="clear" w:color="auto" w:fill="auto"/>
                  <w:vAlign w:val="center"/>
                </w:tcPr>
                <w:p w14:paraId="5E2374CC">
                  <w:pPr>
                    <w:widowControl/>
                    <w:adjustRightInd w:val="0"/>
                    <w:snapToGrid w:val="0"/>
                    <w:spacing w:before="0" w:after="0" w:line="240" w:lineRule="auto"/>
                    <w:ind w:firstLine="0" w:firstLineChars="0"/>
                    <w:jc w:val="left"/>
                    <w:rPr>
                      <w:b/>
                      <w:color w:val="auto"/>
                      <w:sz w:val="21"/>
                      <w:szCs w:val="21"/>
                    </w:rPr>
                  </w:pPr>
                </w:p>
              </w:tc>
              <w:tc>
                <w:tcPr>
                  <w:tcW w:w="1377" w:type="dxa"/>
                  <w:vMerge w:val="continue"/>
                  <w:tcBorders>
                    <w:tl2br w:val="nil"/>
                    <w:tr2bl w:val="nil"/>
                  </w:tcBorders>
                  <w:shd w:val="clear" w:color="auto" w:fill="auto"/>
                  <w:vAlign w:val="center"/>
                </w:tcPr>
                <w:p w14:paraId="45685F87">
                  <w:pPr>
                    <w:widowControl/>
                    <w:adjustRightInd w:val="0"/>
                    <w:snapToGrid w:val="0"/>
                    <w:spacing w:before="0" w:after="0" w:line="240" w:lineRule="auto"/>
                    <w:ind w:firstLine="0" w:firstLineChars="0"/>
                    <w:jc w:val="left"/>
                    <w:rPr>
                      <w:b/>
                      <w:color w:val="auto"/>
                      <w:sz w:val="21"/>
                      <w:szCs w:val="21"/>
                    </w:rPr>
                  </w:pPr>
                </w:p>
              </w:tc>
            </w:tr>
            <w:tr w14:paraId="3E65A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894" w:hRule="atLeast"/>
                <w:jc w:val="center"/>
              </w:trPr>
              <w:tc>
                <w:tcPr>
                  <w:tcW w:w="557" w:type="dxa"/>
                  <w:vMerge w:val="restart"/>
                  <w:tcBorders>
                    <w:tl2br w:val="nil"/>
                    <w:tr2bl w:val="nil"/>
                  </w:tcBorders>
                  <w:shd w:val="clear" w:color="auto" w:fill="auto"/>
                  <w:vAlign w:val="center"/>
                </w:tcPr>
                <w:p w14:paraId="0F0911A8">
                  <w:pPr>
                    <w:adjustRightInd w:val="0"/>
                    <w:snapToGrid w:val="0"/>
                    <w:spacing w:after="100" w:afterAutospacing="1" w:line="240" w:lineRule="auto"/>
                    <w:ind w:firstLine="0" w:firstLineChars="0"/>
                    <w:jc w:val="center"/>
                    <w:rPr>
                      <w:color w:val="auto"/>
                      <w:sz w:val="21"/>
                      <w:szCs w:val="21"/>
                    </w:rPr>
                  </w:pPr>
                  <w:r>
                    <w:rPr>
                      <w:color w:val="auto"/>
                      <w:sz w:val="21"/>
                      <w:szCs w:val="21"/>
                    </w:rPr>
                    <w:t>池州市</w:t>
                  </w:r>
                </w:p>
              </w:tc>
              <w:tc>
                <w:tcPr>
                  <w:tcW w:w="1062" w:type="dxa"/>
                  <w:vMerge w:val="restart"/>
                  <w:tcBorders>
                    <w:tl2br w:val="nil"/>
                    <w:tr2bl w:val="nil"/>
                  </w:tcBorders>
                  <w:shd w:val="clear" w:color="auto" w:fill="auto"/>
                  <w:vAlign w:val="center"/>
                </w:tcPr>
                <w:p w14:paraId="7209BC82">
                  <w:pPr>
                    <w:adjustRightInd w:val="0"/>
                    <w:snapToGrid w:val="0"/>
                    <w:spacing w:after="100" w:afterAutospacing="1" w:line="240" w:lineRule="auto"/>
                    <w:ind w:firstLine="0" w:firstLineChars="0"/>
                    <w:jc w:val="center"/>
                    <w:rPr>
                      <w:color w:val="auto"/>
                      <w:sz w:val="21"/>
                      <w:szCs w:val="21"/>
                    </w:rPr>
                  </w:pPr>
                  <w:r>
                    <w:rPr>
                      <w:color w:val="auto"/>
                      <w:sz w:val="21"/>
                      <w:szCs w:val="21"/>
                    </w:rPr>
                    <w:t>青阳县</w:t>
                  </w:r>
                </w:p>
              </w:tc>
              <w:tc>
                <w:tcPr>
                  <w:tcW w:w="819" w:type="dxa"/>
                  <w:vMerge w:val="restart"/>
                  <w:tcBorders>
                    <w:tl2br w:val="nil"/>
                    <w:tr2bl w:val="nil"/>
                  </w:tcBorders>
                  <w:shd w:val="clear" w:color="auto" w:fill="auto"/>
                  <w:vAlign w:val="center"/>
                </w:tcPr>
                <w:p w14:paraId="57B6E6E2">
                  <w:pPr>
                    <w:adjustRightInd w:val="0"/>
                    <w:snapToGrid w:val="0"/>
                    <w:spacing w:after="100" w:afterAutospacing="1" w:line="240" w:lineRule="auto"/>
                    <w:ind w:firstLine="0" w:firstLineChars="0"/>
                    <w:jc w:val="center"/>
                    <w:rPr>
                      <w:color w:val="auto"/>
                      <w:sz w:val="21"/>
                      <w:szCs w:val="21"/>
                    </w:rPr>
                  </w:pPr>
                  <w:r>
                    <w:rPr>
                      <w:bCs/>
                      <w:color w:val="auto"/>
                      <w:kern w:val="0"/>
                      <w:sz w:val="21"/>
                      <w:szCs w:val="21"/>
                    </w:rPr>
                    <w:t>开发区-安徽青阳经济开发区</w:t>
                  </w:r>
                </w:p>
              </w:tc>
              <w:tc>
                <w:tcPr>
                  <w:tcW w:w="910" w:type="dxa"/>
                  <w:vMerge w:val="restart"/>
                  <w:tcBorders>
                    <w:tl2br w:val="nil"/>
                    <w:tr2bl w:val="nil"/>
                  </w:tcBorders>
                  <w:shd w:val="clear" w:color="auto" w:fill="auto"/>
                  <w:vAlign w:val="center"/>
                </w:tcPr>
                <w:p w14:paraId="3F3C69A9">
                  <w:pPr>
                    <w:adjustRightInd w:val="0"/>
                    <w:snapToGrid w:val="0"/>
                    <w:spacing w:after="100" w:afterAutospacing="1" w:line="240" w:lineRule="auto"/>
                    <w:ind w:firstLine="0" w:firstLineChars="0"/>
                    <w:jc w:val="center"/>
                    <w:rPr>
                      <w:color w:val="auto"/>
                      <w:sz w:val="21"/>
                      <w:szCs w:val="21"/>
                    </w:rPr>
                  </w:pPr>
                  <w:r>
                    <w:rPr>
                      <w:color w:val="auto"/>
                      <w:sz w:val="21"/>
                      <w:szCs w:val="21"/>
                    </w:rPr>
                    <w:t>机电装备制造、非金属新材料、镁基新材料</w:t>
                  </w:r>
                </w:p>
              </w:tc>
              <w:tc>
                <w:tcPr>
                  <w:tcW w:w="873" w:type="dxa"/>
                  <w:vMerge w:val="restart"/>
                  <w:tcBorders>
                    <w:tl2br w:val="nil"/>
                    <w:tr2bl w:val="nil"/>
                  </w:tcBorders>
                  <w:shd w:val="clear" w:color="auto" w:fill="auto"/>
                  <w:vAlign w:val="center"/>
                </w:tcPr>
                <w:p w14:paraId="46B7E1C1">
                  <w:pPr>
                    <w:adjustRightInd w:val="0"/>
                    <w:snapToGrid w:val="0"/>
                    <w:spacing w:after="100" w:afterAutospacing="1" w:line="240" w:lineRule="auto"/>
                    <w:ind w:firstLine="0" w:firstLineChars="0"/>
                    <w:jc w:val="center"/>
                    <w:rPr>
                      <w:color w:val="auto"/>
                      <w:sz w:val="21"/>
                      <w:szCs w:val="21"/>
                    </w:rPr>
                  </w:pPr>
                  <w:r>
                    <w:rPr>
                      <w:color w:val="auto"/>
                      <w:sz w:val="21"/>
                      <w:szCs w:val="21"/>
                    </w:rPr>
                    <w:t>792.45hm</w:t>
                  </w:r>
                  <w:r>
                    <w:rPr>
                      <w:color w:val="auto"/>
                      <w:sz w:val="21"/>
                      <w:szCs w:val="21"/>
                      <w:vertAlign w:val="superscript"/>
                    </w:rPr>
                    <w:t>2</w:t>
                  </w:r>
                </w:p>
              </w:tc>
              <w:tc>
                <w:tcPr>
                  <w:tcW w:w="872" w:type="dxa"/>
                  <w:tcBorders>
                    <w:tl2br w:val="nil"/>
                    <w:tr2bl w:val="nil"/>
                  </w:tcBorders>
                  <w:shd w:val="clear" w:color="auto" w:fill="auto"/>
                  <w:vAlign w:val="center"/>
                </w:tcPr>
                <w:p w14:paraId="089208E7">
                  <w:pPr>
                    <w:adjustRightInd w:val="0"/>
                    <w:snapToGrid w:val="0"/>
                    <w:spacing w:after="100" w:afterAutospacing="1" w:line="240" w:lineRule="auto"/>
                    <w:ind w:firstLine="0" w:firstLineChars="0"/>
                    <w:jc w:val="center"/>
                    <w:rPr>
                      <w:color w:val="auto"/>
                      <w:sz w:val="21"/>
                      <w:szCs w:val="21"/>
                    </w:rPr>
                  </w:pPr>
                  <w:r>
                    <w:rPr>
                      <w:color w:val="auto"/>
                      <w:sz w:val="21"/>
                      <w:szCs w:val="21"/>
                    </w:rPr>
                    <w:t>污染物排放管控</w:t>
                  </w:r>
                </w:p>
              </w:tc>
              <w:tc>
                <w:tcPr>
                  <w:tcW w:w="6859" w:type="dxa"/>
                  <w:tcBorders>
                    <w:tl2br w:val="nil"/>
                    <w:tr2bl w:val="nil"/>
                  </w:tcBorders>
                  <w:shd w:val="clear" w:color="auto" w:fill="auto"/>
                  <w:vAlign w:val="center"/>
                </w:tcPr>
                <w:p w14:paraId="4A9FA846">
                  <w:pPr>
                    <w:keepNext w:val="0"/>
                    <w:keepLines w:val="0"/>
                    <w:pageBreakBefore w:val="0"/>
                    <w:widowControl w:val="0"/>
                    <w:numPr>
                      <w:ilvl w:val="0"/>
                      <w:numId w:val="0"/>
                    </w:numPr>
                    <w:kinsoku/>
                    <w:wordWrap/>
                    <w:overflowPunct w:val="0"/>
                    <w:topLinePunct w:val="0"/>
                    <w:autoSpaceDE/>
                    <w:autoSpaceDN/>
                    <w:bidi w:val="0"/>
                    <w:adjustRightInd w:val="0"/>
                    <w:snapToGrid w:val="0"/>
                    <w:spacing w:before="0" w:after="0" w:line="240" w:lineRule="auto"/>
                    <w:ind w:firstLine="0" w:firstLineChars="0"/>
                    <w:jc w:val="both"/>
                    <w:textAlignment w:val="auto"/>
                    <w:rPr>
                      <w:color w:val="auto"/>
                      <w:sz w:val="21"/>
                      <w:szCs w:val="21"/>
                    </w:rPr>
                  </w:pPr>
                  <w:r>
                    <w:rPr>
                      <w:rFonts w:ascii="Times New Roman" w:hAnsi="Times New Roman" w:eastAsia="宋体" w:cs="Times New Roman"/>
                      <w:color w:val="auto"/>
                      <w:kern w:val="2"/>
                      <w:sz w:val="21"/>
                      <w:szCs w:val="21"/>
                      <w:lang w:val="en-US" w:eastAsia="zh-CN" w:bidi="ar-SA"/>
                    </w:rPr>
                    <w:t>1.</w:t>
                  </w:r>
                  <w:r>
                    <w:rPr>
                      <w:color w:val="auto"/>
                      <w:sz w:val="21"/>
                      <w:szCs w:val="21"/>
                    </w:rPr>
                    <w:t>万元工业产值SO</w:t>
                  </w:r>
                  <w:r>
                    <w:rPr>
                      <w:color w:val="auto"/>
                      <w:sz w:val="21"/>
                      <w:szCs w:val="21"/>
                      <w:vertAlign w:val="subscript"/>
                    </w:rPr>
                    <w:t>2</w:t>
                  </w:r>
                  <w:r>
                    <w:rPr>
                      <w:color w:val="auto"/>
                      <w:sz w:val="21"/>
                      <w:szCs w:val="21"/>
                    </w:rPr>
                    <w:t>年排放量（kg/万元）≤0.07（至2030年）</w:t>
                  </w:r>
                </w:p>
                <w:p w14:paraId="004BDF3C">
                  <w:pPr>
                    <w:keepNext w:val="0"/>
                    <w:keepLines w:val="0"/>
                    <w:pageBreakBefore w:val="0"/>
                    <w:widowControl w:val="0"/>
                    <w:numPr>
                      <w:ilvl w:val="0"/>
                      <w:numId w:val="0"/>
                    </w:numPr>
                    <w:kinsoku/>
                    <w:wordWrap/>
                    <w:overflowPunct w:val="0"/>
                    <w:topLinePunct w:val="0"/>
                    <w:autoSpaceDE/>
                    <w:autoSpaceDN/>
                    <w:bidi w:val="0"/>
                    <w:adjustRightInd w:val="0"/>
                    <w:snapToGrid w:val="0"/>
                    <w:spacing w:before="0" w:after="0" w:line="240" w:lineRule="auto"/>
                    <w:ind w:firstLine="0" w:firstLineChars="0"/>
                    <w:jc w:val="both"/>
                    <w:textAlignment w:val="auto"/>
                    <w:rPr>
                      <w:color w:val="auto"/>
                      <w:sz w:val="21"/>
                      <w:szCs w:val="21"/>
                    </w:rPr>
                  </w:pPr>
                  <w:r>
                    <w:rPr>
                      <w:color w:val="auto"/>
                      <w:sz w:val="21"/>
                      <w:szCs w:val="21"/>
                    </w:rPr>
                    <w:t>2.万元工业产值废水年排放量（t/万元）≤1.6（至2030年）</w:t>
                  </w:r>
                </w:p>
                <w:p w14:paraId="41324C7B">
                  <w:pPr>
                    <w:keepNext w:val="0"/>
                    <w:keepLines w:val="0"/>
                    <w:pageBreakBefore w:val="0"/>
                    <w:widowControl w:val="0"/>
                    <w:numPr>
                      <w:ilvl w:val="0"/>
                      <w:numId w:val="0"/>
                    </w:numPr>
                    <w:kinsoku/>
                    <w:wordWrap/>
                    <w:overflowPunct w:val="0"/>
                    <w:topLinePunct w:val="0"/>
                    <w:autoSpaceDE/>
                    <w:autoSpaceDN/>
                    <w:bidi w:val="0"/>
                    <w:adjustRightInd w:val="0"/>
                    <w:snapToGrid w:val="0"/>
                    <w:spacing w:before="0" w:after="0" w:line="240" w:lineRule="auto"/>
                    <w:ind w:firstLine="0" w:firstLineChars="0"/>
                    <w:jc w:val="both"/>
                    <w:textAlignment w:val="auto"/>
                    <w:rPr>
                      <w:color w:val="auto"/>
                      <w:sz w:val="21"/>
                      <w:szCs w:val="21"/>
                    </w:rPr>
                  </w:pPr>
                  <w:r>
                    <w:rPr>
                      <w:color w:val="auto"/>
                      <w:sz w:val="21"/>
                      <w:szCs w:val="21"/>
                    </w:rPr>
                    <w:t>3.万元工业产值COD（kg/万元）≤0.17（至2030年）</w:t>
                  </w:r>
                </w:p>
                <w:p w14:paraId="50874D74">
                  <w:pPr>
                    <w:keepNext w:val="0"/>
                    <w:keepLines w:val="0"/>
                    <w:pageBreakBefore w:val="0"/>
                    <w:widowControl w:val="0"/>
                    <w:numPr>
                      <w:ilvl w:val="0"/>
                      <w:numId w:val="0"/>
                    </w:numPr>
                    <w:kinsoku/>
                    <w:wordWrap/>
                    <w:overflowPunct w:val="0"/>
                    <w:topLinePunct w:val="0"/>
                    <w:autoSpaceDE/>
                    <w:autoSpaceDN/>
                    <w:bidi w:val="0"/>
                    <w:adjustRightInd w:val="0"/>
                    <w:snapToGrid w:val="0"/>
                    <w:spacing w:before="0" w:after="0" w:line="240" w:lineRule="auto"/>
                    <w:ind w:firstLine="0" w:firstLineChars="0"/>
                    <w:jc w:val="both"/>
                    <w:textAlignment w:val="auto"/>
                    <w:rPr>
                      <w:color w:val="auto"/>
                      <w:sz w:val="21"/>
                      <w:szCs w:val="21"/>
                    </w:rPr>
                  </w:pPr>
                  <w:r>
                    <w:rPr>
                      <w:color w:val="auto"/>
                      <w:sz w:val="21"/>
                      <w:szCs w:val="21"/>
                    </w:rPr>
                    <w:t>4.重点行业万元工业产值综合能耗（吨标煤/万元）≤0.5（至2030年）</w:t>
                  </w:r>
                </w:p>
                <w:p w14:paraId="5F3C870F">
                  <w:pPr>
                    <w:keepNext w:val="0"/>
                    <w:keepLines w:val="0"/>
                    <w:pageBreakBefore w:val="0"/>
                    <w:widowControl w:val="0"/>
                    <w:numPr>
                      <w:ilvl w:val="0"/>
                      <w:numId w:val="0"/>
                    </w:numPr>
                    <w:kinsoku/>
                    <w:wordWrap/>
                    <w:overflowPunct w:val="0"/>
                    <w:topLinePunct w:val="0"/>
                    <w:autoSpaceDE/>
                    <w:autoSpaceDN/>
                    <w:bidi w:val="0"/>
                    <w:adjustRightInd w:val="0"/>
                    <w:snapToGrid w:val="0"/>
                    <w:spacing w:before="0" w:after="0" w:line="240" w:lineRule="auto"/>
                    <w:ind w:firstLine="0" w:firstLineChars="0"/>
                    <w:jc w:val="both"/>
                    <w:textAlignment w:val="auto"/>
                    <w:rPr>
                      <w:color w:val="auto"/>
                      <w:sz w:val="21"/>
                      <w:szCs w:val="21"/>
                    </w:rPr>
                  </w:pPr>
                  <w:r>
                    <w:rPr>
                      <w:color w:val="auto"/>
                      <w:sz w:val="21"/>
                      <w:szCs w:val="21"/>
                    </w:rPr>
                    <w:t>5.重点行业万元总产值水耗（m</w:t>
                  </w:r>
                  <w:r>
                    <w:rPr>
                      <w:color w:val="auto"/>
                      <w:sz w:val="21"/>
                      <w:szCs w:val="21"/>
                      <w:vertAlign w:val="superscript"/>
                    </w:rPr>
                    <w:t>3</w:t>
                  </w:r>
                  <w:r>
                    <w:rPr>
                      <w:color w:val="auto"/>
                      <w:sz w:val="21"/>
                      <w:szCs w:val="21"/>
                    </w:rPr>
                    <w:t>/万元）≤8（至2030年）</w:t>
                  </w:r>
                </w:p>
                <w:p w14:paraId="0744C33D">
                  <w:pPr>
                    <w:adjustRightInd w:val="0"/>
                    <w:snapToGrid w:val="0"/>
                    <w:spacing w:before="0" w:after="0" w:line="240" w:lineRule="auto"/>
                    <w:ind w:firstLine="0" w:firstLineChars="0"/>
                    <w:jc w:val="both"/>
                    <w:rPr>
                      <w:color w:val="auto"/>
                      <w:sz w:val="21"/>
                      <w:szCs w:val="21"/>
                    </w:rPr>
                  </w:pPr>
                  <w:r>
                    <w:rPr>
                      <w:color w:val="auto"/>
                      <w:sz w:val="21"/>
                      <w:szCs w:val="21"/>
                    </w:rPr>
                    <w:t>6.工业企业工艺废气排放有行业标准的执行行业标准，无行业标准的参考执行《大气污染物综合排放标准》（DB31/933-2015）标准限值；东河、新河园区内二氧化硫、氮氧化物、颗粒物、挥发性有机物（VOCs）全面执行大气污染物特别排放限值。童埠园区常规污染物及特征污染物全面执行大气污染物特别排放限值；锅炉废气排放执行《锅炉大气污染物排放标准》（GB13271-2014），锅炉废气中氮氧化物执行安徽省大气办关于印发《2020年安徽省大气污染防治重点工作任务》的通知（皖大气办</w:t>
                  </w:r>
                  <w:r>
                    <w:rPr>
                      <w:rFonts w:hint="eastAsia"/>
                      <w:color w:val="auto"/>
                      <w:sz w:val="21"/>
                      <w:szCs w:val="21"/>
                      <w:lang w:eastAsia="zh-CN"/>
                    </w:rPr>
                    <w:t>〔2020〕2号</w:t>
                  </w:r>
                  <w:r>
                    <w:rPr>
                      <w:color w:val="auto"/>
                      <w:sz w:val="21"/>
                      <w:szCs w:val="21"/>
                    </w:rPr>
                    <w:t>）中的要求；工业炉窑废气排放执行《工业炉窑大气污染综合治理方案》中相关规定；恶臭污染物执行《恶臭污染物排放标准》（GB14554-93）中二级标准；燃煤锅炉实行超低排放，达到燃煤电厂超低排放水平；生物质锅炉应采用专用锅炉，严禁掺烧煤炭等其他燃料，配套布袋等</w:t>
                  </w:r>
                  <w:r>
                    <w:rPr>
                      <w:rFonts w:hint="eastAsia"/>
                      <w:color w:val="auto"/>
                      <w:sz w:val="21"/>
                      <w:szCs w:val="21"/>
                      <w:lang w:eastAsia="zh-CN"/>
                    </w:rPr>
                    <w:t>高效</w:t>
                  </w:r>
                  <w:r>
                    <w:rPr>
                      <w:color w:val="auto"/>
                      <w:sz w:val="21"/>
                      <w:szCs w:val="21"/>
                    </w:rPr>
                    <w:t>除尘设施。</w:t>
                  </w:r>
                </w:p>
                <w:p w14:paraId="791C57BB">
                  <w:pPr>
                    <w:adjustRightInd w:val="0"/>
                    <w:snapToGrid w:val="0"/>
                    <w:spacing w:before="0" w:after="0" w:line="240" w:lineRule="auto"/>
                    <w:ind w:firstLine="0" w:firstLineChars="0"/>
                    <w:jc w:val="both"/>
                    <w:rPr>
                      <w:color w:val="auto"/>
                      <w:sz w:val="21"/>
                      <w:szCs w:val="21"/>
                    </w:rPr>
                  </w:pPr>
                  <w:r>
                    <w:rPr>
                      <w:color w:val="auto"/>
                      <w:sz w:val="21"/>
                      <w:szCs w:val="21"/>
                    </w:rPr>
                    <w:t>7.园区内涉VOCs废气排放的企业应执行《挥发性有机物无组织排放控制标准》中相关要求，最大程度减少无组织排放。</w:t>
                  </w:r>
                </w:p>
                <w:p w14:paraId="20DFD4E2">
                  <w:pPr>
                    <w:pStyle w:val="11"/>
                    <w:snapToGrid w:val="0"/>
                    <w:spacing w:before="0" w:after="0" w:line="240" w:lineRule="auto"/>
                    <w:ind w:firstLine="0" w:firstLineChars="0"/>
                    <w:jc w:val="both"/>
                    <w:rPr>
                      <w:color w:val="auto"/>
                      <w:sz w:val="21"/>
                      <w:szCs w:val="21"/>
                    </w:rPr>
                  </w:pPr>
                  <w:r>
                    <w:rPr>
                      <w:color w:val="auto"/>
                      <w:sz w:val="21"/>
                      <w:szCs w:val="21"/>
                    </w:rPr>
                    <w:t>8.镁冶炼企业污染物排放执行《镁、钛工业污染物排放标准》（GB25468-2010）标准限值，颗粒物排放限值为10 mg/m</w:t>
                  </w:r>
                  <w:r>
                    <w:rPr>
                      <w:color w:val="auto"/>
                      <w:sz w:val="21"/>
                      <w:szCs w:val="21"/>
                      <w:vertAlign w:val="superscript"/>
                    </w:rPr>
                    <w:t>3</w:t>
                  </w:r>
                  <w:r>
                    <w:rPr>
                      <w:color w:val="auto"/>
                      <w:sz w:val="21"/>
                      <w:szCs w:val="21"/>
                    </w:rPr>
                    <w:t>，SO</w:t>
                  </w:r>
                  <w:r>
                    <w:rPr>
                      <w:color w:val="auto"/>
                      <w:sz w:val="21"/>
                      <w:szCs w:val="21"/>
                      <w:vertAlign w:val="subscript"/>
                    </w:rPr>
                    <w:t>2</w:t>
                  </w:r>
                  <w:r>
                    <w:rPr>
                      <w:color w:val="auto"/>
                      <w:sz w:val="21"/>
                      <w:szCs w:val="21"/>
                    </w:rPr>
                    <w:t>排放限值为100 mg/m</w:t>
                  </w:r>
                  <w:r>
                    <w:rPr>
                      <w:color w:val="auto"/>
                      <w:sz w:val="21"/>
                      <w:szCs w:val="21"/>
                      <w:vertAlign w:val="superscript"/>
                    </w:rPr>
                    <w:t>3</w:t>
                  </w:r>
                  <w:r>
                    <w:rPr>
                      <w:color w:val="auto"/>
                      <w:sz w:val="21"/>
                      <w:szCs w:val="21"/>
                    </w:rPr>
                    <w:t>，NO</w:t>
                  </w:r>
                  <w:r>
                    <w:rPr>
                      <w:color w:val="auto"/>
                      <w:sz w:val="21"/>
                      <w:szCs w:val="21"/>
                      <w:vertAlign w:val="subscript"/>
                    </w:rPr>
                    <w:t>x</w:t>
                  </w:r>
                  <w:r>
                    <w:rPr>
                      <w:color w:val="auto"/>
                      <w:sz w:val="21"/>
                      <w:szCs w:val="21"/>
                    </w:rPr>
                    <w:t>（以NO</w:t>
                  </w:r>
                  <w:r>
                    <w:rPr>
                      <w:color w:val="auto"/>
                      <w:sz w:val="21"/>
                      <w:szCs w:val="21"/>
                      <w:vertAlign w:val="subscript"/>
                    </w:rPr>
                    <w:t>2</w:t>
                  </w:r>
                  <w:r>
                    <w:rPr>
                      <w:color w:val="auto"/>
                      <w:sz w:val="21"/>
                      <w:szCs w:val="21"/>
                    </w:rPr>
                    <w:t>记）排放限值为100 mg/m</w:t>
                  </w:r>
                  <w:r>
                    <w:rPr>
                      <w:color w:val="auto"/>
                      <w:sz w:val="21"/>
                      <w:szCs w:val="21"/>
                      <w:vertAlign w:val="superscript"/>
                    </w:rPr>
                    <w:t>3</w:t>
                  </w:r>
                  <w:r>
                    <w:rPr>
                      <w:color w:val="auto"/>
                      <w:sz w:val="21"/>
                      <w:szCs w:val="21"/>
                    </w:rPr>
                    <w:t>。</w:t>
                  </w:r>
                </w:p>
                <w:p w14:paraId="589C8B19">
                  <w:pPr>
                    <w:pStyle w:val="11"/>
                    <w:snapToGrid w:val="0"/>
                    <w:spacing w:after="0" w:line="240" w:lineRule="auto"/>
                    <w:ind w:firstLine="0" w:firstLineChars="0"/>
                    <w:jc w:val="both"/>
                    <w:rPr>
                      <w:color w:val="auto"/>
                      <w:sz w:val="21"/>
                      <w:szCs w:val="21"/>
                    </w:rPr>
                  </w:pPr>
                  <w:r>
                    <w:rPr>
                      <w:color w:val="auto"/>
                      <w:sz w:val="21"/>
                      <w:szCs w:val="21"/>
                    </w:rPr>
                    <w:t>9.镁冶炼企业须按《排污单位自行监测技术指南 有色金属工业》（HJ 989）等相关标准规范开展自行监测；须依法领取排污许可证后，方可排放污染物，并在生产经营中严格落实排污许可证规定的环境管理要求。物料储存、转移输送、装卸和工艺过程等环节的无组织排放须加强控制管理，制定相应的环境管理措施，满足有关环保标准要求。采用低噪音设备和设置隔声屏障等进行噪声治理。</w:t>
                  </w:r>
                </w:p>
                <w:p w14:paraId="75642568">
                  <w:pPr>
                    <w:pStyle w:val="11"/>
                    <w:snapToGrid w:val="0"/>
                    <w:spacing w:before="0" w:after="0" w:line="240" w:lineRule="auto"/>
                    <w:ind w:firstLine="0" w:firstLineChars="0"/>
                    <w:jc w:val="both"/>
                    <w:rPr>
                      <w:color w:val="auto"/>
                      <w:sz w:val="21"/>
                      <w:szCs w:val="21"/>
                    </w:rPr>
                  </w:pPr>
                  <w:r>
                    <w:rPr>
                      <w:color w:val="auto"/>
                      <w:sz w:val="21"/>
                      <w:szCs w:val="21"/>
                    </w:rPr>
                    <w:t>10.镁生产企业应推行清洁生产，降低产污强度，依法定期实施清洁生产审核，并通过评估验收。镁冶炼行业清洁生产水平达到一级标准（国外先进水平）。</w:t>
                  </w:r>
                </w:p>
              </w:tc>
              <w:tc>
                <w:tcPr>
                  <w:tcW w:w="1377" w:type="dxa"/>
                  <w:tcBorders>
                    <w:tl2br w:val="nil"/>
                    <w:tr2bl w:val="nil"/>
                  </w:tcBorders>
                  <w:shd w:val="clear" w:color="auto" w:fill="auto"/>
                  <w:vAlign w:val="center"/>
                </w:tcPr>
                <w:p w14:paraId="1D2AA3EC">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eastAsia="宋体"/>
                      <w:color w:val="auto"/>
                      <w:szCs w:val="21"/>
                      <w:lang w:val="en-US" w:eastAsia="zh-CN"/>
                    </w:rPr>
                  </w:pPr>
                  <w:r>
                    <w:rPr>
                      <w:rFonts w:hint="eastAsia"/>
                      <w:color w:val="auto"/>
                      <w:lang w:val="en-US" w:eastAsia="zh-CN"/>
                    </w:rPr>
                    <w:t>本项目使用电能，不涉及天然气等能源的使用；本项目喷漆</w:t>
                  </w:r>
                  <w:r>
                    <w:rPr>
                      <w:rFonts w:hint="default"/>
                      <w:color w:val="auto"/>
                      <w:lang w:val="en-US" w:eastAsia="zh-CN"/>
                    </w:rPr>
                    <w:t>有机废气经喷漆房密闭负压收集</w:t>
                  </w:r>
                  <w:r>
                    <w:rPr>
                      <w:rFonts w:hint="eastAsia"/>
                      <w:color w:val="auto"/>
                      <w:lang w:val="en-US" w:eastAsia="zh-CN"/>
                    </w:rPr>
                    <w:t>与晾干产生的有机废气经晾干房密闭负压收集后合并经两级活性炭处理后达标排放。</w:t>
                  </w:r>
                </w:p>
              </w:tc>
            </w:tr>
            <w:tr w14:paraId="023C5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29" w:hRule="atLeast"/>
                <w:jc w:val="center"/>
              </w:trPr>
              <w:tc>
                <w:tcPr>
                  <w:tcW w:w="557" w:type="dxa"/>
                  <w:vMerge w:val="continue"/>
                  <w:tcBorders>
                    <w:tl2br w:val="nil"/>
                    <w:tr2bl w:val="nil"/>
                  </w:tcBorders>
                  <w:shd w:val="clear" w:color="auto" w:fill="auto"/>
                  <w:vAlign w:val="center"/>
                </w:tcPr>
                <w:p w14:paraId="0587043D">
                  <w:pPr>
                    <w:widowControl/>
                    <w:adjustRightInd w:val="0"/>
                    <w:snapToGrid w:val="0"/>
                    <w:spacing w:before="0" w:after="0" w:line="240" w:lineRule="auto"/>
                    <w:ind w:firstLine="0" w:firstLineChars="0"/>
                    <w:jc w:val="left"/>
                    <w:rPr>
                      <w:color w:val="auto"/>
                      <w:sz w:val="21"/>
                      <w:szCs w:val="21"/>
                    </w:rPr>
                  </w:pPr>
                </w:p>
              </w:tc>
              <w:tc>
                <w:tcPr>
                  <w:tcW w:w="1062" w:type="dxa"/>
                  <w:vMerge w:val="continue"/>
                  <w:tcBorders>
                    <w:tl2br w:val="nil"/>
                    <w:tr2bl w:val="nil"/>
                  </w:tcBorders>
                  <w:shd w:val="clear" w:color="auto" w:fill="auto"/>
                  <w:vAlign w:val="center"/>
                </w:tcPr>
                <w:p w14:paraId="1F20C1CD">
                  <w:pPr>
                    <w:widowControl/>
                    <w:adjustRightInd w:val="0"/>
                    <w:snapToGrid w:val="0"/>
                    <w:spacing w:before="0" w:after="0" w:line="240" w:lineRule="auto"/>
                    <w:ind w:firstLine="0" w:firstLineChars="0"/>
                    <w:jc w:val="left"/>
                    <w:rPr>
                      <w:color w:val="auto"/>
                      <w:sz w:val="21"/>
                      <w:szCs w:val="21"/>
                    </w:rPr>
                  </w:pPr>
                </w:p>
              </w:tc>
              <w:tc>
                <w:tcPr>
                  <w:tcW w:w="819" w:type="dxa"/>
                  <w:vMerge w:val="continue"/>
                  <w:tcBorders>
                    <w:tl2br w:val="nil"/>
                    <w:tr2bl w:val="nil"/>
                  </w:tcBorders>
                  <w:shd w:val="clear" w:color="auto" w:fill="auto"/>
                  <w:vAlign w:val="center"/>
                </w:tcPr>
                <w:p w14:paraId="10743219">
                  <w:pPr>
                    <w:widowControl/>
                    <w:adjustRightInd w:val="0"/>
                    <w:snapToGrid w:val="0"/>
                    <w:spacing w:before="0" w:after="0" w:line="240" w:lineRule="auto"/>
                    <w:ind w:firstLine="0" w:firstLineChars="0"/>
                    <w:jc w:val="left"/>
                    <w:rPr>
                      <w:color w:val="auto"/>
                      <w:sz w:val="21"/>
                      <w:szCs w:val="21"/>
                    </w:rPr>
                  </w:pPr>
                </w:p>
              </w:tc>
              <w:tc>
                <w:tcPr>
                  <w:tcW w:w="910" w:type="dxa"/>
                  <w:vMerge w:val="continue"/>
                  <w:tcBorders>
                    <w:tl2br w:val="nil"/>
                    <w:tr2bl w:val="nil"/>
                  </w:tcBorders>
                  <w:shd w:val="clear" w:color="auto" w:fill="auto"/>
                  <w:vAlign w:val="center"/>
                </w:tcPr>
                <w:p w14:paraId="397257EF">
                  <w:pPr>
                    <w:widowControl/>
                    <w:adjustRightInd w:val="0"/>
                    <w:snapToGrid w:val="0"/>
                    <w:spacing w:before="0" w:after="0" w:line="240" w:lineRule="auto"/>
                    <w:ind w:firstLine="0" w:firstLineChars="0"/>
                    <w:jc w:val="left"/>
                    <w:rPr>
                      <w:color w:val="auto"/>
                      <w:sz w:val="21"/>
                      <w:szCs w:val="21"/>
                    </w:rPr>
                  </w:pPr>
                </w:p>
              </w:tc>
              <w:tc>
                <w:tcPr>
                  <w:tcW w:w="873" w:type="dxa"/>
                  <w:vMerge w:val="continue"/>
                  <w:tcBorders>
                    <w:tl2br w:val="nil"/>
                    <w:tr2bl w:val="nil"/>
                  </w:tcBorders>
                  <w:shd w:val="clear" w:color="auto" w:fill="auto"/>
                  <w:vAlign w:val="center"/>
                </w:tcPr>
                <w:p w14:paraId="6C32279D">
                  <w:pPr>
                    <w:widowControl/>
                    <w:adjustRightInd w:val="0"/>
                    <w:snapToGrid w:val="0"/>
                    <w:spacing w:before="0" w:after="0" w:line="240" w:lineRule="auto"/>
                    <w:ind w:firstLine="0" w:firstLineChars="0"/>
                    <w:jc w:val="left"/>
                    <w:rPr>
                      <w:color w:val="auto"/>
                      <w:sz w:val="21"/>
                      <w:szCs w:val="21"/>
                    </w:rPr>
                  </w:pPr>
                </w:p>
              </w:tc>
              <w:tc>
                <w:tcPr>
                  <w:tcW w:w="872" w:type="dxa"/>
                  <w:tcBorders>
                    <w:tl2br w:val="nil"/>
                    <w:tr2bl w:val="nil"/>
                  </w:tcBorders>
                  <w:shd w:val="clear" w:color="auto" w:fill="auto"/>
                  <w:vAlign w:val="center"/>
                </w:tcPr>
                <w:p w14:paraId="45ED8720">
                  <w:pPr>
                    <w:adjustRightInd w:val="0"/>
                    <w:snapToGrid w:val="0"/>
                    <w:spacing w:after="100" w:afterAutospacing="1" w:line="240" w:lineRule="auto"/>
                    <w:ind w:firstLine="0" w:firstLineChars="0"/>
                    <w:jc w:val="center"/>
                    <w:rPr>
                      <w:color w:val="auto"/>
                      <w:sz w:val="21"/>
                      <w:szCs w:val="21"/>
                    </w:rPr>
                  </w:pPr>
                  <w:r>
                    <w:rPr>
                      <w:color w:val="auto"/>
                      <w:sz w:val="21"/>
                      <w:szCs w:val="21"/>
                    </w:rPr>
                    <w:t>环境风险防控</w:t>
                  </w:r>
                </w:p>
              </w:tc>
              <w:tc>
                <w:tcPr>
                  <w:tcW w:w="6859" w:type="dxa"/>
                  <w:tcBorders>
                    <w:tl2br w:val="nil"/>
                    <w:tr2bl w:val="nil"/>
                  </w:tcBorders>
                  <w:shd w:val="clear" w:color="auto" w:fill="auto"/>
                  <w:vAlign w:val="center"/>
                </w:tcPr>
                <w:p w14:paraId="75BDF742">
                  <w:pPr>
                    <w:adjustRightInd w:val="0"/>
                    <w:snapToGrid w:val="0"/>
                    <w:spacing w:before="0" w:after="0" w:line="240" w:lineRule="auto"/>
                    <w:ind w:firstLine="0" w:firstLineChars="0"/>
                    <w:jc w:val="both"/>
                    <w:rPr>
                      <w:color w:val="auto"/>
                      <w:sz w:val="21"/>
                      <w:szCs w:val="21"/>
                    </w:rPr>
                  </w:pPr>
                  <w:r>
                    <w:rPr>
                      <w:color w:val="auto"/>
                      <w:sz w:val="21"/>
                      <w:szCs w:val="21"/>
                    </w:rPr>
                    <w:t>1.合理规划功能分区及产业布局。</w:t>
                  </w:r>
                </w:p>
                <w:p w14:paraId="015B74ED">
                  <w:pPr>
                    <w:adjustRightInd w:val="0"/>
                    <w:snapToGrid w:val="0"/>
                    <w:spacing w:before="0" w:after="0" w:line="240" w:lineRule="auto"/>
                    <w:ind w:firstLine="0" w:firstLineChars="0"/>
                    <w:jc w:val="both"/>
                    <w:rPr>
                      <w:color w:val="auto"/>
                      <w:sz w:val="21"/>
                      <w:szCs w:val="21"/>
                    </w:rPr>
                  </w:pPr>
                  <w:r>
                    <w:rPr>
                      <w:color w:val="auto"/>
                      <w:sz w:val="21"/>
                      <w:szCs w:val="21"/>
                    </w:rPr>
                    <w:t>2.完善园区环境基础设施，其中童埠分区设置园区环境风险应急事故池，制定消防及报警系统。</w:t>
                  </w:r>
                </w:p>
                <w:p w14:paraId="03A327D8">
                  <w:pPr>
                    <w:adjustRightInd w:val="0"/>
                    <w:snapToGrid w:val="0"/>
                    <w:spacing w:before="0" w:after="0" w:line="240" w:lineRule="auto"/>
                    <w:ind w:firstLine="0" w:firstLineChars="0"/>
                    <w:jc w:val="both"/>
                    <w:rPr>
                      <w:color w:val="auto"/>
                      <w:sz w:val="21"/>
                      <w:szCs w:val="21"/>
                    </w:rPr>
                  </w:pPr>
                  <w:r>
                    <w:rPr>
                      <w:color w:val="auto"/>
                      <w:sz w:val="21"/>
                      <w:szCs w:val="21"/>
                    </w:rPr>
                    <w:t>3.建设环境风险应急防范体系，落实园区废水“三级防控”体系。</w:t>
                  </w:r>
                </w:p>
                <w:p w14:paraId="782DCC8F">
                  <w:pPr>
                    <w:pStyle w:val="11"/>
                    <w:snapToGrid w:val="0"/>
                    <w:spacing w:before="0" w:after="0" w:line="240" w:lineRule="auto"/>
                    <w:ind w:firstLine="0" w:firstLineChars="0"/>
                    <w:jc w:val="both"/>
                    <w:rPr>
                      <w:color w:val="auto"/>
                      <w:sz w:val="21"/>
                      <w:szCs w:val="21"/>
                    </w:rPr>
                  </w:pPr>
                  <w:r>
                    <w:rPr>
                      <w:color w:val="auto"/>
                      <w:sz w:val="21"/>
                      <w:szCs w:val="21"/>
                    </w:rPr>
                    <w:t>4.镁冶炼企业应建立、实施并保持满足GB/T24001要求的环境管理体系，并鼓励通过环境管理体系第三方认证。</w:t>
                  </w:r>
                </w:p>
              </w:tc>
              <w:tc>
                <w:tcPr>
                  <w:tcW w:w="1377" w:type="dxa"/>
                  <w:tcBorders>
                    <w:tl2br w:val="nil"/>
                    <w:tr2bl w:val="nil"/>
                  </w:tcBorders>
                  <w:shd w:val="clear" w:color="auto" w:fill="auto"/>
                  <w:vAlign w:val="center"/>
                </w:tcPr>
                <w:p w14:paraId="31D72C4E">
                  <w:pPr>
                    <w:adjustRightInd w:val="0"/>
                    <w:snapToGrid w:val="0"/>
                    <w:spacing w:after="100" w:afterAutospacing="1" w:line="240" w:lineRule="auto"/>
                    <w:ind w:firstLine="0" w:firstLineChars="0"/>
                    <w:rPr>
                      <w:rFonts w:hint="default" w:eastAsia="宋体"/>
                      <w:color w:val="auto"/>
                      <w:sz w:val="21"/>
                      <w:szCs w:val="21"/>
                      <w:lang w:val="en-US" w:eastAsia="zh-CN"/>
                    </w:rPr>
                  </w:pPr>
                  <w:r>
                    <w:rPr>
                      <w:rFonts w:hint="eastAsia"/>
                      <w:color w:val="auto"/>
                      <w:sz w:val="21"/>
                      <w:szCs w:val="21"/>
                      <w:lang w:val="en-US" w:eastAsia="zh-CN"/>
                    </w:rPr>
                    <w:t>本项目位于青阳县经济开发区东河园区，</w:t>
                  </w:r>
                  <w:r>
                    <w:rPr>
                      <w:rFonts w:hint="default" w:ascii="Times New Roman" w:hAnsi="Times New Roman" w:cs="Times New Roman"/>
                      <w:b w:val="0"/>
                      <w:bCs w:val="0"/>
                      <w:color w:val="auto"/>
                      <w:kern w:val="2"/>
                      <w:sz w:val="21"/>
                      <w:szCs w:val="21"/>
                      <w:lang w:val="en-US" w:eastAsia="zh-CN" w:bidi="ar-SA"/>
                    </w:rPr>
                    <w:t>本项目属于C3422</w:t>
                  </w:r>
                  <w:r>
                    <w:rPr>
                      <w:rFonts w:hint="eastAsia" w:cs="Times New Roman"/>
                      <w:b w:val="0"/>
                      <w:bCs w:val="0"/>
                      <w:color w:val="auto"/>
                      <w:kern w:val="2"/>
                      <w:sz w:val="21"/>
                      <w:szCs w:val="21"/>
                      <w:lang w:val="en-US" w:eastAsia="zh-CN" w:bidi="ar-SA"/>
                    </w:rPr>
                    <w:t>金属成形</w:t>
                  </w:r>
                  <w:r>
                    <w:rPr>
                      <w:rFonts w:hint="default" w:ascii="Times New Roman" w:hAnsi="Times New Roman" w:cs="Times New Roman"/>
                      <w:b w:val="0"/>
                      <w:bCs w:val="0"/>
                      <w:color w:val="auto"/>
                      <w:kern w:val="2"/>
                      <w:sz w:val="21"/>
                      <w:szCs w:val="21"/>
                      <w:lang w:val="en-US" w:eastAsia="zh-CN" w:bidi="ar-SA"/>
                    </w:rPr>
                    <w:t>机床制造、C3423铸造机械制造、C3461烘炉、熔炉及电炉制造，</w:t>
                  </w:r>
                  <w:r>
                    <w:rPr>
                      <w:rFonts w:hint="eastAsia" w:cs="Times New Roman"/>
                      <w:b w:val="0"/>
                      <w:bCs w:val="0"/>
                      <w:color w:val="auto"/>
                      <w:kern w:val="2"/>
                      <w:sz w:val="21"/>
                      <w:szCs w:val="21"/>
                      <w:lang w:val="en-US" w:eastAsia="zh-CN" w:bidi="ar-SA"/>
                    </w:rPr>
                    <w:t>属于对现有主导产业的延伸配套产业</w:t>
                  </w:r>
                  <w:r>
                    <w:rPr>
                      <w:rFonts w:hint="eastAsia"/>
                      <w:color w:val="auto"/>
                      <w:sz w:val="21"/>
                      <w:szCs w:val="21"/>
                      <w:lang w:val="en-US" w:eastAsia="zh-CN"/>
                    </w:rPr>
                    <w:t>；项目运营期主要为空压系统冷凝水和生活污水，生活污水经化粪池预处理后与空压系统冷凝水经厂区污水总排口排入市政污水管网排入青阳县污水处理厂处理。</w:t>
                  </w:r>
                </w:p>
              </w:tc>
            </w:tr>
            <w:tr w14:paraId="2CFCE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161" w:hRule="atLeast"/>
                <w:jc w:val="center"/>
              </w:trPr>
              <w:tc>
                <w:tcPr>
                  <w:tcW w:w="557" w:type="dxa"/>
                  <w:vMerge w:val="continue"/>
                  <w:tcBorders>
                    <w:tl2br w:val="nil"/>
                    <w:tr2bl w:val="nil"/>
                  </w:tcBorders>
                  <w:shd w:val="clear" w:color="auto" w:fill="auto"/>
                  <w:vAlign w:val="center"/>
                </w:tcPr>
                <w:p w14:paraId="2A744821">
                  <w:pPr>
                    <w:widowControl/>
                    <w:adjustRightInd w:val="0"/>
                    <w:snapToGrid w:val="0"/>
                    <w:spacing w:before="0" w:after="0" w:line="240" w:lineRule="auto"/>
                    <w:ind w:firstLine="0" w:firstLineChars="0"/>
                    <w:jc w:val="left"/>
                    <w:rPr>
                      <w:color w:val="auto"/>
                      <w:sz w:val="21"/>
                      <w:szCs w:val="21"/>
                    </w:rPr>
                  </w:pPr>
                </w:p>
              </w:tc>
              <w:tc>
                <w:tcPr>
                  <w:tcW w:w="1062" w:type="dxa"/>
                  <w:vMerge w:val="continue"/>
                  <w:tcBorders>
                    <w:tl2br w:val="nil"/>
                    <w:tr2bl w:val="nil"/>
                  </w:tcBorders>
                  <w:shd w:val="clear" w:color="auto" w:fill="auto"/>
                  <w:vAlign w:val="center"/>
                </w:tcPr>
                <w:p w14:paraId="0E4EF920">
                  <w:pPr>
                    <w:widowControl/>
                    <w:adjustRightInd w:val="0"/>
                    <w:snapToGrid w:val="0"/>
                    <w:spacing w:before="0" w:after="0" w:line="240" w:lineRule="auto"/>
                    <w:ind w:firstLine="0" w:firstLineChars="0"/>
                    <w:jc w:val="left"/>
                    <w:rPr>
                      <w:color w:val="auto"/>
                      <w:sz w:val="21"/>
                      <w:szCs w:val="21"/>
                    </w:rPr>
                  </w:pPr>
                </w:p>
              </w:tc>
              <w:tc>
                <w:tcPr>
                  <w:tcW w:w="819" w:type="dxa"/>
                  <w:vMerge w:val="continue"/>
                  <w:tcBorders>
                    <w:tl2br w:val="nil"/>
                    <w:tr2bl w:val="nil"/>
                  </w:tcBorders>
                  <w:shd w:val="clear" w:color="auto" w:fill="auto"/>
                  <w:vAlign w:val="center"/>
                </w:tcPr>
                <w:p w14:paraId="4F584E35">
                  <w:pPr>
                    <w:widowControl/>
                    <w:adjustRightInd w:val="0"/>
                    <w:snapToGrid w:val="0"/>
                    <w:spacing w:before="0" w:after="0" w:line="240" w:lineRule="auto"/>
                    <w:ind w:firstLine="0" w:firstLineChars="0"/>
                    <w:jc w:val="left"/>
                    <w:rPr>
                      <w:color w:val="auto"/>
                      <w:sz w:val="21"/>
                      <w:szCs w:val="21"/>
                    </w:rPr>
                  </w:pPr>
                </w:p>
              </w:tc>
              <w:tc>
                <w:tcPr>
                  <w:tcW w:w="910" w:type="dxa"/>
                  <w:vMerge w:val="continue"/>
                  <w:tcBorders>
                    <w:tl2br w:val="nil"/>
                    <w:tr2bl w:val="nil"/>
                  </w:tcBorders>
                  <w:shd w:val="clear" w:color="auto" w:fill="auto"/>
                  <w:vAlign w:val="center"/>
                </w:tcPr>
                <w:p w14:paraId="06807CC5">
                  <w:pPr>
                    <w:widowControl/>
                    <w:adjustRightInd w:val="0"/>
                    <w:snapToGrid w:val="0"/>
                    <w:spacing w:before="0" w:after="0" w:line="240" w:lineRule="auto"/>
                    <w:ind w:firstLine="0" w:firstLineChars="0"/>
                    <w:jc w:val="left"/>
                    <w:rPr>
                      <w:color w:val="auto"/>
                      <w:sz w:val="21"/>
                      <w:szCs w:val="21"/>
                    </w:rPr>
                  </w:pPr>
                </w:p>
              </w:tc>
              <w:tc>
                <w:tcPr>
                  <w:tcW w:w="873" w:type="dxa"/>
                  <w:vMerge w:val="continue"/>
                  <w:tcBorders>
                    <w:tl2br w:val="nil"/>
                    <w:tr2bl w:val="nil"/>
                  </w:tcBorders>
                  <w:shd w:val="clear" w:color="auto" w:fill="auto"/>
                  <w:vAlign w:val="center"/>
                </w:tcPr>
                <w:p w14:paraId="73652CAE">
                  <w:pPr>
                    <w:widowControl/>
                    <w:adjustRightInd w:val="0"/>
                    <w:snapToGrid w:val="0"/>
                    <w:spacing w:before="0" w:after="0" w:line="240" w:lineRule="auto"/>
                    <w:ind w:firstLine="0" w:firstLineChars="0"/>
                    <w:jc w:val="left"/>
                    <w:rPr>
                      <w:color w:val="auto"/>
                      <w:sz w:val="21"/>
                      <w:szCs w:val="21"/>
                    </w:rPr>
                  </w:pPr>
                </w:p>
              </w:tc>
              <w:tc>
                <w:tcPr>
                  <w:tcW w:w="872" w:type="dxa"/>
                  <w:tcBorders>
                    <w:tl2br w:val="nil"/>
                    <w:tr2bl w:val="nil"/>
                  </w:tcBorders>
                  <w:shd w:val="clear" w:color="auto" w:fill="auto"/>
                  <w:vAlign w:val="center"/>
                </w:tcPr>
                <w:p w14:paraId="28ED2FB5">
                  <w:pPr>
                    <w:adjustRightInd w:val="0"/>
                    <w:snapToGrid w:val="0"/>
                    <w:spacing w:after="100" w:afterAutospacing="1" w:line="240" w:lineRule="auto"/>
                    <w:ind w:firstLine="0" w:firstLineChars="0"/>
                    <w:jc w:val="center"/>
                    <w:rPr>
                      <w:color w:val="auto"/>
                      <w:sz w:val="21"/>
                      <w:szCs w:val="21"/>
                    </w:rPr>
                  </w:pPr>
                  <w:r>
                    <w:rPr>
                      <w:color w:val="auto"/>
                      <w:sz w:val="21"/>
                      <w:szCs w:val="21"/>
                    </w:rPr>
                    <w:t>资源开发利用效率</w:t>
                  </w:r>
                </w:p>
              </w:tc>
              <w:tc>
                <w:tcPr>
                  <w:tcW w:w="6859" w:type="dxa"/>
                  <w:tcBorders>
                    <w:tl2br w:val="nil"/>
                    <w:tr2bl w:val="nil"/>
                  </w:tcBorders>
                  <w:shd w:val="clear" w:color="auto" w:fill="auto"/>
                  <w:vAlign w:val="center"/>
                </w:tcPr>
                <w:p w14:paraId="5DBD23C5">
                  <w:pPr>
                    <w:adjustRightInd w:val="0"/>
                    <w:snapToGrid w:val="0"/>
                    <w:spacing w:before="0" w:after="0" w:line="240" w:lineRule="auto"/>
                    <w:ind w:firstLine="0" w:firstLineChars="0"/>
                    <w:jc w:val="both"/>
                    <w:rPr>
                      <w:color w:val="auto"/>
                      <w:sz w:val="21"/>
                      <w:szCs w:val="21"/>
                    </w:rPr>
                  </w:pPr>
                  <w:r>
                    <w:rPr>
                      <w:color w:val="auto"/>
                      <w:sz w:val="21"/>
                      <w:szCs w:val="21"/>
                    </w:rPr>
                    <w:t>1.水耗指标：单位工业增加值新鲜水耗≤8m</w:t>
                  </w:r>
                  <w:r>
                    <w:rPr>
                      <w:color w:val="auto"/>
                      <w:sz w:val="21"/>
                      <w:szCs w:val="21"/>
                      <w:vertAlign w:val="superscript"/>
                    </w:rPr>
                    <w:t>3</w:t>
                  </w:r>
                  <w:r>
                    <w:rPr>
                      <w:color w:val="auto"/>
                      <w:sz w:val="21"/>
                      <w:szCs w:val="21"/>
                    </w:rPr>
                    <w:t>/万元，工业用水重复利用率≥75%；童埠园区中水回用率100%。</w:t>
                  </w:r>
                </w:p>
                <w:p w14:paraId="4FB61421">
                  <w:pPr>
                    <w:adjustRightInd w:val="0"/>
                    <w:snapToGrid w:val="0"/>
                    <w:spacing w:before="0" w:after="0" w:line="240" w:lineRule="auto"/>
                    <w:ind w:firstLine="0" w:firstLineChars="0"/>
                    <w:jc w:val="both"/>
                    <w:rPr>
                      <w:color w:val="auto"/>
                      <w:sz w:val="21"/>
                      <w:szCs w:val="21"/>
                    </w:rPr>
                  </w:pPr>
                  <w:r>
                    <w:rPr>
                      <w:color w:val="auto"/>
                      <w:sz w:val="21"/>
                      <w:szCs w:val="21"/>
                    </w:rPr>
                    <w:t>2.能耗指标：单位工业增加值综合能耗≤0.5吨标煤/万元。</w:t>
                  </w:r>
                </w:p>
                <w:p w14:paraId="2B505F5C">
                  <w:pPr>
                    <w:adjustRightInd w:val="0"/>
                    <w:snapToGrid w:val="0"/>
                    <w:spacing w:before="0" w:after="0" w:line="240" w:lineRule="auto"/>
                    <w:ind w:firstLine="0" w:firstLineChars="0"/>
                    <w:jc w:val="both"/>
                    <w:rPr>
                      <w:color w:val="auto"/>
                      <w:sz w:val="21"/>
                      <w:szCs w:val="21"/>
                    </w:rPr>
                  </w:pPr>
                  <w:r>
                    <w:rPr>
                      <w:color w:val="auto"/>
                      <w:sz w:val="21"/>
                      <w:szCs w:val="21"/>
                    </w:rPr>
                    <w:t>3.投资强度：新建工业项目平均投资强度≥150万元/亩。</w:t>
                  </w:r>
                </w:p>
                <w:p w14:paraId="443EBA8B">
                  <w:pPr>
                    <w:adjustRightInd w:val="0"/>
                    <w:snapToGrid w:val="0"/>
                    <w:spacing w:before="0" w:after="0" w:line="240" w:lineRule="auto"/>
                    <w:ind w:firstLine="0" w:firstLineChars="0"/>
                    <w:jc w:val="both"/>
                    <w:rPr>
                      <w:color w:val="auto"/>
                      <w:sz w:val="21"/>
                      <w:szCs w:val="21"/>
                    </w:rPr>
                  </w:pPr>
                  <w:r>
                    <w:rPr>
                      <w:color w:val="auto"/>
                      <w:sz w:val="21"/>
                      <w:szCs w:val="21"/>
                    </w:rPr>
                    <w:t>4.按照《安徽省发展改革委关于印发安徽省用煤投资项目煤炭消费减量替代管理暂行办法的通知》，实施煤炭消费减量替代。</w:t>
                  </w:r>
                </w:p>
                <w:p w14:paraId="7B9FA790">
                  <w:pPr>
                    <w:pStyle w:val="11"/>
                    <w:snapToGrid w:val="0"/>
                    <w:spacing w:before="0" w:after="0" w:line="240" w:lineRule="auto"/>
                    <w:ind w:firstLine="0" w:firstLineChars="0"/>
                    <w:jc w:val="both"/>
                    <w:rPr>
                      <w:color w:val="auto"/>
                      <w:sz w:val="21"/>
                      <w:szCs w:val="21"/>
                    </w:rPr>
                  </w:pPr>
                  <w:r>
                    <w:rPr>
                      <w:color w:val="auto"/>
                      <w:sz w:val="21"/>
                      <w:szCs w:val="21"/>
                    </w:rPr>
                    <w:t>5.镁冶炼企业综合能耗执行《镁冶炼企业单位产品能源消耗限额》（GB21347-2012）中先进值，吨镁综合能耗在4.5吨标准煤及以下。禁止用原煤直接加热各种炉窑</w:t>
                  </w:r>
                  <w:r>
                    <w:rPr>
                      <w:rFonts w:hint="eastAsia"/>
                      <w:color w:val="auto"/>
                      <w:sz w:val="21"/>
                      <w:szCs w:val="21"/>
                      <w:lang w:eastAsia="zh-CN"/>
                    </w:rPr>
                    <w:t>（</w:t>
                  </w:r>
                  <w:r>
                    <w:rPr>
                      <w:color w:val="auto"/>
                      <w:sz w:val="21"/>
                      <w:szCs w:val="21"/>
                    </w:rPr>
                    <w:t>部分企业回转窑喷煤粉除外</w:t>
                  </w:r>
                  <w:r>
                    <w:rPr>
                      <w:rFonts w:hint="eastAsia"/>
                      <w:color w:val="auto"/>
                      <w:sz w:val="21"/>
                      <w:szCs w:val="21"/>
                      <w:lang w:eastAsia="zh-CN"/>
                    </w:rPr>
                    <w:t>）</w:t>
                  </w:r>
                  <w:r>
                    <w:rPr>
                      <w:color w:val="auto"/>
                      <w:sz w:val="21"/>
                      <w:szCs w:val="21"/>
                    </w:rPr>
                    <w:t>。</w:t>
                  </w:r>
                </w:p>
                <w:p w14:paraId="4866D4A2">
                  <w:pPr>
                    <w:pStyle w:val="11"/>
                    <w:snapToGrid w:val="0"/>
                    <w:spacing w:before="0" w:after="0" w:line="240" w:lineRule="auto"/>
                    <w:ind w:firstLine="0" w:firstLineChars="0"/>
                    <w:jc w:val="both"/>
                    <w:rPr>
                      <w:color w:val="auto"/>
                      <w:sz w:val="21"/>
                      <w:szCs w:val="21"/>
                    </w:rPr>
                  </w:pPr>
                  <w:r>
                    <w:rPr>
                      <w:color w:val="auto"/>
                      <w:sz w:val="21"/>
                      <w:szCs w:val="21"/>
                    </w:rPr>
                    <w:t>6.镁冶炼企业的吨镁白云石用量在10.5吨及以下，硅铁（Si&gt;75%）用量在1.05吨及以下，新水消耗在10吨及以下，还原镁回收率应不低于80%、硅利用率不低于75%、粗镁精炼回收率不低于96%。</w:t>
                  </w:r>
                </w:p>
                <w:p w14:paraId="5F83E123">
                  <w:pPr>
                    <w:pStyle w:val="11"/>
                    <w:snapToGrid w:val="0"/>
                    <w:spacing w:before="0" w:after="0" w:line="240" w:lineRule="auto"/>
                    <w:ind w:firstLine="0" w:firstLineChars="0"/>
                    <w:jc w:val="both"/>
                    <w:rPr>
                      <w:color w:val="auto"/>
                      <w:sz w:val="21"/>
                      <w:szCs w:val="21"/>
                    </w:rPr>
                  </w:pPr>
                  <w:r>
                    <w:rPr>
                      <w:color w:val="auto"/>
                      <w:sz w:val="21"/>
                      <w:szCs w:val="21"/>
                    </w:rPr>
                    <w:t>7.鼓励镁冶炼企业积极研发镁还原渣综合利用技术，利用镁还原渣生产镁渣硅酸盐水泥等建材产品，镁还原渣综合利用率应不低于70%，减少废渣排放。提高还原炉、回转窑等主要工序的生产全过程余热利用水平，包括高温烟气的余热等。</w:t>
                  </w:r>
                </w:p>
              </w:tc>
              <w:tc>
                <w:tcPr>
                  <w:tcW w:w="1377" w:type="dxa"/>
                  <w:tcBorders>
                    <w:tl2br w:val="nil"/>
                    <w:tr2bl w:val="nil"/>
                  </w:tcBorders>
                  <w:shd w:val="clear" w:color="auto" w:fill="auto"/>
                  <w:vAlign w:val="center"/>
                </w:tcPr>
                <w:p w14:paraId="39763A3E">
                  <w:pPr>
                    <w:adjustRightInd w:val="0"/>
                    <w:snapToGrid w:val="0"/>
                    <w:spacing w:after="100" w:afterAutospacing="1" w:line="240" w:lineRule="auto"/>
                    <w:ind w:firstLine="0" w:firstLineChars="0"/>
                    <w:rPr>
                      <w:rFonts w:hint="default" w:eastAsia="宋体"/>
                      <w:color w:val="auto"/>
                      <w:sz w:val="21"/>
                      <w:szCs w:val="21"/>
                      <w:lang w:val="en-US" w:eastAsia="zh-CN"/>
                    </w:rPr>
                  </w:pPr>
                  <w:r>
                    <w:rPr>
                      <w:rFonts w:hint="eastAsia"/>
                      <w:color w:val="auto"/>
                      <w:sz w:val="21"/>
                      <w:szCs w:val="21"/>
                      <w:lang w:val="en-US" w:eastAsia="zh-CN"/>
                    </w:rPr>
                    <w:t>本项目不涉及镁冶炼。</w:t>
                  </w:r>
                </w:p>
              </w:tc>
            </w:tr>
            <w:tr w14:paraId="5BBCB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269" w:hRule="atLeast"/>
                <w:jc w:val="center"/>
              </w:trPr>
              <w:tc>
                <w:tcPr>
                  <w:tcW w:w="557" w:type="dxa"/>
                  <w:vMerge w:val="continue"/>
                  <w:tcBorders>
                    <w:tl2br w:val="nil"/>
                    <w:tr2bl w:val="nil"/>
                  </w:tcBorders>
                  <w:shd w:val="clear" w:color="auto" w:fill="auto"/>
                  <w:vAlign w:val="center"/>
                </w:tcPr>
                <w:p w14:paraId="62F57F31">
                  <w:pPr>
                    <w:widowControl/>
                    <w:adjustRightInd w:val="0"/>
                    <w:snapToGrid w:val="0"/>
                    <w:spacing w:before="0" w:after="0" w:line="240" w:lineRule="auto"/>
                    <w:ind w:firstLine="0" w:firstLineChars="0"/>
                    <w:jc w:val="left"/>
                    <w:rPr>
                      <w:color w:val="auto"/>
                      <w:sz w:val="21"/>
                      <w:szCs w:val="21"/>
                    </w:rPr>
                  </w:pPr>
                </w:p>
              </w:tc>
              <w:tc>
                <w:tcPr>
                  <w:tcW w:w="1062" w:type="dxa"/>
                  <w:vMerge w:val="continue"/>
                  <w:tcBorders>
                    <w:tl2br w:val="nil"/>
                    <w:tr2bl w:val="nil"/>
                  </w:tcBorders>
                  <w:shd w:val="clear" w:color="auto" w:fill="auto"/>
                  <w:vAlign w:val="center"/>
                </w:tcPr>
                <w:p w14:paraId="6FFFEC8D">
                  <w:pPr>
                    <w:widowControl/>
                    <w:adjustRightInd w:val="0"/>
                    <w:snapToGrid w:val="0"/>
                    <w:spacing w:before="0" w:after="0" w:line="240" w:lineRule="auto"/>
                    <w:ind w:firstLine="0" w:firstLineChars="0"/>
                    <w:jc w:val="left"/>
                    <w:rPr>
                      <w:color w:val="auto"/>
                      <w:sz w:val="21"/>
                      <w:szCs w:val="21"/>
                    </w:rPr>
                  </w:pPr>
                </w:p>
              </w:tc>
              <w:tc>
                <w:tcPr>
                  <w:tcW w:w="819" w:type="dxa"/>
                  <w:vMerge w:val="continue"/>
                  <w:tcBorders>
                    <w:tl2br w:val="nil"/>
                    <w:tr2bl w:val="nil"/>
                  </w:tcBorders>
                  <w:shd w:val="clear" w:color="auto" w:fill="auto"/>
                  <w:vAlign w:val="center"/>
                </w:tcPr>
                <w:p w14:paraId="5B5D8994">
                  <w:pPr>
                    <w:widowControl/>
                    <w:adjustRightInd w:val="0"/>
                    <w:snapToGrid w:val="0"/>
                    <w:spacing w:before="0" w:after="0" w:line="240" w:lineRule="auto"/>
                    <w:ind w:firstLine="0" w:firstLineChars="0"/>
                    <w:jc w:val="left"/>
                    <w:rPr>
                      <w:color w:val="auto"/>
                      <w:sz w:val="21"/>
                      <w:szCs w:val="21"/>
                    </w:rPr>
                  </w:pPr>
                </w:p>
              </w:tc>
              <w:tc>
                <w:tcPr>
                  <w:tcW w:w="910" w:type="dxa"/>
                  <w:vMerge w:val="continue"/>
                  <w:tcBorders>
                    <w:tl2br w:val="nil"/>
                    <w:tr2bl w:val="nil"/>
                  </w:tcBorders>
                  <w:shd w:val="clear" w:color="auto" w:fill="auto"/>
                  <w:vAlign w:val="center"/>
                </w:tcPr>
                <w:p w14:paraId="37778312">
                  <w:pPr>
                    <w:widowControl/>
                    <w:adjustRightInd w:val="0"/>
                    <w:snapToGrid w:val="0"/>
                    <w:spacing w:before="0" w:after="0" w:line="240" w:lineRule="auto"/>
                    <w:ind w:firstLine="0" w:firstLineChars="0"/>
                    <w:jc w:val="left"/>
                    <w:rPr>
                      <w:color w:val="auto"/>
                      <w:sz w:val="21"/>
                      <w:szCs w:val="21"/>
                    </w:rPr>
                  </w:pPr>
                </w:p>
              </w:tc>
              <w:tc>
                <w:tcPr>
                  <w:tcW w:w="873" w:type="dxa"/>
                  <w:vMerge w:val="continue"/>
                  <w:tcBorders>
                    <w:tl2br w:val="nil"/>
                    <w:tr2bl w:val="nil"/>
                  </w:tcBorders>
                  <w:shd w:val="clear" w:color="auto" w:fill="auto"/>
                  <w:vAlign w:val="center"/>
                </w:tcPr>
                <w:p w14:paraId="5D253A28">
                  <w:pPr>
                    <w:widowControl/>
                    <w:adjustRightInd w:val="0"/>
                    <w:snapToGrid w:val="0"/>
                    <w:spacing w:before="0" w:after="0" w:line="240" w:lineRule="auto"/>
                    <w:ind w:firstLine="0" w:firstLineChars="0"/>
                    <w:jc w:val="left"/>
                    <w:rPr>
                      <w:color w:val="auto"/>
                      <w:sz w:val="21"/>
                      <w:szCs w:val="21"/>
                    </w:rPr>
                  </w:pPr>
                </w:p>
              </w:tc>
              <w:tc>
                <w:tcPr>
                  <w:tcW w:w="872" w:type="dxa"/>
                  <w:tcBorders>
                    <w:tl2br w:val="nil"/>
                    <w:tr2bl w:val="nil"/>
                  </w:tcBorders>
                  <w:shd w:val="clear" w:color="auto" w:fill="auto"/>
                  <w:vAlign w:val="center"/>
                </w:tcPr>
                <w:p w14:paraId="23B85972">
                  <w:pPr>
                    <w:adjustRightInd w:val="0"/>
                    <w:snapToGrid w:val="0"/>
                    <w:spacing w:after="100" w:afterAutospacing="1" w:line="240" w:lineRule="auto"/>
                    <w:ind w:firstLine="0" w:firstLineChars="0"/>
                    <w:jc w:val="center"/>
                    <w:rPr>
                      <w:color w:val="auto"/>
                      <w:sz w:val="21"/>
                      <w:szCs w:val="21"/>
                    </w:rPr>
                  </w:pPr>
                  <w:r>
                    <w:rPr>
                      <w:color w:val="auto"/>
                      <w:sz w:val="21"/>
                      <w:szCs w:val="21"/>
                    </w:rPr>
                    <w:t>产业准入要求</w:t>
                  </w:r>
                </w:p>
              </w:tc>
              <w:tc>
                <w:tcPr>
                  <w:tcW w:w="6859" w:type="dxa"/>
                  <w:tcBorders>
                    <w:tl2br w:val="nil"/>
                    <w:tr2bl w:val="nil"/>
                  </w:tcBorders>
                  <w:shd w:val="clear" w:color="auto" w:fill="auto"/>
                  <w:vAlign w:val="center"/>
                </w:tcPr>
                <w:p w14:paraId="52898F65">
                  <w:pPr>
                    <w:adjustRightInd w:val="0"/>
                    <w:snapToGrid w:val="0"/>
                    <w:spacing w:before="0" w:after="0" w:line="240" w:lineRule="auto"/>
                    <w:ind w:firstLine="0" w:firstLineChars="0"/>
                    <w:rPr>
                      <w:color w:val="auto"/>
                      <w:sz w:val="21"/>
                      <w:szCs w:val="21"/>
                    </w:rPr>
                  </w:pPr>
                  <w:r>
                    <w:rPr>
                      <w:color w:val="auto"/>
                      <w:sz w:val="21"/>
                      <w:szCs w:val="21"/>
                    </w:rPr>
                    <w:t>鼓励类：机电装备制造、非金属新材料、镁基新材料</w:t>
                  </w:r>
                </w:p>
                <w:p w14:paraId="6C727C3F">
                  <w:pPr>
                    <w:adjustRightInd w:val="0"/>
                    <w:snapToGrid w:val="0"/>
                    <w:spacing w:before="0" w:after="0" w:line="240" w:lineRule="auto"/>
                    <w:ind w:firstLine="0" w:firstLineChars="0"/>
                    <w:rPr>
                      <w:color w:val="auto"/>
                      <w:sz w:val="21"/>
                      <w:szCs w:val="21"/>
                    </w:rPr>
                  </w:pPr>
                  <w:r>
                    <w:rPr>
                      <w:color w:val="auto"/>
                      <w:sz w:val="21"/>
                      <w:szCs w:val="21"/>
                    </w:rPr>
                    <w:t>限制类及禁止类具体如下表所示：</w:t>
                  </w:r>
                </w:p>
                <w:p w14:paraId="010ADA9F">
                  <w:pPr>
                    <w:adjustRightInd w:val="0"/>
                    <w:snapToGrid w:val="0"/>
                    <w:spacing w:before="0" w:after="0" w:line="240" w:lineRule="auto"/>
                    <w:ind w:firstLine="0" w:firstLineChars="0"/>
                    <w:jc w:val="center"/>
                    <w:rPr>
                      <w:color w:val="auto"/>
                      <w:sz w:val="21"/>
                      <w:szCs w:val="21"/>
                    </w:rPr>
                  </w:pPr>
                  <w:r>
                    <w:rPr>
                      <w:color w:val="auto"/>
                      <w:sz w:val="21"/>
                      <w:szCs w:val="21"/>
                    </w:rPr>
                    <w:t>青阳经济开发区主导产业及其他产业负面清单</w:t>
                  </w:r>
                </w:p>
                <w:tbl>
                  <w:tblPr>
                    <w:tblStyle w:val="31"/>
                    <w:tblW w:w="6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957"/>
                    <w:gridCol w:w="1147"/>
                    <w:gridCol w:w="3227"/>
                    <w:gridCol w:w="654"/>
                  </w:tblGrid>
                  <w:tr w14:paraId="5D3F5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6" w:hRule="atLeast"/>
                      <w:jc w:val="center"/>
                    </w:trPr>
                    <w:tc>
                      <w:tcPr>
                        <w:tcW w:w="793" w:type="dxa"/>
                        <w:tcBorders>
                          <w:top w:val="single" w:color="auto" w:sz="4" w:space="0"/>
                          <w:left w:val="single" w:color="auto" w:sz="4" w:space="0"/>
                          <w:bottom w:val="single" w:color="auto" w:sz="4" w:space="0"/>
                          <w:right w:val="single" w:color="auto" w:sz="4" w:space="0"/>
                        </w:tcBorders>
                        <w:vAlign w:val="center"/>
                      </w:tcPr>
                      <w:p w14:paraId="2A3B645F">
                        <w:pPr>
                          <w:spacing w:before="0" w:after="0" w:line="240" w:lineRule="auto"/>
                          <w:ind w:firstLine="0" w:firstLineChars="0"/>
                          <w:jc w:val="center"/>
                          <w:rPr>
                            <w:b/>
                            <w:bCs/>
                            <w:color w:val="auto"/>
                            <w:sz w:val="21"/>
                            <w:szCs w:val="21"/>
                          </w:rPr>
                        </w:pPr>
                        <w:r>
                          <w:rPr>
                            <w:b/>
                            <w:bCs/>
                            <w:color w:val="auto"/>
                            <w:sz w:val="21"/>
                            <w:szCs w:val="21"/>
                          </w:rPr>
                          <w:t>产业类别</w:t>
                        </w:r>
                      </w:p>
                    </w:tc>
                    <w:tc>
                      <w:tcPr>
                        <w:tcW w:w="957" w:type="dxa"/>
                        <w:tcBorders>
                          <w:top w:val="single" w:color="auto" w:sz="4" w:space="0"/>
                          <w:left w:val="nil"/>
                          <w:bottom w:val="single" w:color="auto" w:sz="4" w:space="0"/>
                          <w:right w:val="single" w:color="auto" w:sz="4" w:space="0"/>
                        </w:tcBorders>
                        <w:vAlign w:val="center"/>
                      </w:tcPr>
                      <w:p w14:paraId="7C41054C">
                        <w:pPr>
                          <w:spacing w:before="0" w:after="0" w:line="240" w:lineRule="auto"/>
                          <w:ind w:firstLine="0" w:firstLineChars="0"/>
                          <w:jc w:val="center"/>
                          <w:rPr>
                            <w:b/>
                            <w:bCs/>
                            <w:color w:val="auto"/>
                            <w:sz w:val="21"/>
                            <w:szCs w:val="21"/>
                          </w:rPr>
                        </w:pPr>
                        <w:r>
                          <w:rPr>
                            <w:b/>
                            <w:bCs/>
                            <w:color w:val="auto"/>
                            <w:sz w:val="21"/>
                            <w:szCs w:val="21"/>
                          </w:rPr>
                          <w:t>清单依据</w:t>
                        </w:r>
                      </w:p>
                    </w:tc>
                    <w:tc>
                      <w:tcPr>
                        <w:tcW w:w="4374" w:type="dxa"/>
                        <w:gridSpan w:val="2"/>
                        <w:tcBorders>
                          <w:top w:val="single" w:color="auto" w:sz="4" w:space="0"/>
                          <w:left w:val="nil"/>
                          <w:bottom w:val="single" w:color="auto" w:sz="4" w:space="0"/>
                          <w:right w:val="single" w:color="auto" w:sz="4" w:space="0"/>
                        </w:tcBorders>
                        <w:vAlign w:val="center"/>
                      </w:tcPr>
                      <w:p w14:paraId="50EB684F">
                        <w:pPr>
                          <w:spacing w:before="0" w:after="0" w:line="240" w:lineRule="auto"/>
                          <w:ind w:firstLine="0" w:firstLineChars="0"/>
                          <w:jc w:val="center"/>
                          <w:rPr>
                            <w:b/>
                            <w:bCs/>
                            <w:color w:val="auto"/>
                            <w:sz w:val="21"/>
                            <w:szCs w:val="21"/>
                          </w:rPr>
                        </w:pPr>
                        <w:r>
                          <w:rPr>
                            <w:b/>
                            <w:bCs/>
                            <w:color w:val="auto"/>
                            <w:sz w:val="21"/>
                            <w:szCs w:val="21"/>
                          </w:rPr>
                          <w:t>负面清单</w:t>
                        </w:r>
                      </w:p>
                    </w:tc>
                    <w:tc>
                      <w:tcPr>
                        <w:tcW w:w="654" w:type="dxa"/>
                        <w:tcBorders>
                          <w:top w:val="single" w:color="auto" w:sz="4" w:space="0"/>
                          <w:left w:val="nil"/>
                          <w:bottom w:val="single" w:color="auto" w:sz="4" w:space="0"/>
                          <w:right w:val="single" w:color="auto" w:sz="4" w:space="0"/>
                        </w:tcBorders>
                        <w:vAlign w:val="center"/>
                      </w:tcPr>
                      <w:p w14:paraId="22F17177">
                        <w:pPr>
                          <w:spacing w:before="0" w:after="0" w:line="240" w:lineRule="auto"/>
                          <w:ind w:firstLine="0" w:firstLineChars="0"/>
                          <w:jc w:val="center"/>
                          <w:rPr>
                            <w:b/>
                            <w:bCs/>
                            <w:color w:val="auto"/>
                            <w:sz w:val="21"/>
                            <w:szCs w:val="21"/>
                          </w:rPr>
                        </w:pPr>
                        <w:r>
                          <w:rPr>
                            <w:b/>
                            <w:bCs/>
                            <w:color w:val="auto"/>
                            <w:sz w:val="21"/>
                            <w:szCs w:val="21"/>
                          </w:rPr>
                          <w:t>准入程度</w:t>
                        </w:r>
                      </w:p>
                    </w:tc>
                  </w:tr>
                  <w:tr w14:paraId="29EE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793" w:type="dxa"/>
                        <w:vMerge w:val="restart"/>
                        <w:tcBorders>
                          <w:top w:val="nil"/>
                          <w:left w:val="single" w:color="auto" w:sz="4" w:space="0"/>
                          <w:bottom w:val="single" w:color="auto" w:sz="4" w:space="0"/>
                          <w:right w:val="single" w:color="auto" w:sz="4" w:space="0"/>
                        </w:tcBorders>
                        <w:vAlign w:val="center"/>
                      </w:tcPr>
                      <w:p w14:paraId="201C4428">
                        <w:pPr>
                          <w:spacing w:before="0" w:after="0" w:line="240" w:lineRule="auto"/>
                          <w:ind w:firstLine="0" w:firstLineChars="0"/>
                          <w:rPr>
                            <w:color w:val="auto"/>
                            <w:sz w:val="21"/>
                            <w:szCs w:val="21"/>
                          </w:rPr>
                        </w:pPr>
                        <w:r>
                          <w:rPr>
                            <w:color w:val="auto"/>
                            <w:sz w:val="21"/>
                            <w:szCs w:val="21"/>
                          </w:rPr>
                          <w:t>机电装备制造</w:t>
                        </w:r>
                      </w:p>
                    </w:tc>
                    <w:tc>
                      <w:tcPr>
                        <w:tcW w:w="957" w:type="dxa"/>
                        <w:vMerge w:val="restart"/>
                        <w:tcBorders>
                          <w:top w:val="nil"/>
                          <w:left w:val="nil"/>
                          <w:bottom w:val="single" w:color="auto" w:sz="4" w:space="0"/>
                          <w:right w:val="single" w:color="auto" w:sz="4" w:space="0"/>
                        </w:tcBorders>
                        <w:vAlign w:val="center"/>
                      </w:tcPr>
                      <w:p w14:paraId="778FDDAE">
                        <w:pPr>
                          <w:spacing w:before="0" w:after="0" w:line="240" w:lineRule="auto"/>
                          <w:ind w:firstLine="0" w:firstLineChars="0"/>
                          <w:rPr>
                            <w:color w:val="auto"/>
                            <w:sz w:val="21"/>
                            <w:szCs w:val="21"/>
                          </w:rPr>
                        </w:pPr>
                        <w:r>
                          <w:rPr>
                            <w:color w:val="auto"/>
                            <w:sz w:val="21"/>
                            <w:szCs w:val="21"/>
                          </w:rPr>
                          <w:t>原规划环评及本次规划环评优化调整</w:t>
                        </w:r>
                      </w:p>
                    </w:tc>
                    <w:tc>
                      <w:tcPr>
                        <w:tcW w:w="1147" w:type="dxa"/>
                        <w:vMerge w:val="restart"/>
                        <w:tcBorders>
                          <w:top w:val="nil"/>
                          <w:left w:val="nil"/>
                          <w:bottom w:val="single" w:color="auto" w:sz="4" w:space="0"/>
                          <w:right w:val="single" w:color="auto" w:sz="4" w:space="0"/>
                        </w:tcBorders>
                        <w:vAlign w:val="center"/>
                      </w:tcPr>
                      <w:p w14:paraId="473E8283">
                        <w:pPr>
                          <w:spacing w:before="0" w:after="0" w:line="240" w:lineRule="auto"/>
                          <w:ind w:firstLine="0" w:firstLineChars="0"/>
                          <w:rPr>
                            <w:color w:val="auto"/>
                            <w:sz w:val="21"/>
                            <w:szCs w:val="21"/>
                          </w:rPr>
                        </w:pPr>
                        <w:r>
                          <w:rPr>
                            <w:color w:val="auto"/>
                            <w:sz w:val="21"/>
                            <w:szCs w:val="21"/>
                          </w:rPr>
                          <w:t>C341通用设备制造业-C349其他通用设备制造</w:t>
                        </w:r>
                      </w:p>
                    </w:tc>
                    <w:tc>
                      <w:tcPr>
                        <w:tcW w:w="3227" w:type="dxa"/>
                        <w:tcBorders>
                          <w:top w:val="single" w:color="auto" w:sz="4" w:space="0"/>
                          <w:left w:val="nil"/>
                          <w:bottom w:val="single" w:color="auto" w:sz="4" w:space="0"/>
                          <w:right w:val="single" w:color="auto" w:sz="4" w:space="0"/>
                        </w:tcBorders>
                        <w:vAlign w:val="center"/>
                      </w:tcPr>
                      <w:p w14:paraId="015DA1DA">
                        <w:pPr>
                          <w:spacing w:before="0" w:after="0" w:line="240" w:lineRule="auto"/>
                          <w:ind w:firstLine="0" w:firstLineChars="0"/>
                          <w:rPr>
                            <w:color w:val="auto"/>
                            <w:spacing w:val="-2"/>
                            <w:sz w:val="21"/>
                            <w:szCs w:val="21"/>
                          </w:rPr>
                        </w:pPr>
                        <w:r>
                          <w:rPr>
                            <w:color w:val="auto"/>
                            <w:spacing w:val="-2"/>
                            <w:sz w:val="21"/>
                            <w:szCs w:val="21"/>
                          </w:rPr>
                          <w:t>原料方面：上述行业中使用有害物质含量限值高于《工业防护涂料中有害物质限量》（GB30981-2020）及《清洗剂挥发性有机化合物含量限值》（GB38508-2020）等限值要求的</w:t>
                        </w:r>
                      </w:p>
                    </w:tc>
                    <w:tc>
                      <w:tcPr>
                        <w:tcW w:w="654" w:type="dxa"/>
                        <w:tcBorders>
                          <w:top w:val="single" w:color="auto" w:sz="4" w:space="0"/>
                          <w:left w:val="nil"/>
                          <w:bottom w:val="single" w:color="auto" w:sz="4" w:space="0"/>
                          <w:right w:val="single" w:color="auto" w:sz="4" w:space="0"/>
                        </w:tcBorders>
                        <w:vAlign w:val="center"/>
                      </w:tcPr>
                      <w:p w14:paraId="095F02FB">
                        <w:pPr>
                          <w:spacing w:before="0" w:after="0" w:line="240" w:lineRule="auto"/>
                          <w:ind w:firstLine="0" w:firstLineChars="0"/>
                          <w:jc w:val="center"/>
                          <w:rPr>
                            <w:color w:val="auto"/>
                            <w:sz w:val="21"/>
                            <w:szCs w:val="21"/>
                          </w:rPr>
                        </w:pPr>
                        <w:r>
                          <w:rPr>
                            <w:color w:val="auto"/>
                            <w:sz w:val="21"/>
                            <w:szCs w:val="21"/>
                          </w:rPr>
                          <w:t>禁止进入</w:t>
                        </w:r>
                      </w:p>
                    </w:tc>
                  </w:tr>
                  <w:tr w14:paraId="33A89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456BBACF">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2E00D643">
                        <w:pPr>
                          <w:widowControl/>
                          <w:spacing w:before="0" w:after="0" w:line="240" w:lineRule="auto"/>
                          <w:ind w:firstLine="0" w:firstLineChars="0"/>
                          <w:jc w:val="left"/>
                          <w:rPr>
                            <w:color w:val="auto"/>
                            <w:sz w:val="21"/>
                            <w:szCs w:val="21"/>
                          </w:rPr>
                        </w:pPr>
                      </w:p>
                    </w:tc>
                    <w:tc>
                      <w:tcPr>
                        <w:tcW w:w="1147" w:type="dxa"/>
                        <w:vMerge w:val="continue"/>
                        <w:tcBorders>
                          <w:top w:val="nil"/>
                          <w:left w:val="nil"/>
                          <w:bottom w:val="single" w:color="auto" w:sz="4" w:space="0"/>
                          <w:right w:val="single" w:color="auto" w:sz="4" w:space="0"/>
                        </w:tcBorders>
                        <w:vAlign w:val="center"/>
                      </w:tcPr>
                      <w:p w14:paraId="65D111EF">
                        <w:pPr>
                          <w:widowControl/>
                          <w:spacing w:before="0" w:after="0" w:line="240" w:lineRule="auto"/>
                          <w:ind w:firstLine="0" w:firstLineChars="0"/>
                          <w:jc w:val="left"/>
                          <w:rPr>
                            <w:color w:val="auto"/>
                            <w:sz w:val="21"/>
                            <w:szCs w:val="21"/>
                          </w:rPr>
                        </w:pPr>
                      </w:p>
                    </w:tc>
                    <w:tc>
                      <w:tcPr>
                        <w:tcW w:w="3227" w:type="dxa"/>
                        <w:tcBorders>
                          <w:top w:val="single" w:color="auto" w:sz="4" w:space="0"/>
                          <w:left w:val="nil"/>
                          <w:bottom w:val="single" w:color="auto" w:sz="4" w:space="0"/>
                          <w:right w:val="single" w:color="auto" w:sz="4" w:space="0"/>
                        </w:tcBorders>
                        <w:vAlign w:val="center"/>
                      </w:tcPr>
                      <w:p w14:paraId="679742D1">
                        <w:pPr>
                          <w:spacing w:before="0" w:after="0" w:line="240" w:lineRule="auto"/>
                          <w:ind w:firstLine="0" w:firstLineChars="0"/>
                          <w:rPr>
                            <w:color w:val="auto"/>
                            <w:spacing w:val="-2"/>
                            <w:sz w:val="21"/>
                            <w:szCs w:val="21"/>
                          </w:rPr>
                        </w:pPr>
                        <w:r>
                          <w:rPr>
                            <w:color w:val="auto"/>
                            <w:spacing w:val="-2"/>
                            <w:sz w:val="21"/>
                            <w:szCs w:val="21"/>
                          </w:rPr>
                          <w:t>产业方面：上述《产业结构调整指导目录 （2019年本）》中涉及C341通用设备制造业-C349其他通用设备制造中的限制类及淘汰类行业</w:t>
                        </w:r>
                      </w:p>
                    </w:tc>
                    <w:tc>
                      <w:tcPr>
                        <w:tcW w:w="654" w:type="dxa"/>
                        <w:tcBorders>
                          <w:top w:val="single" w:color="auto" w:sz="4" w:space="0"/>
                          <w:left w:val="nil"/>
                          <w:bottom w:val="single" w:color="auto" w:sz="4" w:space="0"/>
                          <w:right w:val="single" w:color="auto" w:sz="4" w:space="0"/>
                        </w:tcBorders>
                        <w:vAlign w:val="center"/>
                      </w:tcPr>
                      <w:p w14:paraId="1A8741BF">
                        <w:pPr>
                          <w:spacing w:before="0" w:after="0" w:line="240" w:lineRule="auto"/>
                          <w:ind w:firstLine="0" w:firstLineChars="0"/>
                          <w:jc w:val="center"/>
                          <w:rPr>
                            <w:color w:val="auto"/>
                            <w:sz w:val="21"/>
                            <w:szCs w:val="21"/>
                          </w:rPr>
                        </w:pPr>
                        <w:r>
                          <w:rPr>
                            <w:color w:val="auto"/>
                            <w:sz w:val="21"/>
                            <w:szCs w:val="21"/>
                          </w:rPr>
                          <w:t>禁止进入</w:t>
                        </w:r>
                      </w:p>
                    </w:tc>
                  </w:tr>
                  <w:tr w14:paraId="5680A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7ACCCBDF">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00CE5918">
                        <w:pPr>
                          <w:widowControl/>
                          <w:spacing w:before="0" w:after="0" w:line="240" w:lineRule="auto"/>
                          <w:ind w:firstLine="0" w:firstLineChars="0"/>
                          <w:jc w:val="left"/>
                          <w:rPr>
                            <w:color w:val="auto"/>
                            <w:sz w:val="21"/>
                            <w:szCs w:val="21"/>
                          </w:rPr>
                        </w:pPr>
                      </w:p>
                    </w:tc>
                    <w:tc>
                      <w:tcPr>
                        <w:tcW w:w="1147" w:type="dxa"/>
                        <w:vMerge w:val="restart"/>
                        <w:tcBorders>
                          <w:top w:val="nil"/>
                          <w:left w:val="nil"/>
                          <w:bottom w:val="single" w:color="auto" w:sz="4" w:space="0"/>
                          <w:right w:val="single" w:color="auto" w:sz="4" w:space="0"/>
                        </w:tcBorders>
                        <w:vAlign w:val="center"/>
                      </w:tcPr>
                      <w:p w14:paraId="36E38F05">
                        <w:pPr>
                          <w:spacing w:before="0" w:after="0" w:line="240" w:lineRule="auto"/>
                          <w:ind w:firstLine="0" w:firstLineChars="0"/>
                          <w:rPr>
                            <w:color w:val="auto"/>
                            <w:sz w:val="21"/>
                            <w:szCs w:val="21"/>
                          </w:rPr>
                        </w:pPr>
                        <w:r>
                          <w:rPr>
                            <w:color w:val="auto"/>
                            <w:sz w:val="21"/>
                            <w:szCs w:val="21"/>
                          </w:rPr>
                          <w:t>C351采矿、冶金、建筑专用设备</w:t>
                        </w:r>
                        <w:r>
                          <w:rPr>
                            <w:rFonts w:hint="eastAsia"/>
                            <w:color w:val="auto"/>
                            <w:sz w:val="21"/>
                            <w:szCs w:val="21"/>
                            <w:lang w:eastAsia="zh-CN"/>
                          </w:rPr>
                          <w:t>制造业</w:t>
                        </w:r>
                        <w:r>
                          <w:rPr>
                            <w:color w:val="auto"/>
                            <w:sz w:val="21"/>
                            <w:szCs w:val="21"/>
                          </w:rPr>
                          <w:t>-C359环保、邮政、社会服务及其他专用设备制造</w:t>
                        </w:r>
                      </w:p>
                    </w:tc>
                    <w:tc>
                      <w:tcPr>
                        <w:tcW w:w="3227" w:type="dxa"/>
                        <w:tcBorders>
                          <w:top w:val="single" w:color="auto" w:sz="4" w:space="0"/>
                          <w:left w:val="nil"/>
                          <w:bottom w:val="single" w:color="auto" w:sz="4" w:space="0"/>
                          <w:right w:val="single" w:color="auto" w:sz="4" w:space="0"/>
                        </w:tcBorders>
                        <w:vAlign w:val="center"/>
                      </w:tcPr>
                      <w:p w14:paraId="1EBF0C20">
                        <w:pPr>
                          <w:spacing w:before="0" w:after="0" w:line="240" w:lineRule="auto"/>
                          <w:ind w:firstLine="0" w:firstLineChars="0"/>
                          <w:rPr>
                            <w:color w:val="auto"/>
                            <w:spacing w:val="-2"/>
                            <w:sz w:val="21"/>
                            <w:szCs w:val="21"/>
                          </w:rPr>
                        </w:pPr>
                        <w:r>
                          <w:rPr>
                            <w:color w:val="auto"/>
                            <w:spacing w:val="-2"/>
                            <w:sz w:val="21"/>
                            <w:szCs w:val="21"/>
                          </w:rPr>
                          <w:t>原料方面：上述行业中使用有害物质含量限值高于《工业防护涂料中有害物质限量》（GB30981-2020）及《清洗剂挥发性有机化合物含量限值》（GB38508-2020）等限值要求的</w:t>
                        </w:r>
                      </w:p>
                    </w:tc>
                    <w:tc>
                      <w:tcPr>
                        <w:tcW w:w="654" w:type="dxa"/>
                        <w:tcBorders>
                          <w:top w:val="single" w:color="auto" w:sz="4" w:space="0"/>
                          <w:left w:val="nil"/>
                          <w:bottom w:val="single" w:color="auto" w:sz="4" w:space="0"/>
                          <w:right w:val="single" w:color="auto" w:sz="4" w:space="0"/>
                        </w:tcBorders>
                        <w:vAlign w:val="center"/>
                      </w:tcPr>
                      <w:p w14:paraId="58CED0EE">
                        <w:pPr>
                          <w:spacing w:before="0" w:after="0" w:line="240" w:lineRule="auto"/>
                          <w:ind w:firstLine="0" w:firstLineChars="0"/>
                          <w:jc w:val="center"/>
                          <w:rPr>
                            <w:color w:val="auto"/>
                            <w:sz w:val="21"/>
                            <w:szCs w:val="21"/>
                          </w:rPr>
                        </w:pPr>
                        <w:r>
                          <w:rPr>
                            <w:color w:val="auto"/>
                            <w:sz w:val="21"/>
                            <w:szCs w:val="21"/>
                          </w:rPr>
                          <w:t>禁止进入</w:t>
                        </w:r>
                      </w:p>
                    </w:tc>
                  </w:tr>
                  <w:tr w14:paraId="008FE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230ADA1B">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39ADE5A1">
                        <w:pPr>
                          <w:widowControl/>
                          <w:spacing w:before="0" w:after="0" w:line="240" w:lineRule="auto"/>
                          <w:ind w:firstLine="0" w:firstLineChars="0"/>
                          <w:jc w:val="left"/>
                          <w:rPr>
                            <w:color w:val="auto"/>
                            <w:sz w:val="21"/>
                            <w:szCs w:val="21"/>
                          </w:rPr>
                        </w:pPr>
                      </w:p>
                    </w:tc>
                    <w:tc>
                      <w:tcPr>
                        <w:tcW w:w="1147" w:type="dxa"/>
                        <w:vMerge w:val="continue"/>
                        <w:tcBorders>
                          <w:top w:val="nil"/>
                          <w:left w:val="nil"/>
                          <w:bottom w:val="single" w:color="auto" w:sz="4" w:space="0"/>
                          <w:right w:val="single" w:color="auto" w:sz="4" w:space="0"/>
                        </w:tcBorders>
                        <w:vAlign w:val="center"/>
                      </w:tcPr>
                      <w:p w14:paraId="574FC80C">
                        <w:pPr>
                          <w:widowControl/>
                          <w:spacing w:before="0" w:after="0" w:line="240" w:lineRule="auto"/>
                          <w:ind w:firstLine="0" w:firstLineChars="0"/>
                          <w:jc w:val="left"/>
                          <w:rPr>
                            <w:color w:val="auto"/>
                            <w:sz w:val="21"/>
                            <w:szCs w:val="21"/>
                          </w:rPr>
                        </w:pPr>
                      </w:p>
                    </w:tc>
                    <w:tc>
                      <w:tcPr>
                        <w:tcW w:w="3227" w:type="dxa"/>
                        <w:tcBorders>
                          <w:top w:val="single" w:color="auto" w:sz="4" w:space="0"/>
                          <w:left w:val="nil"/>
                          <w:bottom w:val="single" w:color="auto" w:sz="4" w:space="0"/>
                          <w:right w:val="single" w:color="auto" w:sz="4" w:space="0"/>
                        </w:tcBorders>
                        <w:vAlign w:val="center"/>
                      </w:tcPr>
                      <w:p w14:paraId="4D4D86A8">
                        <w:pPr>
                          <w:spacing w:before="0" w:after="0" w:line="240" w:lineRule="auto"/>
                          <w:ind w:firstLine="0" w:firstLineChars="0"/>
                          <w:rPr>
                            <w:color w:val="auto"/>
                            <w:spacing w:val="-2"/>
                            <w:sz w:val="21"/>
                            <w:szCs w:val="21"/>
                          </w:rPr>
                        </w:pPr>
                        <w:r>
                          <w:rPr>
                            <w:color w:val="auto"/>
                            <w:spacing w:val="-2"/>
                            <w:sz w:val="21"/>
                            <w:szCs w:val="21"/>
                          </w:rPr>
                          <w:t>产业方面：其中涉及新能源行业的不得引入产能过剩的项目</w:t>
                        </w:r>
                      </w:p>
                    </w:tc>
                    <w:tc>
                      <w:tcPr>
                        <w:tcW w:w="654" w:type="dxa"/>
                        <w:tcBorders>
                          <w:top w:val="single" w:color="auto" w:sz="4" w:space="0"/>
                          <w:left w:val="nil"/>
                          <w:bottom w:val="single" w:color="auto" w:sz="4" w:space="0"/>
                          <w:right w:val="single" w:color="auto" w:sz="4" w:space="0"/>
                        </w:tcBorders>
                        <w:vAlign w:val="center"/>
                      </w:tcPr>
                      <w:p w14:paraId="0C5386FF">
                        <w:pPr>
                          <w:spacing w:before="0" w:after="0" w:line="240" w:lineRule="auto"/>
                          <w:ind w:firstLine="0" w:firstLineChars="0"/>
                          <w:jc w:val="center"/>
                          <w:rPr>
                            <w:color w:val="auto"/>
                            <w:sz w:val="21"/>
                            <w:szCs w:val="21"/>
                          </w:rPr>
                        </w:pPr>
                        <w:r>
                          <w:rPr>
                            <w:color w:val="auto"/>
                            <w:sz w:val="21"/>
                            <w:szCs w:val="21"/>
                          </w:rPr>
                          <w:t>禁止进入</w:t>
                        </w:r>
                      </w:p>
                    </w:tc>
                  </w:tr>
                  <w:tr w14:paraId="587F2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5A2155C9">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7B244CD1">
                        <w:pPr>
                          <w:widowControl/>
                          <w:spacing w:before="0" w:after="0" w:line="240" w:lineRule="auto"/>
                          <w:ind w:firstLine="0" w:firstLineChars="0"/>
                          <w:jc w:val="left"/>
                          <w:rPr>
                            <w:color w:val="auto"/>
                            <w:sz w:val="21"/>
                            <w:szCs w:val="21"/>
                          </w:rPr>
                        </w:pPr>
                      </w:p>
                    </w:tc>
                    <w:tc>
                      <w:tcPr>
                        <w:tcW w:w="1147" w:type="dxa"/>
                        <w:tcBorders>
                          <w:top w:val="single" w:color="auto" w:sz="4" w:space="0"/>
                          <w:left w:val="nil"/>
                          <w:bottom w:val="single" w:color="auto" w:sz="4" w:space="0"/>
                          <w:right w:val="single" w:color="auto" w:sz="4" w:space="0"/>
                        </w:tcBorders>
                        <w:vAlign w:val="center"/>
                      </w:tcPr>
                      <w:p w14:paraId="32CAEC89">
                        <w:pPr>
                          <w:spacing w:before="0" w:after="0" w:line="240" w:lineRule="auto"/>
                          <w:ind w:firstLine="0" w:firstLineChars="0"/>
                          <w:rPr>
                            <w:color w:val="auto"/>
                            <w:sz w:val="21"/>
                            <w:szCs w:val="21"/>
                          </w:rPr>
                        </w:pPr>
                        <w:r>
                          <w:rPr>
                            <w:color w:val="auto"/>
                            <w:sz w:val="21"/>
                            <w:szCs w:val="21"/>
                          </w:rPr>
                          <w:t>C34通用设备制造业-C35</w:t>
                        </w:r>
                      </w:p>
                    </w:tc>
                    <w:tc>
                      <w:tcPr>
                        <w:tcW w:w="3227" w:type="dxa"/>
                        <w:tcBorders>
                          <w:top w:val="single" w:color="auto" w:sz="4" w:space="0"/>
                          <w:left w:val="nil"/>
                          <w:bottom w:val="single" w:color="auto" w:sz="4" w:space="0"/>
                          <w:right w:val="single" w:color="auto" w:sz="4" w:space="0"/>
                        </w:tcBorders>
                        <w:vAlign w:val="center"/>
                      </w:tcPr>
                      <w:p w14:paraId="5556778E">
                        <w:pPr>
                          <w:widowControl/>
                          <w:adjustRightInd w:val="0"/>
                          <w:snapToGrid w:val="0"/>
                          <w:spacing w:before="0" w:after="0" w:line="240" w:lineRule="auto"/>
                          <w:ind w:firstLine="0" w:firstLineChars="0"/>
                          <w:rPr>
                            <w:color w:val="auto"/>
                            <w:spacing w:val="-2"/>
                            <w:sz w:val="21"/>
                            <w:szCs w:val="21"/>
                          </w:rPr>
                        </w:pPr>
                        <w:r>
                          <w:rPr>
                            <w:color w:val="auto"/>
                            <w:sz w:val="21"/>
                            <w:szCs w:val="21"/>
                          </w:rPr>
                          <w:t>工艺设备方面：</w:t>
                        </w:r>
                        <w:r>
                          <w:rPr>
                            <w:color w:val="auto"/>
                            <w:kern w:val="0"/>
                            <w:sz w:val="21"/>
                            <w:szCs w:val="21"/>
                          </w:rPr>
                          <w:t>《高能耗落后机电设备（产品）淘汰目录》中所列产品类型</w:t>
                        </w:r>
                      </w:p>
                    </w:tc>
                    <w:tc>
                      <w:tcPr>
                        <w:tcW w:w="654" w:type="dxa"/>
                        <w:tcBorders>
                          <w:top w:val="single" w:color="auto" w:sz="4" w:space="0"/>
                          <w:left w:val="nil"/>
                          <w:bottom w:val="single" w:color="auto" w:sz="4" w:space="0"/>
                          <w:right w:val="single" w:color="auto" w:sz="4" w:space="0"/>
                        </w:tcBorders>
                        <w:vAlign w:val="center"/>
                      </w:tcPr>
                      <w:p w14:paraId="3A1D84FA">
                        <w:pPr>
                          <w:spacing w:before="0" w:after="0" w:line="240" w:lineRule="auto"/>
                          <w:ind w:firstLine="0" w:firstLineChars="0"/>
                          <w:jc w:val="center"/>
                          <w:rPr>
                            <w:color w:val="auto"/>
                            <w:sz w:val="21"/>
                            <w:szCs w:val="21"/>
                          </w:rPr>
                        </w:pPr>
                        <w:r>
                          <w:rPr>
                            <w:color w:val="auto"/>
                            <w:sz w:val="21"/>
                            <w:szCs w:val="21"/>
                          </w:rPr>
                          <w:t>禁止进入</w:t>
                        </w:r>
                      </w:p>
                    </w:tc>
                  </w:tr>
                  <w:tr w14:paraId="491C5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93" w:type="dxa"/>
                        <w:vMerge w:val="restart"/>
                        <w:tcBorders>
                          <w:top w:val="nil"/>
                          <w:left w:val="single" w:color="auto" w:sz="4" w:space="0"/>
                          <w:right w:val="single" w:color="auto" w:sz="4" w:space="0"/>
                        </w:tcBorders>
                        <w:vAlign w:val="center"/>
                      </w:tcPr>
                      <w:p w14:paraId="14E6F532">
                        <w:pPr>
                          <w:widowControl/>
                          <w:spacing w:before="0" w:after="0" w:line="240" w:lineRule="auto"/>
                          <w:ind w:firstLine="0" w:firstLineChars="0"/>
                          <w:jc w:val="left"/>
                          <w:rPr>
                            <w:color w:val="auto"/>
                            <w:sz w:val="21"/>
                            <w:szCs w:val="21"/>
                          </w:rPr>
                        </w:pPr>
                        <w:r>
                          <w:rPr>
                            <w:color w:val="auto"/>
                            <w:sz w:val="21"/>
                            <w:szCs w:val="21"/>
                          </w:rPr>
                          <w:t>非金属新材料</w:t>
                        </w:r>
                      </w:p>
                    </w:tc>
                    <w:tc>
                      <w:tcPr>
                        <w:tcW w:w="957" w:type="dxa"/>
                        <w:vMerge w:val="continue"/>
                        <w:tcBorders>
                          <w:top w:val="nil"/>
                          <w:left w:val="nil"/>
                          <w:bottom w:val="single" w:color="auto" w:sz="4" w:space="0"/>
                          <w:right w:val="single" w:color="auto" w:sz="4" w:space="0"/>
                        </w:tcBorders>
                        <w:vAlign w:val="center"/>
                      </w:tcPr>
                      <w:p w14:paraId="0E65F912">
                        <w:pPr>
                          <w:widowControl/>
                          <w:spacing w:before="0" w:after="0" w:line="240" w:lineRule="auto"/>
                          <w:ind w:firstLine="0" w:firstLineChars="0"/>
                          <w:jc w:val="left"/>
                          <w:rPr>
                            <w:color w:val="auto"/>
                            <w:sz w:val="21"/>
                            <w:szCs w:val="21"/>
                          </w:rPr>
                        </w:pPr>
                      </w:p>
                    </w:tc>
                    <w:tc>
                      <w:tcPr>
                        <w:tcW w:w="1147" w:type="dxa"/>
                        <w:tcBorders>
                          <w:top w:val="single" w:color="auto" w:sz="4" w:space="0"/>
                          <w:left w:val="nil"/>
                          <w:bottom w:val="single" w:color="auto" w:sz="4" w:space="0"/>
                          <w:right w:val="single" w:color="auto" w:sz="4" w:space="0"/>
                        </w:tcBorders>
                        <w:vAlign w:val="center"/>
                      </w:tcPr>
                      <w:p w14:paraId="7971898C">
                        <w:pPr>
                          <w:spacing w:before="0" w:after="0" w:line="240" w:lineRule="auto"/>
                          <w:ind w:firstLine="0" w:firstLineChars="0"/>
                          <w:rPr>
                            <w:color w:val="auto"/>
                            <w:sz w:val="21"/>
                            <w:szCs w:val="21"/>
                          </w:rPr>
                        </w:pPr>
                        <w:r>
                          <w:rPr>
                            <w:color w:val="auto"/>
                            <w:sz w:val="21"/>
                            <w:szCs w:val="21"/>
                          </w:rPr>
                          <w:t>C22造纸和纸制品制造业</w:t>
                        </w:r>
                      </w:p>
                    </w:tc>
                    <w:tc>
                      <w:tcPr>
                        <w:tcW w:w="3227" w:type="dxa"/>
                        <w:tcBorders>
                          <w:top w:val="single" w:color="auto" w:sz="4" w:space="0"/>
                          <w:left w:val="nil"/>
                          <w:bottom w:val="single" w:color="auto" w:sz="4" w:space="0"/>
                          <w:right w:val="single" w:color="auto" w:sz="4" w:space="0"/>
                        </w:tcBorders>
                        <w:vAlign w:val="center"/>
                      </w:tcPr>
                      <w:p w14:paraId="0E693C52">
                        <w:pPr>
                          <w:spacing w:before="0" w:after="0" w:line="240" w:lineRule="auto"/>
                          <w:ind w:firstLine="0" w:firstLineChars="0"/>
                          <w:rPr>
                            <w:color w:val="auto"/>
                            <w:sz w:val="21"/>
                            <w:szCs w:val="21"/>
                          </w:rPr>
                        </w:pPr>
                        <w:r>
                          <w:rPr>
                            <w:color w:val="auto"/>
                            <w:sz w:val="21"/>
                            <w:szCs w:val="21"/>
                          </w:rPr>
                          <w:t>产业方面：C221纸浆制造、C222造纸</w:t>
                        </w:r>
                      </w:p>
                    </w:tc>
                    <w:tc>
                      <w:tcPr>
                        <w:tcW w:w="654" w:type="dxa"/>
                        <w:tcBorders>
                          <w:top w:val="single" w:color="auto" w:sz="4" w:space="0"/>
                          <w:left w:val="nil"/>
                          <w:bottom w:val="single" w:color="auto" w:sz="4" w:space="0"/>
                          <w:right w:val="single" w:color="auto" w:sz="4" w:space="0"/>
                        </w:tcBorders>
                        <w:vAlign w:val="center"/>
                      </w:tcPr>
                      <w:p w14:paraId="4BC92EB3">
                        <w:pPr>
                          <w:spacing w:before="0" w:after="0" w:line="240" w:lineRule="auto"/>
                          <w:ind w:firstLine="0" w:firstLineChars="0"/>
                          <w:jc w:val="center"/>
                          <w:rPr>
                            <w:color w:val="auto"/>
                            <w:sz w:val="21"/>
                            <w:szCs w:val="21"/>
                          </w:rPr>
                        </w:pPr>
                        <w:r>
                          <w:rPr>
                            <w:color w:val="auto"/>
                            <w:sz w:val="21"/>
                            <w:szCs w:val="21"/>
                          </w:rPr>
                          <w:t>禁止进入</w:t>
                        </w:r>
                      </w:p>
                    </w:tc>
                  </w:tr>
                  <w:tr w14:paraId="13E4B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793" w:type="dxa"/>
                        <w:vMerge w:val="continue"/>
                        <w:tcBorders>
                          <w:left w:val="single" w:color="auto" w:sz="4" w:space="0"/>
                          <w:right w:val="single" w:color="auto" w:sz="4" w:space="0"/>
                        </w:tcBorders>
                        <w:vAlign w:val="center"/>
                      </w:tcPr>
                      <w:p w14:paraId="3AAA448C">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10E9BAF6">
                        <w:pPr>
                          <w:widowControl/>
                          <w:spacing w:before="0" w:after="0" w:line="240" w:lineRule="auto"/>
                          <w:ind w:firstLine="0" w:firstLineChars="0"/>
                          <w:jc w:val="left"/>
                          <w:rPr>
                            <w:color w:val="auto"/>
                            <w:sz w:val="21"/>
                            <w:szCs w:val="21"/>
                          </w:rPr>
                        </w:pPr>
                      </w:p>
                    </w:tc>
                    <w:tc>
                      <w:tcPr>
                        <w:tcW w:w="1147" w:type="dxa"/>
                        <w:tcBorders>
                          <w:top w:val="single" w:color="auto" w:sz="4" w:space="0"/>
                          <w:left w:val="nil"/>
                          <w:bottom w:val="single" w:color="auto" w:sz="4" w:space="0"/>
                          <w:right w:val="single" w:color="auto" w:sz="4" w:space="0"/>
                        </w:tcBorders>
                        <w:vAlign w:val="center"/>
                      </w:tcPr>
                      <w:p w14:paraId="47C7C0B2">
                        <w:pPr>
                          <w:spacing w:before="0" w:after="0" w:line="240" w:lineRule="auto"/>
                          <w:ind w:firstLine="0" w:firstLineChars="0"/>
                          <w:rPr>
                            <w:color w:val="auto"/>
                            <w:sz w:val="21"/>
                            <w:szCs w:val="21"/>
                          </w:rPr>
                        </w:pPr>
                        <w:r>
                          <w:rPr>
                            <w:color w:val="auto"/>
                            <w:sz w:val="21"/>
                            <w:szCs w:val="21"/>
                          </w:rPr>
                          <w:t>C26化学原料及化学制品制造业</w:t>
                        </w:r>
                      </w:p>
                    </w:tc>
                    <w:tc>
                      <w:tcPr>
                        <w:tcW w:w="3227" w:type="dxa"/>
                        <w:tcBorders>
                          <w:top w:val="single" w:color="auto" w:sz="4" w:space="0"/>
                          <w:left w:val="nil"/>
                          <w:bottom w:val="single" w:color="auto" w:sz="4" w:space="0"/>
                          <w:right w:val="single" w:color="auto" w:sz="4" w:space="0"/>
                        </w:tcBorders>
                        <w:vAlign w:val="center"/>
                      </w:tcPr>
                      <w:p w14:paraId="439130E7">
                        <w:pPr>
                          <w:spacing w:before="0" w:after="0" w:line="240" w:lineRule="auto"/>
                          <w:ind w:firstLine="0" w:firstLineChars="0"/>
                          <w:rPr>
                            <w:color w:val="auto"/>
                            <w:sz w:val="21"/>
                            <w:szCs w:val="21"/>
                          </w:rPr>
                        </w:pPr>
                        <w:r>
                          <w:rPr>
                            <w:color w:val="auto"/>
                            <w:sz w:val="21"/>
                            <w:szCs w:val="21"/>
                          </w:rPr>
                          <w:t>产业方面：全部</w:t>
                        </w:r>
                      </w:p>
                    </w:tc>
                    <w:tc>
                      <w:tcPr>
                        <w:tcW w:w="654" w:type="dxa"/>
                        <w:tcBorders>
                          <w:top w:val="single" w:color="auto" w:sz="4" w:space="0"/>
                          <w:left w:val="nil"/>
                          <w:bottom w:val="single" w:color="auto" w:sz="4" w:space="0"/>
                          <w:right w:val="single" w:color="auto" w:sz="4" w:space="0"/>
                        </w:tcBorders>
                        <w:vAlign w:val="center"/>
                      </w:tcPr>
                      <w:p w14:paraId="532E4E89">
                        <w:pPr>
                          <w:spacing w:before="0" w:after="0" w:line="240" w:lineRule="auto"/>
                          <w:ind w:firstLine="0" w:firstLineChars="0"/>
                          <w:jc w:val="center"/>
                          <w:rPr>
                            <w:color w:val="auto"/>
                            <w:sz w:val="21"/>
                            <w:szCs w:val="21"/>
                          </w:rPr>
                        </w:pPr>
                        <w:r>
                          <w:rPr>
                            <w:color w:val="auto"/>
                            <w:sz w:val="21"/>
                            <w:szCs w:val="21"/>
                          </w:rPr>
                          <w:t>禁止进入</w:t>
                        </w:r>
                      </w:p>
                    </w:tc>
                  </w:tr>
                  <w:tr w14:paraId="3E4C8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793" w:type="dxa"/>
                        <w:vMerge w:val="continue"/>
                        <w:tcBorders>
                          <w:left w:val="single" w:color="auto" w:sz="4" w:space="0"/>
                          <w:right w:val="single" w:color="auto" w:sz="4" w:space="0"/>
                        </w:tcBorders>
                        <w:vAlign w:val="center"/>
                      </w:tcPr>
                      <w:p w14:paraId="595B5997">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2D13F22E">
                        <w:pPr>
                          <w:widowControl/>
                          <w:spacing w:before="0" w:after="0" w:line="240" w:lineRule="auto"/>
                          <w:ind w:firstLine="0" w:firstLineChars="0"/>
                          <w:jc w:val="left"/>
                          <w:rPr>
                            <w:color w:val="auto"/>
                            <w:sz w:val="21"/>
                            <w:szCs w:val="21"/>
                          </w:rPr>
                        </w:pPr>
                      </w:p>
                    </w:tc>
                    <w:tc>
                      <w:tcPr>
                        <w:tcW w:w="1147" w:type="dxa"/>
                        <w:tcBorders>
                          <w:top w:val="single" w:color="auto" w:sz="4" w:space="0"/>
                          <w:left w:val="nil"/>
                          <w:bottom w:val="single" w:color="auto" w:sz="4" w:space="0"/>
                          <w:right w:val="single" w:color="auto" w:sz="4" w:space="0"/>
                        </w:tcBorders>
                        <w:vAlign w:val="center"/>
                      </w:tcPr>
                      <w:p w14:paraId="6B2BB561">
                        <w:pPr>
                          <w:spacing w:before="0" w:after="0" w:line="240" w:lineRule="auto"/>
                          <w:ind w:firstLine="0" w:firstLineChars="0"/>
                          <w:rPr>
                            <w:color w:val="auto"/>
                            <w:sz w:val="21"/>
                            <w:szCs w:val="21"/>
                          </w:rPr>
                        </w:pPr>
                        <w:r>
                          <w:rPr>
                            <w:color w:val="auto"/>
                            <w:sz w:val="21"/>
                            <w:szCs w:val="21"/>
                          </w:rPr>
                          <w:t>C29橡胶和塑料制品业</w:t>
                        </w:r>
                      </w:p>
                    </w:tc>
                    <w:tc>
                      <w:tcPr>
                        <w:tcW w:w="3227" w:type="dxa"/>
                        <w:tcBorders>
                          <w:top w:val="single" w:color="auto" w:sz="4" w:space="0"/>
                          <w:left w:val="nil"/>
                          <w:bottom w:val="single" w:color="auto" w:sz="4" w:space="0"/>
                          <w:right w:val="single" w:color="auto" w:sz="4" w:space="0"/>
                        </w:tcBorders>
                        <w:vAlign w:val="center"/>
                      </w:tcPr>
                      <w:p w14:paraId="67EAA0D6">
                        <w:pPr>
                          <w:spacing w:before="0" w:after="0" w:line="240" w:lineRule="auto"/>
                          <w:ind w:firstLine="0" w:firstLineChars="0"/>
                          <w:rPr>
                            <w:color w:val="auto"/>
                            <w:sz w:val="21"/>
                            <w:szCs w:val="21"/>
                          </w:rPr>
                        </w:pPr>
                        <w:r>
                          <w:rPr>
                            <w:color w:val="auto"/>
                            <w:sz w:val="21"/>
                            <w:szCs w:val="21"/>
                          </w:rPr>
                          <w:t>产业方面：C2914再生橡胶制造、C292塑料制品业中废旧塑料回收加工、C2923塑料丝、绳及编织品制造</w:t>
                        </w:r>
                      </w:p>
                    </w:tc>
                    <w:tc>
                      <w:tcPr>
                        <w:tcW w:w="654" w:type="dxa"/>
                        <w:tcBorders>
                          <w:top w:val="single" w:color="auto" w:sz="4" w:space="0"/>
                          <w:left w:val="nil"/>
                          <w:bottom w:val="single" w:color="auto" w:sz="4" w:space="0"/>
                          <w:right w:val="single" w:color="auto" w:sz="4" w:space="0"/>
                        </w:tcBorders>
                        <w:vAlign w:val="center"/>
                      </w:tcPr>
                      <w:p w14:paraId="4842B86B">
                        <w:pPr>
                          <w:spacing w:before="0" w:after="0" w:line="240" w:lineRule="auto"/>
                          <w:ind w:firstLine="0" w:firstLineChars="0"/>
                          <w:jc w:val="center"/>
                          <w:rPr>
                            <w:color w:val="auto"/>
                            <w:sz w:val="21"/>
                            <w:szCs w:val="21"/>
                          </w:rPr>
                        </w:pPr>
                        <w:r>
                          <w:rPr>
                            <w:color w:val="auto"/>
                            <w:sz w:val="21"/>
                            <w:szCs w:val="21"/>
                          </w:rPr>
                          <w:t>禁止进入</w:t>
                        </w:r>
                      </w:p>
                    </w:tc>
                  </w:tr>
                  <w:tr w14:paraId="4BAE7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93" w:type="dxa"/>
                        <w:vMerge w:val="continue"/>
                        <w:tcBorders>
                          <w:left w:val="single" w:color="auto" w:sz="4" w:space="0"/>
                          <w:right w:val="single" w:color="auto" w:sz="4" w:space="0"/>
                        </w:tcBorders>
                        <w:vAlign w:val="center"/>
                      </w:tcPr>
                      <w:p w14:paraId="1B3245D0">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005A0774">
                        <w:pPr>
                          <w:widowControl/>
                          <w:spacing w:before="0" w:after="0" w:line="240" w:lineRule="auto"/>
                          <w:ind w:firstLine="0" w:firstLineChars="0"/>
                          <w:jc w:val="left"/>
                          <w:rPr>
                            <w:color w:val="auto"/>
                            <w:sz w:val="21"/>
                            <w:szCs w:val="21"/>
                          </w:rPr>
                        </w:pPr>
                      </w:p>
                    </w:tc>
                    <w:tc>
                      <w:tcPr>
                        <w:tcW w:w="1147" w:type="dxa"/>
                        <w:vMerge w:val="restart"/>
                        <w:tcBorders>
                          <w:top w:val="single" w:color="auto" w:sz="4" w:space="0"/>
                          <w:left w:val="nil"/>
                          <w:right w:val="single" w:color="auto" w:sz="4" w:space="0"/>
                        </w:tcBorders>
                        <w:vAlign w:val="center"/>
                      </w:tcPr>
                      <w:p w14:paraId="61563309">
                        <w:pPr>
                          <w:spacing w:before="0" w:after="0" w:line="240" w:lineRule="auto"/>
                          <w:ind w:firstLine="0" w:firstLineChars="0"/>
                          <w:rPr>
                            <w:color w:val="auto"/>
                            <w:sz w:val="21"/>
                            <w:szCs w:val="21"/>
                          </w:rPr>
                        </w:pPr>
                        <w:r>
                          <w:rPr>
                            <w:color w:val="auto"/>
                            <w:sz w:val="21"/>
                            <w:szCs w:val="21"/>
                          </w:rPr>
                          <w:t>C30非金属矿物制品业</w:t>
                        </w:r>
                      </w:p>
                    </w:tc>
                    <w:tc>
                      <w:tcPr>
                        <w:tcW w:w="3227" w:type="dxa"/>
                        <w:tcBorders>
                          <w:top w:val="single" w:color="auto" w:sz="4" w:space="0"/>
                          <w:left w:val="nil"/>
                          <w:bottom w:val="single" w:color="auto" w:sz="4" w:space="0"/>
                          <w:right w:val="single" w:color="auto" w:sz="4" w:space="0"/>
                        </w:tcBorders>
                        <w:vAlign w:val="center"/>
                      </w:tcPr>
                      <w:p w14:paraId="6DBF97DF">
                        <w:pPr>
                          <w:adjustRightInd w:val="0"/>
                          <w:snapToGrid w:val="0"/>
                          <w:spacing w:after="100" w:afterAutospacing="1" w:line="240" w:lineRule="auto"/>
                          <w:ind w:firstLine="0" w:firstLineChars="0"/>
                          <w:rPr>
                            <w:color w:val="auto"/>
                            <w:sz w:val="21"/>
                            <w:szCs w:val="21"/>
                          </w:rPr>
                        </w:pPr>
                        <w:r>
                          <w:rPr>
                            <w:color w:val="auto"/>
                            <w:sz w:val="21"/>
                            <w:szCs w:val="21"/>
                          </w:rPr>
                          <w:t>原料方面：禁止新建使用煤炭烧制普通氧化钙项目</w:t>
                        </w:r>
                      </w:p>
                    </w:tc>
                    <w:tc>
                      <w:tcPr>
                        <w:tcW w:w="654" w:type="dxa"/>
                        <w:tcBorders>
                          <w:top w:val="single" w:color="auto" w:sz="4" w:space="0"/>
                          <w:left w:val="nil"/>
                          <w:bottom w:val="single" w:color="auto" w:sz="4" w:space="0"/>
                          <w:right w:val="single" w:color="auto" w:sz="4" w:space="0"/>
                        </w:tcBorders>
                        <w:vAlign w:val="center"/>
                      </w:tcPr>
                      <w:p w14:paraId="07A7ADC5">
                        <w:pPr>
                          <w:spacing w:before="0" w:after="0" w:line="240" w:lineRule="auto"/>
                          <w:ind w:firstLine="0" w:firstLineChars="0"/>
                          <w:jc w:val="center"/>
                          <w:rPr>
                            <w:color w:val="auto"/>
                            <w:sz w:val="21"/>
                            <w:szCs w:val="21"/>
                          </w:rPr>
                        </w:pPr>
                        <w:r>
                          <w:rPr>
                            <w:color w:val="auto"/>
                            <w:sz w:val="21"/>
                            <w:szCs w:val="21"/>
                          </w:rPr>
                          <w:t>禁止进入</w:t>
                        </w:r>
                      </w:p>
                    </w:tc>
                  </w:tr>
                  <w:tr w14:paraId="5689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8" w:hRule="atLeast"/>
                      <w:jc w:val="center"/>
                    </w:trPr>
                    <w:tc>
                      <w:tcPr>
                        <w:tcW w:w="793" w:type="dxa"/>
                        <w:vMerge w:val="continue"/>
                        <w:tcBorders>
                          <w:left w:val="single" w:color="auto" w:sz="4" w:space="0"/>
                          <w:right w:val="single" w:color="auto" w:sz="4" w:space="0"/>
                        </w:tcBorders>
                        <w:vAlign w:val="center"/>
                      </w:tcPr>
                      <w:p w14:paraId="0C99E46E">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41478889">
                        <w:pPr>
                          <w:widowControl/>
                          <w:spacing w:before="0" w:after="0" w:line="240" w:lineRule="auto"/>
                          <w:ind w:firstLine="0" w:firstLineChars="0"/>
                          <w:jc w:val="left"/>
                          <w:rPr>
                            <w:color w:val="auto"/>
                            <w:sz w:val="21"/>
                            <w:szCs w:val="21"/>
                          </w:rPr>
                        </w:pPr>
                      </w:p>
                    </w:tc>
                    <w:tc>
                      <w:tcPr>
                        <w:tcW w:w="1147" w:type="dxa"/>
                        <w:vMerge w:val="continue"/>
                        <w:tcBorders>
                          <w:left w:val="nil"/>
                          <w:right w:val="single" w:color="auto" w:sz="4" w:space="0"/>
                        </w:tcBorders>
                        <w:vAlign w:val="center"/>
                      </w:tcPr>
                      <w:p w14:paraId="7181669E">
                        <w:pPr>
                          <w:spacing w:before="0" w:after="0" w:line="240" w:lineRule="auto"/>
                          <w:ind w:firstLine="0" w:firstLineChars="0"/>
                          <w:rPr>
                            <w:color w:val="auto"/>
                            <w:sz w:val="21"/>
                            <w:szCs w:val="21"/>
                          </w:rPr>
                        </w:pPr>
                      </w:p>
                    </w:tc>
                    <w:tc>
                      <w:tcPr>
                        <w:tcW w:w="3227" w:type="dxa"/>
                        <w:tcBorders>
                          <w:top w:val="single" w:color="auto" w:sz="4" w:space="0"/>
                          <w:left w:val="nil"/>
                          <w:bottom w:val="single" w:color="auto" w:sz="4" w:space="0"/>
                          <w:right w:val="single" w:color="auto" w:sz="4" w:space="0"/>
                        </w:tcBorders>
                        <w:vAlign w:val="center"/>
                      </w:tcPr>
                      <w:p w14:paraId="326AC2B9">
                        <w:pPr>
                          <w:adjustRightInd w:val="0"/>
                          <w:snapToGrid w:val="0"/>
                          <w:spacing w:after="100" w:afterAutospacing="1" w:line="240" w:lineRule="auto"/>
                          <w:ind w:firstLine="0" w:firstLineChars="0"/>
                          <w:rPr>
                            <w:color w:val="auto"/>
                            <w:sz w:val="21"/>
                            <w:szCs w:val="21"/>
                          </w:rPr>
                        </w:pPr>
                        <w:r>
                          <w:rPr>
                            <w:color w:val="auto"/>
                            <w:spacing w:val="-2"/>
                            <w:sz w:val="21"/>
                            <w:szCs w:val="21"/>
                          </w:rPr>
                          <w:t>产业方面：</w:t>
                        </w:r>
                        <w:r>
                          <w:rPr>
                            <w:color w:val="auto"/>
                            <w:kern w:val="0"/>
                            <w:sz w:val="21"/>
                            <w:szCs w:val="21"/>
                          </w:rPr>
                          <w:t>C304玻璃制造中平板玻璃制造、C306玻璃纤维制造、C307陶瓷制品制造</w:t>
                        </w:r>
                        <w:r>
                          <w:rPr>
                            <w:color w:val="auto"/>
                            <w:sz w:val="21"/>
                            <w:szCs w:val="21"/>
                          </w:rPr>
                          <w:t>、C308耐火材料制造（以绿色耐火材料、高效隔热材料、轻质合成耐火材料、结构功能一体化耐火材料、优质镁钙系耐火材料、新型环保耐火材料、新型隔热耐火材料除外）、C309石墨及其他非金属矿物制品制造中C3091石墨及碳素制品制造，C3099其他非金属矿物制品制造中建筑用沥青制品、碳酸钡、硫酸钡、高纯硫、高纯硒、高纯砷、高纯碲、高纯碲化镉，高纯砷化镓、高纯硒化镓</w:t>
                        </w:r>
                      </w:p>
                    </w:tc>
                    <w:tc>
                      <w:tcPr>
                        <w:tcW w:w="654" w:type="dxa"/>
                        <w:tcBorders>
                          <w:top w:val="single" w:color="auto" w:sz="4" w:space="0"/>
                          <w:left w:val="nil"/>
                          <w:bottom w:val="single" w:color="auto" w:sz="4" w:space="0"/>
                          <w:right w:val="single" w:color="auto" w:sz="4" w:space="0"/>
                        </w:tcBorders>
                        <w:vAlign w:val="center"/>
                      </w:tcPr>
                      <w:p w14:paraId="1552B1FA">
                        <w:pPr>
                          <w:spacing w:before="0" w:after="0" w:line="240" w:lineRule="auto"/>
                          <w:ind w:firstLine="0" w:firstLineChars="0"/>
                          <w:jc w:val="center"/>
                          <w:rPr>
                            <w:color w:val="auto"/>
                            <w:sz w:val="21"/>
                            <w:szCs w:val="21"/>
                          </w:rPr>
                        </w:pPr>
                        <w:r>
                          <w:rPr>
                            <w:color w:val="auto"/>
                            <w:sz w:val="21"/>
                            <w:szCs w:val="21"/>
                          </w:rPr>
                          <w:t>禁止进入</w:t>
                        </w:r>
                      </w:p>
                    </w:tc>
                  </w:tr>
                  <w:tr w14:paraId="01348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93" w:type="dxa"/>
                        <w:vMerge w:val="continue"/>
                        <w:tcBorders>
                          <w:left w:val="single" w:color="auto" w:sz="4" w:space="0"/>
                          <w:right w:val="single" w:color="auto" w:sz="4" w:space="0"/>
                        </w:tcBorders>
                        <w:vAlign w:val="center"/>
                      </w:tcPr>
                      <w:p w14:paraId="12FB5790">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1EA48FCB">
                        <w:pPr>
                          <w:widowControl/>
                          <w:spacing w:before="0" w:after="0" w:line="240" w:lineRule="auto"/>
                          <w:ind w:firstLine="0" w:firstLineChars="0"/>
                          <w:jc w:val="left"/>
                          <w:rPr>
                            <w:color w:val="auto"/>
                            <w:sz w:val="21"/>
                            <w:szCs w:val="21"/>
                          </w:rPr>
                        </w:pPr>
                      </w:p>
                    </w:tc>
                    <w:tc>
                      <w:tcPr>
                        <w:tcW w:w="1147" w:type="dxa"/>
                        <w:vMerge w:val="continue"/>
                        <w:tcBorders>
                          <w:left w:val="nil"/>
                          <w:right w:val="single" w:color="auto" w:sz="4" w:space="0"/>
                        </w:tcBorders>
                        <w:vAlign w:val="center"/>
                      </w:tcPr>
                      <w:p w14:paraId="57BCFB19">
                        <w:pPr>
                          <w:spacing w:before="0" w:after="0" w:line="240" w:lineRule="auto"/>
                          <w:ind w:firstLine="0" w:firstLineChars="0"/>
                          <w:rPr>
                            <w:color w:val="auto"/>
                            <w:sz w:val="21"/>
                            <w:szCs w:val="21"/>
                          </w:rPr>
                        </w:pPr>
                      </w:p>
                    </w:tc>
                    <w:tc>
                      <w:tcPr>
                        <w:tcW w:w="3227" w:type="dxa"/>
                        <w:tcBorders>
                          <w:top w:val="single" w:color="auto" w:sz="4" w:space="0"/>
                          <w:left w:val="nil"/>
                          <w:bottom w:val="single" w:color="auto" w:sz="4" w:space="0"/>
                          <w:right w:val="single" w:color="auto" w:sz="4" w:space="0"/>
                        </w:tcBorders>
                        <w:vAlign w:val="center"/>
                      </w:tcPr>
                      <w:p w14:paraId="204C2A01">
                        <w:pPr>
                          <w:adjustRightInd w:val="0"/>
                          <w:snapToGrid w:val="0"/>
                          <w:spacing w:after="100" w:afterAutospacing="1" w:line="240" w:lineRule="auto"/>
                          <w:ind w:firstLine="0" w:firstLineChars="0"/>
                          <w:rPr>
                            <w:color w:val="auto"/>
                            <w:sz w:val="21"/>
                            <w:szCs w:val="21"/>
                          </w:rPr>
                        </w:pPr>
                        <w:r>
                          <w:rPr>
                            <w:color w:val="auto"/>
                            <w:sz w:val="21"/>
                            <w:szCs w:val="21"/>
                          </w:rPr>
                          <w:t>规格方面：禁止新建2000目以下方解石粉加工项目（同时配建制造下游终端产品的除外）</w:t>
                        </w:r>
                      </w:p>
                    </w:tc>
                    <w:tc>
                      <w:tcPr>
                        <w:tcW w:w="654" w:type="dxa"/>
                        <w:tcBorders>
                          <w:top w:val="single" w:color="auto" w:sz="4" w:space="0"/>
                          <w:left w:val="nil"/>
                          <w:bottom w:val="single" w:color="auto" w:sz="4" w:space="0"/>
                          <w:right w:val="single" w:color="auto" w:sz="4" w:space="0"/>
                        </w:tcBorders>
                        <w:vAlign w:val="center"/>
                      </w:tcPr>
                      <w:p w14:paraId="4638A719">
                        <w:pPr>
                          <w:spacing w:before="0" w:after="0" w:line="240" w:lineRule="auto"/>
                          <w:ind w:firstLine="0" w:firstLineChars="0"/>
                          <w:jc w:val="center"/>
                          <w:rPr>
                            <w:color w:val="auto"/>
                            <w:sz w:val="21"/>
                            <w:szCs w:val="21"/>
                          </w:rPr>
                        </w:pPr>
                        <w:r>
                          <w:rPr>
                            <w:color w:val="auto"/>
                            <w:sz w:val="21"/>
                            <w:szCs w:val="21"/>
                          </w:rPr>
                          <w:t>禁止进入</w:t>
                        </w:r>
                      </w:p>
                    </w:tc>
                  </w:tr>
                  <w:tr w14:paraId="7D7DC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2" w:hRule="atLeast"/>
                      <w:jc w:val="center"/>
                    </w:trPr>
                    <w:tc>
                      <w:tcPr>
                        <w:tcW w:w="793" w:type="dxa"/>
                        <w:vMerge w:val="continue"/>
                        <w:tcBorders>
                          <w:left w:val="single" w:color="auto" w:sz="4" w:space="0"/>
                          <w:bottom w:val="single" w:color="auto" w:sz="4" w:space="0"/>
                          <w:right w:val="single" w:color="auto" w:sz="4" w:space="0"/>
                        </w:tcBorders>
                        <w:vAlign w:val="center"/>
                      </w:tcPr>
                      <w:p w14:paraId="44295885">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2AC8B3DC">
                        <w:pPr>
                          <w:widowControl/>
                          <w:spacing w:before="0" w:after="0" w:line="240" w:lineRule="auto"/>
                          <w:ind w:firstLine="0" w:firstLineChars="0"/>
                          <w:jc w:val="left"/>
                          <w:rPr>
                            <w:color w:val="auto"/>
                            <w:sz w:val="21"/>
                            <w:szCs w:val="21"/>
                          </w:rPr>
                        </w:pPr>
                      </w:p>
                    </w:tc>
                    <w:tc>
                      <w:tcPr>
                        <w:tcW w:w="1147" w:type="dxa"/>
                        <w:vMerge w:val="continue"/>
                        <w:tcBorders>
                          <w:left w:val="nil"/>
                          <w:right w:val="single" w:color="auto" w:sz="4" w:space="0"/>
                        </w:tcBorders>
                        <w:vAlign w:val="center"/>
                      </w:tcPr>
                      <w:p w14:paraId="70961B9E">
                        <w:pPr>
                          <w:spacing w:before="0" w:after="0" w:line="240" w:lineRule="auto"/>
                          <w:ind w:firstLine="0" w:firstLineChars="0"/>
                          <w:rPr>
                            <w:color w:val="auto"/>
                            <w:sz w:val="21"/>
                            <w:szCs w:val="21"/>
                          </w:rPr>
                        </w:pPr>
                      </w:p>
                    </w:tc>
                    <w:tc>
                      <w:tcPr>
                        <w:tcW w:w="3227" w:type="dxa"/>
                        <w:tcBorders>
                          <w:top w:val="single" w:color="auto" w:sz="4" w:space="0"/>
                          <w:left w:val="nil"/>
                          <w:bottom w:val="single" w:color="auto" w:sz="4" w:space="0"/>
                          <w:right w:val="single" w:color="auto" w:sz="4" w:space="0"/>
                        </w:tcBorders>
                        <w:vAlign w:val="center"/>
                      </w:tcPr>
                      <w:p w14:paraId="7CF15EBB">
                        <w:pPr>
                          <w:spacing w:before="0" w:after="0" w:line="240" w:lineRule="auto"/>
                          <w:ind w:firstLine="0" w:firstLineChars="0"/>
                          <w:jc w:val="left"/>
                          <w:rPr>
                            <w:color w:val="auto"/>
                            <w:sz w:val="21"/>
                            <w:szCs w:val="21"/>
                          </w:rPr>
                        </w:pPr>
                        <w:r>
                          <w:rPr>
                            <w:color w:val="auto"/>
                            <w:sz w:val="21"/>
                            <w:szCs w:val="21"/>
                          </w:rPr>
                          <w:t>工艺设备方面：非金属新材料负面设备清单</w:t>
                        </w:r>
                      </w:p>
                      <w:tbl>
                        <w:tblPr>
                          <w:tblStyle w:val="31"/>
                          <w:tblW w:w="3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1"/>
                          <w:gridCol w:w="1173"/>
                          <w:gridCol w:w="1393"/>
                        </w:tblGrid>
                        <w:tr w14:paraId="51BAC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1" w:type="dxa"/>
                              <w:tcBorders>
                                <w:top w:val="single" w:color="000000" w:sz="4" w:space="0"/>
                                <w:left w:val="single" w:color="000000" w:sz="4" w:space="0"/>
                                <w:bottom w:val="single" w:color="000000" w:sz="4" w:space="0"/>
                                <w:right w:val="single" w:color="000000" w:sz="4" w:space="0"/>
                              </w:tcBorders>
                              <w:vAlign w:val="center"/>
                            </w:tcPr>
                            <w:p w14:paraId="28B03CDF">
                              <w:pPr>
                                <w:adjustRightInd w:val="0"/>
                                <w:snapToGrid w:val="0"/>
                                <w:spacing w:before="0" w:after="0" w:line="240" w:lineRule="auto"/>
                                <w:ind w:firstLine="0" w:firstLineChars="0"/>
                                <w:jc w:val="center"/>
                                <w:rPr>
                                  <w:color w:val="auto"/>
                                  <w:sz w:val="21"/>
                                  <w:szCs w:val="21"/>
                                </w:rPr>
                              </w:pPr>
                              <w:r>
                                <w:rPr>
                                  <w:color w:val="auto"/>
                                  <w:sz w:val="21"/>
                                  <w:szCs w:val="21"/>
                                </w:rPr>
                                <w:t>序号</w:t>
                              </w:r>
                            </w:p>
                          </w:tc>
                          <w:tc>
                            <w:tcPr>
                              <w:tcW w:w="1173" w:type="dxa"/>
                              <w:tcBorders>
                                <w:top w:val="single" w:color="000000" w:sz="4" w:space="0"/>
                                <w:left w:val="nil"/>
                                <w:bottom w:val="single" w:color="000000" w:sz="4" w:space="0"/>
                                <w:right w:val="single" w:color="000000" w:sz="4" w:space="0"/>
                              </w:tcBorders>
                              <w:vAlign w:val="center"/>
                            </w:tcPr>
                            <w:p w14:paraId="3D573293">
                              <w:pPr>
                                <w:adjustRightInd w:val="0"/>
                                <w:snapToGrid w:val="0"/>
                                <w:spacing w:before="0" w:after="0" w:line="240" w:lineRule="auto"/>
                                <w:ind w:firstLine="0" w:firstLineChars="0"/>
                                <w:jc w:val="center"/>
                                <w:rPr>
                                  <w:color w:val="auto"/>
                                  <w:sz w:val="21"/>
                                  <w:szCs w:val="21"/>
                                </w:rPr>
                              </w:pPr>
                              <w:r>
                                <w:rPr>
                                  <w:color w:val="auto"/>
                                  <w:sz w:val="21"/>
                                  <w:szCs w:val="21"/>
                                </w:rPr>
                                <w:t>工艺设备负面清单</w:t>
                              </w:r>
                            </w:p>
                          </w:tc>
                          <w:tc>
                            <w:tcPr>
                              <w:tcW w:w="1393" w:type="dxa"/>
                              <w:tcBorders>
                                <w:top w:val="single" w:color="000000" w:sz="4" w:space="0"/>
                                <w:left w:val="nil"/>
                                <w:bottom w:val="single" w:color="000000" w:sz="4" w:space="0"/>
                                <w:right w:val="single" w:color="000000" w:sz="4" w:space="0"/>
                              </w:tcBorders>
                              <w:vAlign w:val="center"/>
                            </w:tcPr>
                            <w:p w14:paraId="6E5FD892">
                              <w:pPr>
                                <w:adjustRightInd w:val="0"/>
                                <w:snapToGrid w:val="0"/>
                                <w:spacing w:before="0" w:after="0" w:line="240" w:lineRule="auto"/>
                                <w:ind w:firstLine="0" w:firstLineChars="0"/>
                                <w:jc w:val="center"/>
                                <w:rPr>
                                  <w:color w:val="auto"/>
                                  <w:sz w:val="21"/>
                                  <w:szCs w:val="21"/>
                                </w:rPr>
                              </w:pPr>
                              <w:r>
                                <w:rPr>
                                  <w:color w:val="auto"/>
                                  <w:sz w:val="21"/>
                                  <w:szCs w:val="21"/>
                                </w:rPr>
                                <w:t>依据</w:t>
                              </w:r>
                            </w:p>
                          </w:tc>
                        </w:tr>
                        <w:tr w14:paraId="1A763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1" w:type="dxa"/>
                              <w:tcBorders>
                                <w:top w:val="single" w:color="000000" w:sz="4" w:space="0"/>
                                <w:left w:val="single" w:color="000000" w:sz="4" w:space="0"/>
                                <w:bottom w:val="single" w:color="000000" w:sz="4" w:space="0"/>
                                <w:right w:val="single" w:color="000000" w:sz="4" w:space="0"/>
                              </w:tcBorders>
                              <w:vAlign w:val="center"/>
                            </w:tcPr>
                            <w:p w14:paraId="388104DD">
                              <w:pPr>
                                <w:adjustRightInd w:val="0"/>
                                <w:snapToGrid w:val="0"/>
                                <w:spacing w:before="0" w:after="0" w:line="240" w:lineRule="auto"/>
                                <w:ind w:firstLine="0" w:firstLineChars="0"/>
                                <w:jc w:val="center"/>
                                <w:rPr>
                                  <w:color w:val="auto"/>
                                  <w:sz w:val="21"/>
                                  <w:szCs w:val="21"/>
                                </w:rPr>
                              </w:pPr>
                              <w:r>
                                <w:rPr>
                                  <w:color w:val="auto"/>
                                  <w:sz w:val="21"/>
                                  <w:szCs w:val="21"/>
                                </w:rPr>
                                <w:t>1</w:t>
                              </w:r>
                            </w:p>
                          </w:tc>
                          <w:tc>
                            <w:tcPr>
                              <w:tcW w:w="1173" w:type="dxa"/>
                              <w:tcBorders>
                                <w:top w:val="single" w:color="000000" w:sz="4" w:space="0"/>
                                <w:left w:val="nil"/>
                                <w:bottom w:val="single" w:color="000000" w:sz="4" w:space="0"/>
                                <w:right w:val="single" w:color="000000" w:sz="4" w:space="0"/>
                              </w:tcBorders>
                              <w:vAlign w:val="center"/>
                            </w:tcPr>
                            <w:p w14:paraId="420963D0">
                              <w:pPr>
                                <w:adjustRightInd w:val="0"/>
                                <w:snapToGrid w:val="0"/>
                                <w:spacing w:before="0" w:after="0" w:line="240" w:lineRule="auto"/>
                                <w:ind w:firstLine="0" w:firstLineChars="0"/>
                                <w:jc w:val="center"/>
                                <w:rPr>
                                  <w:color w:val="auto"/>
                                  <w:sz w:val="21"/>
                                  <w:szCs w:val="21"/>
                                </w:rPr>
                              </w:pPr>
                              <w:r>
                                <w:rPr>
                                  <w:color w:val="auto"/>
                                  <w:sz w:val="21"/>
                                  <w:szCs w:val="21"/>
                                </w:rPr>
                                <w:t>2 万吨/年以下普通级碳酸钙生产线</w:t>
                              </w:r>
                            </w:p>
                          </w:tc>
                          <w:tc>
                            <w:tcPr>
                              <w:tcW w:w="1393" w:type="dxa"/>
                              <w:tcBorders>
                                <w:top w:val="single" w:color="000000" w:sz="4" w:space="0"/>
                                <w:left w:val="nil"/>
                                <w:bottom w:val="single" w:color="000000" w:sz="4" w:space="0"/>
                                <w:right w:val="single" w:color="000000" w:sz="4" w:space="0"/>
                              </w:tcBorders>
                              <w:vAlign w:val="center"/>
                            </w:tcPr>
                            <w:p w14:paraId="12FB6D1B">
                              <w:pPr>
                                <w:adjustRightInd w:val="0"/>
                                <w:snapToGrid w:val="0"/>
                                <w:spacing w:before="0" w:after="0" w:line="240" w:lineRule="auto"/>
                                <w:ind w:firstLine="0" w:firstLineChars="0"/>
                                <w:jc w:val="center"/>
                                <w:rPr>
                                  <w:color w:val="auto"/>
                                  <w:sz w:val="21"/>
                                  <w:szCs w:val="21"/>
                                </w:rPr>
                              </w:pPr>
                              <w:r>
                                <w:rPr>
                                  <w:color w:val="auto"/>
                                  <w:sz w:val="21"/>
                                  <w:szCs w:val="21"/>
                                </w:rPr>
                                <w:t>《产业结构调整指导目录（2019年本）》中淘汰落后类</w:t>
                              </w:r>
                            </w:p>
                          </w:tc>
                        </w:tr>
                        <w:tr w14:paraId="269BE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1" w:type="dxa"/>
                              <w:tcBorders>
                                <w:top w:val="single" w:color="000000" w:sz="4" w:space="0"/>
                                <w:left w:val="single" w:color="000000" w:sz="4" w:space="0"/>
                                <w:bottom w:val="single" w:color="000000" w:sz="4" w:space="0"/>
                                <w:right w:val="single" w:color="000000" w:sz="4" w:space="0"/>
                              </w:tcBorders>
                              <w:vAlign w:val="center"/>
                            </w:tcPr>
                            <w:p w14:paraId="4D62EF22">
                              <w:pPr>
                                <w:adjustRightInd w:val="0"/>
                                <w:snapToGrid w:val="0"/>
                                <w:spacing w:before="0" w:after="0" w:line="240" w:lineRule="auto"/>
                                <w:ind w:firstLine="0" w:firstLineChars="0"/>
                                <w:jc w:val="center"/>
                                <w:rPr>
                                  <w:color w:val="auto"/>
                                  <w:sz w:val="21"/>
                                  <w:szCs w:val="21"/>
                                </w:rPr>
                              </w:pPr>
                              <w:r>
                                <w:rPr>
                                  <w:color w:val="auto"/>
                                  <w:sz w:val="21"/>
                                  <w:szCs w:val="21"/>
                                </w:rPr>
                                <w:t>2</w:t>
                              </w:r>
                            </w:p>
                          </w:tc>
                          <w:tc>
                            <w:tcPr>
                              <w:tcW w:w="1173" w:type="dxa"/>
                              <w:tcBorders>
                                <w:top w:val="single" w:color="000000" w:sz="4" w:space="0"/>
                                <w:left w:val="nil"/>
                                <w:bottom w:val="single" w:color="000000" w:sz="4" w:space="0"/>
                                <w:right w:val="single" w:color="000000" w:sz="4" w:space="0"/>
                              </w:tcBorders>
                              <w:vAlign w:val="center"/>
                            </w:tcPr>
                            <w:p w14:paraId="2EFD046F">
                              <w:pPr>
                                <w:adjustRightInd w:val="0"/>
                                <w:snapToGrid w:val="0"/>
                                <w:spacing w:before="0" w:after="0" w:line="240" w:lineRule="auto"/>
                                <w:ind w:firstLine="0" w:firstLineChars="0"/>
                                <w:jc w:val="center"/>
                                <w:rPr>
                                  <w:color w:val="auto"/>
                                  <w:sz w:val="21"/>
                                  <w:szCs w:val="21"/>
                                </w:rPr>
                              </w:pPr>
                              <w:r>
                                <w:rPr>
                                  <w:color w:val="auto"/>
                                  <w:sz w:val="21"/>
                                  <w:szCs w:val="21"/>
                                </w:rPr>
                                <w:t>石灰土立窑*</w:t>
                              </w:r>
                            </w:p>
                          </w:tc>
                          <w:tc>
                            <w:tcPr>
                              <w:tcW w:w="1393" w:type="dxa"/>
                              <w:tcBorders>
                                <w:top w:val="single" w:color="000000" w:sz="4" w:space="0"/>
                                <w:left w:val="nil"/>
                                <w:bottom w:val="single" w:color="000000" w:sz="4" w:space="0"/>
                                <w:right w:val="single" w:color="000000" w:sz="4" w:space="0"/>
                              </w:tcBorders>
                              <w:vAlign w:val="center"/>
                            </w:tcPr>
                            <w:p w14:paraId="07EFB451">
                              <w:pPr>
                                <w:adjustRightInd w:val="0"/>
                                <w:snapToGrid w:val="0"/>
                                <w:spacing w:before="0" w:after="0" w:line="240" w:lineRule="auto"/>
                                <w:ind w:firstLine="0" w:firstLineChars="0"/>
                                <w:jc w:val="center"/>
                                <w:rPr>
                                  <w:color w:val="auto"/>
                                  <w:sz w:val="21"/>
                                  <w:szCs w:val="21"/>
                                </w:rPr>
                              </w:pPr>
                              <w:r>
                                <w:rPr>
                                  <w:color w:val="auto"/>
                                  <w:sz w:val="21"/>
                                  <w:szCs w:val="21"/>
                                </w:rPr>
                                <w:t>《产业结构调整指导目录（2019 年本）》中淘汰落后类</w:t>
                              </w:r>
                            </w:p>
                          </w:tc>
                        </w:tr>
                        <w:tr w14:paraId="14F5A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1" w:type="dxa"/>
                              <w:tcBorders>
                                <w:top w:val="single" w:color="000000" w:sz="4" w:space="0"/>
                                <w:left w:val="single" w:color="000000" w:sz="4" w:space="0"/>
                                <w:bottom w:val="single" w:color="000000" w:sz="4" w:space="0"/>
                                <w:right w:val="single" w:color="000000" w:sz="4" w:space="0"/>
                              </w:tcBorders>
                              <w:vAlign w:val="center"/>
                            </w:tcPr>
                            <w:p w14:paraId="24BE4F00">
                              <w:pPr>
                                <w:adjustRightInd w:val="0"/>
                                <w:snapToGrid w:val="0"/>
                                <w:spacing w:before="0" w:after="0" w:line="240" w:lineRule="auto"/>
                                <w:ind w:firstLine="0" w:firstLineChars="0"/>
                                <w:jc w:val="center"/>
                                <w:rPr>
                                  <w:color w:val="auto"/>
                                  <w:sz w:val="21"/>
                                  <w:szCs w:val="21"/>
                                </w:rPr>
                              </w:pPr>
                              <w:r>
                                <w:rPr>
                                  <w:color w:val="auto"/>
                                  <w:sz w:val="21"/>
                                  <w:szCs w:val="21"/>
                                </w:rPr>
                                <w:t>3</w:t>
                              </w:r>
                            </w:p>
                          </w:tc>
                          <w:tc>
                            <w:tcPr>
                              <w:tcW w:w="1173" w:type="dxa"/>
                              <w:tcBorders>
                                <w:top w:val="single" w:color="000000" w:sz="4" w:space="0"/>
                                <w:left w:val="nil"/>
                                <w:bottom w:val="single" w:color="000000" w:sz="4" w:space="0"/>
                                <w:right w:val="single" w:color="000000" w:sz="4" w:space="0"/>
                              </w:tcBorders>
                              <w:vAlign w:val="center"/>
                            </w:tcPr>
                            <w:p w14:paraId="48457BA3">
                              <w:pPr>
                                <w:adjustRightInd w:val="0"/>
                                <w:snapToGrid w:val="0"/>
                                <w:spacing w:before="0" w:after="0" w:line="240" w:lineRule="auto"/>
                                <w:ind w:firstLine="0" w:firstLineChars="0"/>
                                <w:jc w:val="center"/>
                                <w:rPr>
                                  <w:color w:val="auto"/>
                                  <w:sz w:val="21"/>
                                  <w:szCs w:val="21"/>
                                </w:rPr>
                              </w:pPr>
                              <w:r>
                                <w:rPr>
                                  <w:color w:val="auto"/>
                                  <w:sz w:val="21"/>
                                  <w:szCs w:val="21"/>
                                </w:rPr>
                                <w:t>炉膛直径3米以下（含3米）燃料类煤气发生炉</w:t>
                              </w:r>
                            </w:p>
                          </w:tc>
                          <w:tc>
                            <w:tcPr>
                              <w:tcW w:w="1393" w:type="dxa"/>
                              <w:tcBorders>
                                <w:top w:val="single" w:color="000000" w:sz="4" w:space="0"/>
                                <w:left w:val="nil"/>
                                <w:bottom w:val="single" w:color="000000" w:sz="4" w:space="0"/>
                                <w:right w:val="single" w:color="000000" w:sz="4" w:space="0"/>
                              </w:tcBorders>
                              <w:vAlign w:val="center"/>
                            </w:tcPr>
                            <w:p w14:paraId="177C747E">
                              <w:pPr>
                                <w:adjustRightInd w:val="0"/>
                                <w:snapToGrid w:val="0"/>
                                <w:spacing w:before="0" w:after="0" w:line="240" w:lineRule="auto"/>
                                <w:ind w:firstLine="0" w:firstLineChars="0"/>
                                <w:jc w:val="center"/>
                                <w:rPr>
                                  <w:color w:val="auto"/>
                                  <w:sz w:val="21"/>
                                  <w:szCs w:val="21"/>
                                </w:rPr>
                              </w:pPr>
                              <w:r>
                                <w:rPr>
                                  <w:color w:val="auto"/>
                                  <w:sz w:val="21"/>
                                  <w:szCs w:val="21"/>
                                </w:rPr>
                                <w:t>《2020年安徽省大气污染防治重点工作任务》要求</w:t>
                              </w:r>
                            </w:p>
                          </w:tc>
                        </w:tr>
                      </w:tbl>
                      <w:p w14:paraId="4198C2EE">
                        <w:pPr>
                          <w:adjustRightInd w:val="0"/>
                          <w:snapToGrid w:val="0"/>
                          <w:spacing w:after="100" w:afterAutospacing="1" w:line="240" w:lineRule="auto"/>
                          <w:ind w:firstLine="0" w:firstLineChars="0"/>
                          <w:rPr>
                            <w:color w:val="auto"/>
                            <w:sz w:val="21"/>
                            <w:szCs w:val="21"/>
                          </w:rPr>
                        </w:pPr>
                      </w:p>
                    </w:tc>
                    <w:tc>
                      <w:tcPr>
                        <w:tcW w:w="654" w:type="dxa"/>
                        <w:tcBorders>
                          <w:top w:val="single" w:color="auto" w:sz="4" w:space="0"/>
                          <w:left w:val="nil"/>
                          <w:bottom w:val="single" w:color="auto" w:sz="4" w:space="0"/>
                          <w:right w:val="single" w:color="auto" w:sz="4" w:space="0"/>
                        </w:tcBorders>
                        <w:vAlign w:val="center"/>
                      </w:tcPr>
                      <w:p w14:paraId="3C31C2D4">
                        <w:pPr>
                          <w:spacing w:before="0" w:after="0" w:line="240" w:lineRule="auto"/>
                          <w:ind w:firstLine="0" w:firstLineChars="0"/>
                          <w:jc w:val="center"/>
                          <w:rPr>
                            <w:color w:val="auto"/>
                            <w:sz w:val="21"/>
                            <w:szCs w:val="21"/>
                          </w:rPr>
                        </w:pPr>
                        <w:r>
                          <w:rPr>
                            <w:color w:val="auto"/>
                            <w:sz w:val="21"/>
                            <w:szCs w:val="21"/>
                          </w:rPr>
                          <w:t>禁止进入</w:t>
                        </w:r>
                      </w:p>
                    </w:tc>
                  </w:tr>
                  <w:tr w14:paraId="3A56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6" w:hRule="atLeast"/>
                      <w:jc w:val="center"/>
                    </w:trPr>
                    <w:tc>
                      <w:tcPr>
                        <w:tcW w:w="793" w:type="dxa"/>
                        <w:vMerge w:val="restart"/>
                        <w:tcBorders>
                          <w:top w:val="nil"/>
                          <w:left w:val="single" w:color="auto" w:sz="4" w:space="0"/>
                          <w:bottom w:val="single" w:color="auto" w:sz="4" w:space="0"/>
                          <w:right w:val="single" w:color="auto" w:sz="4" w:space="0"/>
                        </w:tcBorders>
                        <w:vAlign w:val="center"/>
                      </w:tcPr>
                      <w:p w14:paraId="09B8C892">
                        <w:pPr>
                          <w:spacing w:before="0" w:after="0" w:line="240" w:lineRule="auto"/>
                          <w:ind w:firstLine="0" w:firstLineChars="0"/>
                          <w:rPr>
                            <w:color w:val="auto"/>
                            <w:sz w:val="21"/>
                            <w:szCs w:val="21"/>
                          </w:rPr>
                        </w:pPr>
                        <w:r>
                          <w:rPr>
                            <w:color w:val="auto"/>
                            <w:sz w:val="21"/>
                            <w:szCs w:val="21"/>
                          </w:rPr>
                          <w:t>镁基新材料</w:t>
                        </w:r>
                      </w:p>
                    </w:tc>
                    <w:tc>
                      <w:tcPr>
                        <w:tcW w:w="957" w:type="dxa"/>
                        <w:vMerge w:val="restart"/>
                        <w:tcBorders>
                          <w:top w:val="nil"/>
                          <w:left w:val="nil"/>
                          <w:bottom w:val="single" w:color="auto" w:sz="4" w:space="0"/>
                          <w:right w:val="single" w:color="auto" w:sz="4" w:space="0"/>
                        </w:tcBorders>
                        <w:vAlign w:val="center"/>
                      </w:tcPr>
                      <w:p w14:paraId="62C23368">
                        <w:pPr>
                          <w:spacing w:before="0" w:after="0" w:line="240" w:lineRule="auto"/>
                          <w:ind w:firstLine="0" w:firstLineChars="0"/>
                          <w:rPr>
                            <w:color w:val="auto"/>
                            <w:sz w:val="21"/>
                            <w:szCs w:val="21"/>
                          </w:rPr>
                        </w:pPr>
                        <w:r>
                          <w:rPr>
                            <w:color w:val="auto"/>
                            <w:sz w:val="21"/>
                            <w:szCs w:val="21"/>
                          </w:rPr>
                          <w:t>本次规划环评优化调整</w:t>
                        </w:r>
                      </w:p>
                    </w:tc>
                    <w:tc>
                      <w:tcPr>
                        <w:tcW w:w="1147" w:type="dxa"/>
                        <w:vMerge w:val="restart"/>
                        <w:tcBorders>
                          <w:top w:val="single" w:color="auto" w:sz="4" w:space="0"/>
                          <w:left w:val="nil"/>
                          <w:right w:val="single" w:color="auto" w:sz="4" w:space="0"/>
                        </w:tcBorders>
                        <w:vAlign w:val="center"/>
                      </w:tcPr>
                      <w:p w14:paraId="197693E3">
                        <w:pPr>
                          <w:spacing w:before="0" w:after="0" w:line="240" w:lineRule="auto"/>
                          <w:ind w:firstLine="0" w:firstLineChars="0"/>
                          <w:rPr>
                            <w:color w:val="auto"/>
                            <w:sz w:val="21"/>
                            <w:szCs w:val="21"/>
                          </w:rPr>
                        </w:pPr>
                        <w:r>
                          <w:rPr>
                            <w:color w:val="auto"/>
                            <w:sz w:val="21"/>
                            <w:szCs w:val="21"/>
                          </w:rPr>
                          <w:t>C32有色金属冶炼和压延加工业</w:t>
                        </w:r>
                      </w:p>
                    </w:tc>
                    <w:tc>
                      <w:tcPr>
                        <w:tcW w:w="3227" w:type="dxa"/>
                        <w:tcBorders>
                          <w:top w:val="single" w:color="auto" w:sz="4" w:space="0"/>
                          <w:left w:val="nil"/>
                          <w:bottom w:val="single" w:color="auto" w:sz="4" w:space="0"/>
                          <w:right w:val="single" w:color="auto" w:sz="4" w:space="0"/>
                        </w:tcBorders>
                        <w:vAlign w:val="center"/>
                      </w:tcPr>
                      <w:p w14:paraId="717DDCF6">
                        <w:pPr>
                          <w:spacing w:before="0" w:after="0" w:line="240" w:lineRule="auto"/>
                          <w:ind w:firstLine="0" w:firstLineChars="0"/>
                          <w:rPr>
                            <w:color w:val="auto"/>
                            <w:sz w:val="21"/>
                            <w:szCs w:val="21"/>
                          </w:rPr>
                        </w:pPr>
                        <w:r>
                          <w:rPr>
                            <w:color w:val="auto"/>
                            <w:spacing w:val="-2"/>
                            <w:sz w:val="21"/>
                            <w:szCs w:val="21"/>
                          </w:rPr>
                          <w:t>产业方面：</w:t>
                        </w:r>
                        <w:r>
                          <w:rPr>
                            <w:color w:val="auto"/>
                            <w:sz w:val="21"/>
                            <w:szCs w:val="21"/>
                          </w:rPr>
                          <w:t>C3211铜冶炼、C3211铅锌冶炼、C3213镍钴冶炼、C3214锡冶炼、C3215锑冶炼、C3218硅冶炼、C3219其他常用有色金属冶炼、C322贵金属冶炼、C323稀土金属冶炼，C324有色金属合金制造中涉及重金属的合金制造，C325有色金属压延加工中涉及重金属的压延加工业，C3216铝冶炼，C3217镁冶炼中的再生镁、镁粒（粉）、镁环（不含压铸等环节回炉处理边角料）</w:t>
                        </w:r>
                      </w:p>
                    </w:tc>
                    <w:tc>
                      <w:tcPr>
                        <w:tcW w:w="654" w:type="dxa"/>
                        <w:tcBorders>
                          <w:top w:val="single" w:color="auto" w:sz="4" w:space="0"/>
                          <w:left w:val="nil"/>
                          <w:bottom w:val="single" w:color="auto" w:sz="4" w:space="0"/>
                          <w:right w:val="single" w:color="auto" w:sz="4" w:space="0"/>
                        </w:tcBorders>
                        <w:vAlign w:val="center"/>
                      </w:tcPr>
                      <w:p w14:paraId="139B3868">
                        <w:pPr>
                          <w:spacing w:before="0" w:after="0" w:line="240" w:lineRule="auto"/>
                          <w:ind w:firstLine="0" w:firstLineChars="0"/>
                          <w:jc w:val="center"/>
                          <w:rPr>
                            <w:color w:val="auto"/>
                            <w:sz w:val="21"/>
                            <w:szCs w:val="21"/>
                          </w:rPr>
                        </w:pPr>
                        <w:r>
                          <w:rPr>
                            <w:color w:val="auto"/>
                            <w:sz w:val="21"/>
                            <w:szCs w:val="21"/>
                          </w:rPr>
                          <w:t>禁止进入</w:t>
                        </w:r>
                      </w:p>
                    </w:tc>
                  </w:tr>
                  <w:tr w14:paraId="270EB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jc w:val="center"/>
                    </w:trPr>
                    <w:tc>
                      <w:tcPr>
                        <w:tcW w:w="793" w:type="dxa"/>
                        <w:vMerge w:val="continue"/>
                        <w:tcBorders>
                          <w:left w:val="single" w:color="auto" w:sz="4" w:space="0"/>
                          <w:right w:val="single" w:color="auto" w:sz="4" w:space="0"/>
                        </w:tcBorders>
                        <w:vAlign w:val="center"/>
                      </w:tcPr>
                      <w:p w14:paraId="17E5231B">
                        <w:pPr>
                          <w:spacing w:before="0" w:after="0" w:line="240" w:lineRule="auto"/>
                          <w:ind w:firstLine="0" w:firstLineChars="0"/>
                          <w:rPr>
                            <w:color w:val="auto"/>
                            <w:sz w:val="21"/>
                            <w:szCs w:val="21"/>
                          </w:rPr>
                        </w:pPr>
                      </w:p>
                    </w:tc>
                    <w:tc>
                      <w:tcPr>
                        <w:tcW w:w="957" w:type="dxa"/>
                        <w:vMerge w:val="continue"/>
                        <w:tcBorders>
                          <w:left w:val="nil"/>
                          <w:right w:val="single" w:color="auto" w:sz="4" w:space="0"/>
                        </w:tcBorders>
                        <w:vAlign w:val="center"/>
                      </w:tcPr>
                      <w:p w14:paraId="48FDE70B">
                        <w:pPr>
                          <w:spacing w:before="0" w:after="0" w:line="240" w:lineRule="auto"/>
                          <w:ind w:firstLine="0" w:firstLineChars="0"/>
                          <w:rPr>
                            <w:color w:val="auto"/>
                            <w:sz w:val="21"/>
                            <w:szCs w:val="21"/>
                          </w:rPr>
                        </w:pPr>
                      </w:p>
                    </w:tc>
                    <w:tc>
                      <w:tcPr>
                        <w:tcW w:w="1147" w:type="dxa"/>
                        <w:vMerge w:val="continue"/>
                        <w:tcBorders>
                          <w:left w:val="nil"/>
                          <w:bottom w:val="single" w:color="auto" w:sz="4" w:space="0"/>
                          <w:right w:val="single" w:color="auto" w:sz="4" w:space="0"/>
                        </w:tcBorders>
                        <w:vAlign w:val="center"/>
                      </w:tcPr>
                      <w:p w14:paraId="71482494">
                        <w:pPr>
                          <w:spacing w:before="0" w:after="0" w:line="240" w:lineRule="auto"/>
                          <w:ind w:firstLine="0" w:firstLineChars="0"/>
                          <w:rPr>
                            <w:color w:val="auto"/>
                            <w:sz w:val="21"/>
                            <w:szCs w:val="21"/>
                          </w:rPr>
                        </w:pPr>
                      </w:p>
                    </w:tc>
                    <w:tc>
                      <w:tcPr>
                        <w:tcW w:w="3227" w:type="dxa"/>
                        <w:tcBorders>
                          <w:top w:val="single" w:color="auto" w:sz="4" w:space="0"/>
                          <w:left w:val="nil"/>
                          <w:bottom w:val="single" w:color="auto" w:sz="4" w:space="0"/>
                          <w:right w:val="single" w:color="auto" w:sz="4" w:space="0"/>
                        </w:tcBorders>
                        <w:vAlign w:val="center"/>
                      </w:tcPr>
                      <w:p w14:paraId="181D10C4">
                        <w:pPr>
                          <w:spacing w:before="0" w:after="0" w:line="240" w:lineRule="auto"/>
                          <w:ind w:firstLine="0" w:firstLineChars="0"/>
                          <w:rPr>
                            <w:color w:val="auto"/>
                            <w:spacing w:val="-2"/>
                            <w:sz w:val="21"/>
                            <w:szCs w:val="21"/>
                          </w:rPr>
                        </w:pPr>
                        <w:r>
                          <w:rPr>
                            <w:color w:val="auto"/>
                            <w:spacing w:val="-2"/>
                            <w:sz w:val="21"/>
                            <w:szCs w:val="21"/>
                          </w:rPr>
                          <w:t>清洁生产方面：C3217镁冶炼按照《镁冶炼行业清洁生产水平评价技术要求》（YS/T 841-2012），清洁生产水平低于一级标准的禁止进入</w:t>
                        </w:r>
                      </w:p>
                    </w:tc>
                    <w:tc>
                      <w:tcPr>
                        <w:tcW w:w="654" w:type="dxa"/>
                        <w:tcBorders>
                          <w:top w:val="single" w:color="auto" w:sz="4" w:space="0"/>
                          <w:left w:val="nil"/>
                          <w:bottom w:val="single" w:color="auto" w:sz="4" w:space="0"/>
                          <w:right w:val="single" w:color="auto" w:sz="4" w:space="0"/>
                        </w:tcBorders>
                        <w:vAlign w:val="center"/>
                      </w:tcPr>
                      <w:p w14:paraId="2108F673">
                        <w:pPr>
                          <w:spacing w:before="0" w:after="0" w:line="240" w:lineRule="auto"/>
                          <w:ind w:firstLine="0" w:firstLineChars="0"/>
                          <w:jc w:val="center"/>
                          <w:rPr>
                            <w:color w:val="auto"/>
                            <w:sz w:val="21"/>
                            <w:szCs w:val="21"/>
                          </w:rPr>
                        </w:pPr>
                        <w:r>
                          <w:rPr>
                            <w:color w:val="auto"/>
                            <w:sz w:val="21"/>
                            <w:szCs w:val="21"/>
                          </w:rPr>
                          <w:t>禁止进入</w:t>
                        </w:r>
                      </w:p>
                    </w:tc>
                  </w:tr>
                  <w:tr w14:paraId="215F7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77DB48EF">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5CA8D6D7">
                        <w:pPr>
                          <w:widowControl/>
                          <w:spacing w:before="0" w:after="0" w:line="240" w:lineRule="auto"/>
                          <w:ind w:firstLine="0" w:firstLineChars="0"/>
                          <w:jc w:val="left"/>
                          <w:rPr>
                            <w:color w:val="auto"/>
                            <w:sz w:val="21"/>
                            <w:szCs w:val="21"/>
                          </w:rPr>
                        </w:pPr>
                      </w:p>
                    </w:tc>
                    <w:tc>
                      <w:tcPr>
                        <w:tcW w:w="1147" w:type="dxa"/>
                        <w:vMerge w:val="restart"/>
                        <w:tcBorders>
                          <w:top w:val="nil"/>
                          <w:left w:val="nil"/>
                          <w:bottom w:val="single" w:color="auto" w:sz="4" w:space="0"/>
                          <w:right w:val="single" w:color="auto" w:sz="4" w:space="0"/>
                        </w:tcBorders>
                        <w:vAlign w:val="center"/>
                      </w:tcPr>
                      <w:p w14:paraId="263D4BB5">
                        <w:pPr>
                          <w:spacing w:before="0" w:after="0" w:line="240" w:lineRule="auto"/>
                          <w:ind w:firstLine="0" w:firstLineChars="0"/>
                          <w:rPr>
                            <w:color w:val="auto"/>
                            <w:sz w:val="21"/>
                            <w:szCs w:val="21"/>
                          </w:rPr>
                        </w:pPr>
                        <w:r>
                          <w:rPr>
                            <w:color w:val="auto"/>
                            <w:sz w:val="21"/>
                            <w:szCs w:val="21"/>
                          </w:rPr>
                          <w:t>C33金属制品制造</w:t>
                        </w:r>
                      </w:p>
                    </w:tc>
                    <w:tc>
                      <w:tcPr>
                        <w:tcW w:w="3227" w:type="dxa"/>
                        <w:vMerge w:val="restart"/>
                        <w:tcBorders>
                          <w:top w:val="single" w:color="auto" w:sz="4" w:space="0"/>
                          <w:left w:val="nil"/>
                          <w:right w:val="single" w:color="auto" w:sz="4" w:space="0"/>
                        </w:tcBorders>
                        <w:vAlign w:val="center"/>
                      </w:tcPr>
                      <w:p w14:paraId="39CDB048">
                        <w:pPr>
                          <w:spacing w:before="0" w:after="0" w:line="240" w:lineRule="auto"/>
                          <w:ind w:firstLine="0" w:firstLineChars="0"/>
                          <w:rPr>
                            <w:color w:val="auto"/>
                            <w:sz w:val="21"/>
                            <w:szCs w:val="21"/>
                          </w:rPr>
                        </w:pPr>
                        <w:r>
                          <w:rPr>
                            <w:color w:val="auto"/>
                            <w:sz w:val="21"/>
                            <w:szCs w:val="21"/>
                          </w:rPr>
                          <w:t>产业方面：涉及重金属的金属制品制造业，C336金属表面处理及热处理的电镀，抛光、阳极氧化防腐处理，C337 搪瓷制品制造，C339铸造及其他金属制品制造中C3391黑色金属铸造、C3392有色金属铸造，（实施等量或减量置换，新建或改造升级的精密铸造建设项目除外）</w:t>
                        </w:r>
                      </w:p>
                    </w:tc>
                    <w:tc>
                      <w:tcPr>
                        <w:tcW w:w="654" w:type="dxa"/>
                        <w:tcBorders>
                          <w:top w:val="nil"/>
                          <w:left w:val="nil"/>
                          <w:bottom w:val="single" w:color="auto" w:sz="4" w:space="0"/>
                          <w:right w:val="single" w:color="auto" w:sz="4" w:space="0"/>
                        </w:tcBorders>
                        <w:vAlign w:val="center"/>
                      </w:tcPr>
                      <w:p w14:paraId="41D2D025">
                        <w:pPr>
                          <w:spacing w:before="0" w:after="0" w:line="240" w:lineRule="auto"/>
                          <w:ind w:firstLine="0" w:firstLineChars="0"/>
                          <w:jc w:val="center"/>
                          <w:rPr>
                            <w:color w:val="auto"/>
                            <w:sz w:val="21"/>
                            <w:szCs w:val="21"/>
                          </w:rPr>
                        </w:pPr>
                        <w:r>
                          <w:rPr>
                            <w:color w:val="auto"/>
                            <w:sz w:val="21"/>
                            <w:szCs w:val="21"/>
                          </w:rPr>
                          <w:t>禁止进入</w:t>
                        </w:r>
                      </w:p>
                    </w:tc>
                  </w:tr>
                  <w:tr w14:paraId="1B873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231591F5">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47FF3B55">
                        <w:pPr>
                          <w:widowControl/>
                          <w:spacing w:before="0" w:after="0" w:line="240" w:lineRule="auto"/>
                          <w:ind w:firstLine="0" w:firstLineChars="0"/>
                          <w:jc w:val="left"/>
                          <w:rPr>
                            <w:color w:val="auto"/>
                            <w:sz w:val="21"/>
                            <w:szCs w:val="21"/>
                          </w:rPr>
                        </w:pPr>
                      </w:p>
                    </w:tc>
                    <w:tc>
                      <w:tcPr>
                        <w:tcW w:w="1147" w:type="dxa"/>
                        <w:vMerge w:val="continue"/>
                        <w:tcBorders>
                          <w:top w:val="nil"/>
                          <w:left w:val="nil"/>
                          <w:bottom w:val="single" w:color="auto" w:sz="4" w:space="0"/>
                          <w:right w:val="single" w:color="auto" w:sz="4" w:space="0"/>
                        </w:tcBorders>
                        <w:vAlign w:val="center"/>
                      </w:tcPr>
                      <w:p w14:paraId="478F214C">
                        <w:pPr>
                          <w:widowControl/>
                          <w:spacing w:before="0" w:after="0" w:line="240" w:lineRule="auto"/>
                          <w:ind w:firstLine="0" w:firstLineChars="0"/>
                          <w:jc w:val="left"/>
                          <w:rPr>
                            <w:color w:val="auto"/>
                            <w:sz w:val="21"/>
                            <w:szCs w:val="21"/>
                          </w:rPr>
                        </w:pPr>
                      </w:p>
                    </w:tc>
                    <w:tc>
                      <w:tcPr>
                        <w:tcW w:w="3227" w:type="dxa"/>
                        <w:vMerge w:val="continue"/>
                        <w:tcBorders>
                          <w:left w:val="nil"/>
                          <w:bottom w:val="single" w:color="auto" w:sz="4" w:space="0"/>
                          <w:right w:val="single" w:color="auto" w:sz="4" w:space="0"/>
                        </w:tcBorders>
                        <w:vAlign w:val="center"/>
                      </w:tcPr>
                      <w:p w14:paraId="61D74C9F">
                        <w:pPr>
                          <w:spacing w:before="0" w:after="0" w:line="240" w:lineRule="auto"/>
                          <w:ind w:firstLine="0" w:firstLineChars="0"/>
                          <w:rPr>
                            <w:color w:val="auto"/>
                            <w:sz w:val="21"/>
                            <w:szCs w:val="21"/>
                          </w:rPr>
                        </w:pPr>
                      </w:p>
                    </w:tc>
                    <w:tc>
                      <w:tcPr>
                        <w:tcW w:w="654" w:type="dxa"/>
                        <w:tcBorders>
                          <w:top w:val="single" w:color="auto" w:sz="4" w:space="0"/>
                          <w:left w:val="nil"/>
                          <w:bottom w:val="single" w:color="auto" w:sz="4" w:space="0"/>
                          <w:right w:val="single" w:color="auto" w:sz="4" w:space="0"/>
                        </w:tcBorders>
                        <w:vAlign w:val="center"/>
                      </w:tcPr>
                      <w:p w14:paraId="476FEE74">
                        <w:pPr>
                          <w:spacing w:before="0" w:after="0" w:line="240" w:lineRule="auto"/>
                          <w:ind w:firstLine="0" w:firstLineChars="0"/>
                          <w:jc w:val="center"/>
                          <w:rPr>
                            <w:color w:val="auto"/>
                            <w:sz w:val="21"/>
                            <w:szCs w:val="21"/>
                          </w:rPr>
                        </w:pPr>
                        <w:r>
                          <w:rPr>
                            <w:color w:val="auto"/>
                            <w:sz w:val="21"/>
                            <w:szCs w:val="21"/>
                          </w:rPr>
                          <w:t>禁止进入</w:t>
                        </w:r>
                      </w:p>
                    </w:tc>
                  </w:tr>
                  <w:tr w14:paraId="01FCB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93" w:type="dxa"/>
                        <w:vMerge w:val="restart"/>
                        <w:tcBorders>
                          <w:top w:val="nil"/>
                          <w:left w:val="single" w:color="auto" w:sz="4" w:space="0"/>
                          <w:bottom w:val="single" w:color="auto" w:sz="4" w:space="0"/>
                          <w:right w:val="single" w:color="auto" w:sz="4" w:space="0"/>
                        </w:tcBorders>
                        <w:vAlign w:val="center"/>
                      </w:tcPr>
                      <w:p w14:paraId="5528FC06">
                        <w:pPr>
                          <w:spacing w:before="0" w:after="0" w:line="240" w:lineRule="auto"/>
                          <w:ind w:firstLine="0" w:firstLineChars="0"/>
                          <w:rPr>
                            <w:color w:val="auto"/>
                            <w:sz w:val="21"/>
                            <w:szCs w:val="21"/>
                          </w:rPr>
                        </w:pPr>
                        <w:r>
                          <w:rPr>
                            <w:color w:val="auto"/>
                            <w:sz w:val="21"/>
                            <w:szCs w:val="21"/>
                          </w:rPr>
                          <w:t>其他</w:t>
                        </w:r>
                      </w:p>
                    </w:tc>
                    <w:tc>
                      <w:tcPr>
                        <w:tcW w:w="957" w:type="dxa"/>
                        <w:vMerge w:val="restart"/>
                        <w:tcBorders>
                          <w:top w:val="nil"/>
                          <w:left w:val="nil"/>
                          <w:bottom w:val="single" w:color="auto" w:sz="4" w:space="0"/>
                          <w:right w:val="single" w:color="auto" w:sz="4" w:space="0"/>
                        </w:tcBorders>
                        <w:vAlign w:val="center"/>
                      </w:tcPr>
                      <w:p w14:paraId="258AFD49">
                        <w:pPr>
                          <w:spacing w:before="0" w:after="0" w:line="240" w:lineRule="auto"/>
                          <w:ind w:firstLine="0" w:firstLineChars="0"/>
                          <w:rPr>
                            <w:color w:val="auto"/>
                            <w:sz w:val="21"/>
                            <w:szCs w:val="21"/>
                          </w:rPr>
                        </w:pPr>
                        <w:r>
                          <w:rPr>
                            <w:color w:val="auto"/>
                            <w:sz w:val="21"/>
                            <w:szCs w:val="21"/>
                          </w:rPr>
                          <w:t>原规划环评及本次规划环评优化调整</w:t>
                        </w:r>
                      </w:p>
                    </w:tc>
                    <w:tc>
                      <w:tcPr>
                        <w:tcW w:w="4374" w:type="dxa"/>
                        <w:gridSpan w:val="2"/>
                        <w:tcBorders>
                          <w:top w:val="single" w:color="auto" w:sz="4" w:space="0"/>
                          <w:left w:val="nil"/>
                          <w:bottom w:val="single" w:color="auto" w:sz="4" w:space="0"/>
                          <w:right w:val="single" w:color="auto" w:sz="4" w:space="0"/>
                        </w:tcBorders>
                        <w:vAlign w:val="center"/>
                      </w:tcPr>
                      <w:p w14:paraId="4952C538">
                        <w:pPr>
                          <w:spacing w:before="0" w:after="0" w:line="240" w:lineRule="auto"/>
                          <w:ind w:firstLine="0" w:firstLineChars="0"/>
                          <w:rPr>
                            <w:color w:val="auto"/>
                            <w:sz w:val="21"/>
                            <w:szCs w:val="21"/>
                          </w:rPr>
                        </w:pPr>
                        <w:r>
                          <w:rPr>
                            <w:color w:val="auto"/>
                            <w:spacing w:val="-4"/>
                            <w:sz w:val="21"/>
                            <w:szCs w:val="21"/>
                          </w:rPr>
                          <w:t>C28化学纤维制造业</w:t>
                        </w:r>
                      </w:p>
                    </w:tc>
                    <w:tc>
                      <w:tcPr>
                        <w:tcW w:w="654" w:type="dxa"/>
                        <w:tcBorders>
                          <w:top w:val="single" w:color="auto" w:sz="4" w:space="0"/>
                          <w:left w:val="nil"/>
                          <w:bottom w:val="single" w:color="auto" w:sz="4" w:space="0"/>
                          <w:right w:val="single" w:color="auto" w:sz="4" w:space="0"/>
                        </w:tcBorders>
                        <w:vAlign w:val="center"/>
                      </w:tcPr>
                      <w:p w14:paraId="57E39009">
                        <w:pPr>
                          <w:spacing w:before="0" w:after="0" w:line="240" w:lineRule="auto"/>
                          <w:ind w:firstLine="0" w:firstLineChars="0"/>
                          <w:jc w:val="center"/>
                          <w:rPr>
                            <w:color w:val="auto"/>
                            <w:sz w:val="21"/>
                            <w:szCs w:val="21"/>
                          </w:rPr>
                        </w:pPr>
                        <w:r>
                          <w:rPr>
                            <w:color w:val="auto"/>
                            <w:sz w:val="21"/>
                            <w:szCs w:val="21"/>
                          </w:rPr>
                          <w:t>禁止进入</w:t>
                        </w:r>
                      </w:p>
                    </w:tc>
                  </w:tr>
                  <w:tr w14:paraId="3A1C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199F2F86">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4E1E2998">
                        <w:pPr>
                          <w:widowControl/>
                          <w:spacing w:before="0" w:after="0" w:line="240" w:lineRule="auto"/>
                          <w:ind w:firstLine="0" w:firstLineChars="0"/>
                          <w:jc w:val="left"/>
                          <w:rPr>
                            <w:color w:val="auto"/>
                            <w:sz w:val="21"/>
                            <w:szCs w:val="21"/>
                          </w:rPr>
                        </w:pPr>
                      </w:p>
                    </w:tc>
                    <w:tc>
                      <w:tcPr>
                        <w:tcW w:w="4374" w:type="dxa"/>
                        <w:gridSpan w:val="2"/>
                        <w:tcBorders>
                          <w:top w:val="single" w:color="auto" w:sz="4" w:space="0"/>
                          <w:left w:val="nil"/>
                          <w:bottom w:val="single" w:color="auto" w:sz="4" w:space="0"/>
                          <w:right w:val="single" w:color="auto" w:sz="4" w:space="0"/>
                        </w:tcBorders>
                        <w:vAlign w:val="center"/>
                      </w:tcPr>
                      <w:p w14:paraId="4D316D65">
                        <w:pPr>
                          <w:spacing w:before="0" w:after="0" w:line="240" w:lineRule="auto"/>
                          <w:ind w:firstLine="0" w:firstLineChars="0"/>
                          <w:rPr>
                            <w:color w:val="auto"/>
                            <w:sz w:val="21"/>
                            <w:szCs w:val="21"/>
                          </w:rPr>
                        </w:pPr>
                        <w:r>
                          <w:rPr>
                            <w:color w:val="auto"/>
                            <w:spacing w:val="-3"/>
                            <w:sz w:val="21"/>
                            <w:szCs w:val="21"/>
                          </w:rPr>
                          <w:t>C384电池制造业中（C3842镍氢电池制造及C3843铅蓄电池制造）</w:t>
                        </w:r>
                      </w:p>
                    </w:tc>
                    <w:tc>
                      <w:tcPr>
                        <w:tcW w:w="654" w:type="dxa"/>
                        <w:tcBorders>
                          <w:top w:val="single" w:color="auto" w:sz="4" w:space="0"/>
                          <w:left w:val="nil"/>
                          <w:bottom w:val="single" w:color="auto" w:sz="4" w:space="0"/>
                          <w:right w:val="single" w:color="auto" w:sz="4" w:space="0"/>
                        </w:tcBorders>
                        <w:vAlign w:val="center"/>
                      </w:tcPr>
                      <w:p w14:paraId="086BD562">
                        <w:pPr>
                          <w:spacing w:before="0" w:after="0" w:line="240" w:lineRule="auto"/>
                          <w:ind w:firstLine="0" w:firstLineChars="0"/>
                          <w:jc w:val="center"/>
                          <w:rPr>
                            <w:color w:val="auto"/>
                            <w:sz w:val="21"/>
                            <w:szCs w:val="21"/>
                          </w:rPr>
                        </w:pPr>
                        <w:r>
                          <w:rPr>
                            <w:color w:val="auto"/>
                            <w:sz w:val="21"/>
                            <w:szCs w:val="21"/>
                          </w:rPr>
                          <w:t>禁止进入</w:t>
                        </w:r>
                      </w:p>
                    </w:tc>
                  </w:tr>
                  <w:tr w14:paraId="1DC7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5C636616">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224E6ED9">
                        <w:pPr>
                          <w:widowControl/>
                          <w:spacing w:before="0" w:after="0" w:line="240" w:lineRule="auto"/>
                          <w:ind w:firstLine="0" w:firstLineChars="0"/>
                          <w:jc w:val="left"/>
                          <w:rPr>
                            <w:color w:val="auto"/>
                            <w:sz w:val="21"/>
                            <w:szCs w:val="21"/>
                          </w:rPr>
                        </w:pPr>
                      </w:p>
                    </w:tc>
                    <w:tc>
                      <w:tcPr>
                        <w:tcW w:w="4374" w:type="dxa"/>
                        <w:gridSpan w:val="2"/>
                        <w:tcBorders>
                          <w:top w:val="single" w:color="auto" w:sz="4" w:space="0"/>
                          <w:left w:val="nil"/>
                          <w:bottom w:val="single" w:color="auto" w:sz="4" w:space="0"/>
                          <w:right w:val="single" w:color="auto" w:sz="4" w:space="0"/>
                        </w:tcBorders>
                        <w:vAlign w:val="center"/>
                      </w:tcPr>
                      <w:p w14:paraId="4C2E847D">
                        <w:pPr>
                          <w:spacing w:before="0" w:after="0" w:line="240" w:lineRule="auto"/>
                          <w:ind w:firstLine="0" w:firstLineChars="0"/>
                          <w:rPr>
                            <w:color w:val="auto"/>
                            <w:sz w:val="21"/>
                            <w:szCs w:val="21"/>
                          </w:rPr>
                        </w:pPr>
                        <w:r>
                          <w:rPr>
                            <w:color w:val="auto"/>
                            <w:spacing w:val="-3"/>
                            <w:sz w:val="21"/>
                            <w:szCs w:val="21"/>
                          </w:rPr>
                          <w:t>C42废弃资源综合利用中的废电池、废油炼油、皮革废料、造纸废料、橡胶废料、废旧农膜回收</w:t>
                        </w:r>
                      </w:p>
                    </w:tc>
                    <w:tc>
                      <w:tcPr>
                        <w:tcW w:w="654" w:type="dxa"/>
                        <w:tcBorders>
                          <w:top w:val="single" w:color="auto" w:sz="4" w:space="0"/>
                          <w:left w:val="nil"/>
                          <w:bottom w:val="single" w:color="auto" w:sz="4" w:space="0"/>
                          <w:right w:val="single" w:color="auto" w:sz="4" w:space="0"/>
                        </w:tcBorders>
                        <w:vAlign w:val="center"/>
                      </w:tcPr>
                      <w:p w14:paraId="5BD1B99B">
                        <w:pPr>
                          <w:spacing w:before="0" w:after="0" w:line="240" w:lineRule="auto"/>
                          <w:ind w:firstLine="0" w:firstLineChars="0"/>
                          <w:jc w:val="center"/>
                          <w:rPr>
                            <w:color w:val="auto"/>
                            <w:sz w:val="21"/>
                            <w:szCs w:val="21"/>
                          </w:rPr>
                        </w:pPr>
                        <w:r>
                          <w:rPr>
                            <w:color w:val="auto"/>
                            <w:sz w:val="21"/>
                            <w:szCs w:val="21"/>
                          </w:rPr>
                          <w:t>禁止进入</w:t>
                        </w:r>
                      </w:p>
                    </w:tc>
                  </w:tr>
                  <w:tr w14:paraId="6B88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4EC71C93">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31C49670">
                        <w:pPr>
                          <w:widowControl/>
                          <w:spacing w:before="0" w:after="0" w:line="240" w:lineRule="auto"/>
                          <w:ind w:firstLine="0" w:firstLineChars="0"/>
                          <w:jc w:val="left"/>
                          <w:rPr>
                            <w:color w:val="auto"/>
                            <w:sz w:val="21"/>
                            <w:szCs w:val="21"/>
                          </w:rPr>
                        </w:pPr>
                      </w:p>
                    </w:tc>
                    <w:tc>
                      <w:tcPr>
                        <w:tcW w:w="4374" w:type="dxa"/>
                        <w:gridSpan w:val="2"/>
                        <w:tcBorders>
                          <w:top w:val="single" w:color="auto" w:sz="4" w:space="0"/>
                          <w:left w:val="nil"/>
                          <w:bottom w:val="single" w:color="auto" w:sz="4" w:space="0"/>
                          <w:right w:val="single" w:color="auto" w:sz="4" w:space="0"/>
                        </w:tcBorders>
                        <w:vAlign w:val="center"/>
                      </w:tcPr>
                      <w:p w14:paraId="4FBED853">
                        <w:pPr>
                          <w:spacing w:before="0" w:after="0" w:line="240" w:lineRule="auto"/>
                          <w:ind w:firstLine="0" w:firstLineChars="0"/>
                          <w:rPr>
                            <w:color w:val="auto"/>
                            <w:sz w:val="21"/>
                            <w:szCs w:val="21"/>
                          </w:rPr>
                        </w:pPr>
                        <w:r>
                          <w:rPr>
                            <w:color w:val="auto"/>
                            <w:spacing w:val="-3"/>
                            <w:sz w:val="21"/>
                            <w:szCs w:val="21"/>
                          </w:rPr>
                          <w:t>C17纺织业中涉及印染精加工</w:t>
                        </w:r>
                      </w:p>
                    </w:tc>
                    <w:tc>
                      <w:tcPr>
                        <w:tcW w:w="654" w:type="dxa"/>
                        <w:tcBorders>
                          <w:top w:val="single" w:color="auto" w:sz="4" w:space="0"/>
                          <w:left w:val="nil"/>
                          <w:bottom w:val="single" w:color="auto" w:sz="4" w:space="0"/>
                          <w:right w:val="single" w:color="auto" w:sz="4" w:space="0"/>
                        </w:tcBorders>
                        <w:vAlign w:val="center"/>
                      </w:tcPr>
                      <w:p w14:paraId="03E5AAF1">
                        <w:pPr>
                          <w:spacing w:before="0" w:after="0" w:line="240" w:lineRule="auto"/>
                          <w:ind w:firstLine="0" w:firstLineChars="0"/>
                          <w:jc w:val="center"/>
                          <w:rPr>
                            <w:color w:val="auto"/>
                            <w:sz w:val="21"/>
                            <w:szCs w:val="21"/>
                          </w:rPr>
                        </w:pPr>
                        <w:r>
                          <w:rPr>
                            <w:color w:val="auto"/>
                            <w:sz w:val="21"/>
                            <w:szCs w:val="21"/>
                          </w:rPr>
                          <w:t>禁止进入</w:t>
                        </w:r>
                      </w:p>
                    </w:tc>
                  </w:tr>
                  <w:tr w14:paraId="2DA91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164C8E29">
                        <w:pPr>
                          <w:widowControl/>
                          <w:spacing w:before="0" w:after="0" w:line="240" w:lineRule="auto"/>
                          <w:ind w:firstLine="0" w:firstLineChars="0"/>
                          <w:jc w:val="left"/>
                          <w:rPr>
                            <w:color w:val="auto"/>
                            <w:sz w:val="21"/>
                            <w:szCs w:val="21"/>
                          </w:rPr>
                        </w:pPr>
                      </w:p>
                    </w:tc>
                    <w:tc>
                      <w:tcPr>
                        <w:tcW w:w="957" w:type="dxa"/>
                        <w:vMerge w:val="restart"/>
                        <w:tcBorders>
                          <w:top w:val="nil"/>
                          <w:left w:val="nil"/>
                          <w:bottom w:val="single" w:color="auto" w:sz="4" w:space="0"/>
                          <w:right w:val="single" w:color="auto" w:sz="4" w:space="0"/>
                        </w:tcBorders>
                        <w:vAlign w:val="center"/>
                      </w:tcPr>
                      <w:p w14:paraId="326AF973">
                        <w:pPr>
                          <w:spacing w:before="0" w:after="0" w:line="240" w:lineRule="auto"/>
                          <w:ind w:firstLine="0" w:firstLineChars="0"/>
                          <w:rPr>
                            <w:color w:val="auto"/>
                            <w:sz w:val="21"/>
                            <w:szCs w:val="21"/>
                          </w:rPr>
                        </w:pPr>
                        <w:r>
                          <w:rPr>
                            <w:color w:val="auto"/>
                            <w:sz w:val="21"/>
                            <w:szCs w:val="21"/>
                          </w:rPr>
                          <w:t>《市场准入负面清单草案》</w:t>
                        </w:r>
                      </w:p>
                    </w:tc>
                    <w:tc>
                      <w:tcPr>
                        <w:tcW w:w="4374" w:type="dxa"/>
                        <w:gridSpan w:val="2"/>
                        <w:tcBorders>
                          <w:top w:val="single" w:color="auto" w:sz="4" w:space="0"/>
                          <w:left w:val="nil"/>
                          <w:bottom w:val="single" w:color="auto" w:sz="4" w:space="0"/>
                          <w:right w:val="single" w:color="auto" w:sz="4" w:space="0"/>
                        </w:tcBorders>
                        <w:vAlign w:val="center"/>
                      </w:tcPr>
                      <w:p w14:paraId="3222A577">
                        <w:pPr>
                          <w:spacing w:before="0" w:after="0" w:line="240" w:lineRule="auto"/>
                          <w:ind w:firstLine="0" w:firstLineChars="0"/>
                          <w:rPr>
                            <w:color w:val="auto"/>
                            <w:sz w:val="21"/>
                            <w:szCs w:val="21"/>
                          </w:rPr>
                        </w:pPr>
                        <w:r>
                          <w:rPr>
                            <w:color w:val="auto"/>
                            <w:sz w:val="21"/>
                            <w:szCs w:val="21"/>
                          </w:rPr>
                          <w:t>禁止类</w:t>
                        </w:r>
                      </w:p>
                    </w:tc>
                    <w:tc>
                      <w:tcPr>
                        <w:tcW w:w="654" w:type="dxa"/>
                        <w:tcBorders>
                          <w:top w:val="single" w:color="auto" w:sz="4" w:space="0"/>
                          <w:left w:val="nil"/>
                          <w:bottom w:val="single" w:color="auto" w:sz="4" w:space="0"/>
                          <w:right w:val="single" w:color="auto" w:sz="4" w:space="0"/>
                        </w:tcBorders>
                        <w:vAlign w:val="center"/>
                      </w:tcPr>
                      <w:p w14:paraId="61626D82">
                        <w:pPr>
                          <w:spacing w:before="0" w:after="0" w:line="240" w:lineRule="auto"/>
                          <w:ind w:firstLine="0" w:firstLineChars="0"/>
                          <w:jc w:val="center"/>
                          <w:rPr>
                            <w:color w:val="auto"/>
                            <w:sz w:val="21"/>
                            <w:szCs w:val="21"/>
                          </w:rPr>
                        </w:pPr>
                        <w:r>
                          <w:rPr>
                            <w:color w:val="auto"/>
                            <w:sz w:val="21"/>
                            <w:szCs w:val="21"/>
                          </w:rPr>
                          <w:t>禁止进入</w:t>
                        </w:r>
                      </w:p>
                    </w:tc>
                  </w:tr>
                  <w:tr w14:paraId="7EE8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11FF37F3">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7EDF22C0">
                        <w:pPr>
                          <w:widowControl/>
                          <w:spacing w:before="0" w:after="0" w:line="240" w:lineRule="auto"/>
                          <w:ind w:firstLine="0" w:firstLineChars="0"/>
                          <w:jc w:val="left"/>
                          <w:rPr>
                            <w:color w:val="auto"/>
                            <w:sz w:val="21"/>
                            <w:szCs w:val="21"/>
                          </w:rPr>
                        </w:pPr>
                      </w:p>
                    </w:tc>
                    <w:tc>
                      <w:tcPr>
                        <w:tcW w:w="4374" w:type="dxa"/>
                        <w:gridSpan w:val="2"/>
                        <w:tcBorders>
                          <w:top w:val="single" w:color="auto" w:sz="4" w:space="0"/>
                          <w:left w:val="nil"/>
                          <w:bottom w:val="single" w:color="auto" w:sz="4" w:space="0"/>
                          <w:right w:val="single" w:color="auto" w:sz="4" w:space="0"/>
                        </w:tcBorders>
                        <w:vAlign w:val="center"/>
                      </w:tcPr>
                      <w:p w14:paraId="272E6841">
                        <w:pPr>
                          <w:spacing w:before="0" w:after="0" w:line="240" w:lineRule="auto"/>
                          <w:ind w:firstLine="0" w:firstLineChars="0"/>
                          <w:rPr>
                            <w:color w:val="auto"/>
                            <w:sz w:val="21"/>
                            <w:szCs w:val="21"/>
                          </w:rPr>
                        </w:pPr>
                        <w:r>
                          <w:rPr>
                            <w:color w:val="auto"/>
                            <w:sz w:val="21"/>
                            <w:szCs w:val="21"/>
                          </w:rPr>
                          <w:t>限制类</w:t>
                        </w:r>
                      </w:p>
                    </w:tc>
                    <w:tc>
                      <w:tcPr>
                        <w:tcW w:w="654" w:type="dxa"/>
                        <w:tcBorders>
                          <w:top w:val="single" w:color="auto" w:sz="4" w:space="0"/>
                          <w:left w:val="nil"/>
                          <w:bottom w:val="single" w:color="auto" w:sz="4" w:space="0"/>
                          <w:right w:val="single" w:color="auto" w:sz="4" w:space="0"/>
                        </w:tcBorders>
                        <w:vAlign w:val="center"/>
                      </w:tcPr>
                      <w:p w14:paraId="486FA2FD">
                        <w:pPr>
                          <w:spacing w:before="0" w:after="0" w:line="240" w:lineRule="auto"/>
                          <w:ind w:firstLine="0" w:firstLineChars="0"/>
                          <w:jc w:val="center"/>
                          <w:rPr>
                            <w:color w:val="auto"/>
                            <w:sz w:val="21"/>
                            <w:szCs w:val="21"/>
                          </w:rPr>
                        </w:pPr>
                        <w:r>
                          <w:rPr>
                            <w:color w:val="auto"/>
                            <w:sz w:val="21"/>
                            <w:szCs w:val="21"/>
                          </w:rPr>
                          <w:t>限制进入</w:t>
                        </w:r>
                      </w:p>
                    </w:tc>
                  </w:tr>
                  <w:tr w14:paraId="0A8C8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74CBC1C7">
                        <w:pPr>
                          <w:widowControl/>
                          <w:spacing w:before="0" w:after="0" w:line="240" w:lineRule="auto"/>
                          <w:ind w:firstLine="0" w:firstLineChars="0"/>
                          <w:jc w:val="left"/>
                          <w:rPr>
                            <w:color w:val="auto"/>
                            <w:sz w:val="21"/>
                            <w:szCs w:val="21"/>
                          </w:rPr>
                        </w:pPr>
                      </w:p>
                    </w:tc>
                    <w:tc>
                      <w:tcPr>
                        <w:tcW w:w="957" w:type="dxa"/>
                        <w:vMerge w:val="restart"/>
                        <w:tcBorders>
                          <w:top w:val="nil"/>
                          <w:left w:val="nil"/>
                          <w:bottom w:val="single" w:color="auto" w:sz="4" w:space="0"/>
                          <w:right w:val="single" w:color="auto" w:sz="4" w:space="0"/>
                        </w:tcBorders>
                        <w:vAlign w:val="center"/>
                      </w:tcPr>
                      <w:p w14:paraId="7F6E7564">
                        <w:pPr>
                          <w:spacing w:before="0" w:after="0" w:line="240" w:lineRule="auto"/>
                          <w:ind w:firstLine="0" w:firstLineChars="0"/>
                          <w:rPr>
                            <w:color w:val="auto"/>
                            <w:sz w:val="21"/>
                            <w:szCs w:val="21"/>
                          </w:rPr>
                        </w:pPr>
                        <w:r>
                          <w:rPr>
                            <w:color w:val="auto"/>
                            <w:sz w:val="21"/>
                            <w:szCs w:val="21"/>
                          </w:rPr>
                          <w:t>《</w:t>
                        </w:r>
                        <w:r>
                          <w:rPr>
                            <w:color w:val="auto"/>
                            <w:spacing w:val="-2"/>
                            <w:sz w:val="21"/>
                            <w:szCs w:val="21"/>
                          </w:rPr>
                          <w:t>产业结构调整指导目录（2019年本）</w:t>
                        </w:r>
                        <w:r>
                          <w:rPr>
                            <w:color w:val="auto"/>
                            <w:sz w:val="21"/>
                            <w:szCs w:val="21"/>
                          </w:rPr>
                          <w:t>》</w:t>
                        </w:r>
                      </w:p>
                    </w:tc>
                    <w:tc>
                      <w:tcPr>
                        <w:tcW w:w="4374" w:type="dxa"/>
                        <w:gridSpan w:val="2"/>
                        <w:tcBorders>
                          <w:top w:val="single" w:color="auto" w:sz="4" w:space="0"/>
                          <w:left w:val="nil"/>
                          <w:bottom w:val="single" w:color="auto" w:sz="4" w:space="0"/>
                          <w:right w:val="single" w:color="auto" w:sz="4" w:space="0"/>
                        </w:tcBorders>
                        <w:vAlign w:val="center"/>
                      </w:tcPr>
                      <w:p w14:paraId="048F7EEF">
                        <w:pPr>
                          <w:spacing w:before="0" w:after="0" w:line="240" w:lineRule="auto"/>
                          <w:ind w:firstLine="0" w:firstLineChars="0"/>
                          <w:rPr>
                            <w:color w:val="auto"/>
                            <w:sz w:val="21"/>
                            <w:szCs w:val="21"/>
                          </w:rPr>
                        </w:pPr>
                        <w:r>
                          <w:rPr>
                            <w:color w:val="auto"/>
                            <w:sz w:val="21"/>
                            <w:szCs w:val="21"/>
                          </w:rPr>
                          <w:t>禁止类</w:t>
                        </w:r>
                      </w:p>
                    </w:tc>
                    <w:tc>
                      <w:tcPr>
                        <w:tcW w:w="654" w:type="dxa"/>
                        <w:tcBorders>
                          <w:top w:val="single" w:color="auto" w:sz="4" w:space="0"/>
                          <w:left w:val="nil"/>
                          <w:bottom w:val="single" w:color="auto" w:sz="4" w:space="0"/>
                          <w:right w:val="single" w:color="auto" w:sz="4" w:space="0"/>
                        </w:tcBorders>
                        <w:vAlign w:val="center"/>
                      </w:tcPr>
                      <w:p w14:paraId="698550BA">
                        <w:pPr>
                          <w:spacing w:before="0" w:after="0" w:line="240" w:lineRule="auto"/>
                          <w:ind w:firstLine="0" w:firstLineChars="0"/>
                          <w:jc w:val="center"/>
                          <w:rPr>
                            <w:color w:val="auto"/>
                            <w:sz w:val="21"/>
                            <w:szCs w:val="21"/>
                          </w:rPr>
                        </w:pPr>
                        <w:r>
                          <w:rPr>
                            <w:color w:val="auto"/>
                            <w:sz w:val="21"/>
                            <w:szCs w:val="21"/>
                          </w:rPr>
                          <w:t>禁止进入</w:t>
                        </w:r>
                      </w:p>
                    </w:tc>
                  </w:tr>
                  <w:tr w14:paraId="064B7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146951A1">
                        <w:pPr>
                          <w:widowControl/>
                          <w:spacing w:before="0" w:after="0" w:line="240" w:lineRule="auto"/>
                          <w:ind w:firstLine="0" w:firstLineChars="0"/>
                          <w:jc w:val="left"/>
                          <w:rPr>
                            <w:color w:val="auto"/>
                            <w:sz w:val="21"/>
                            <w:szCs w:val="21"/>
                          </w:rPr>
                        </w:pPr>
                      </w:p>
                    </w:tc>
                    <w:tc>
                      <w:tcPr>
                        <w:tcW w:w="957" w:type="dxa"/>
                        <w:vMerge w:val="continue"/>
                        <w:tcBorders>
                          <w:top w:val="nil"/>
                          <w:left w:val="nil"/>
                          <w:bottom w:val="single" w:color="auto" w:sz="4" w:space="0"/>
                          <w:right w:val="single" w:color="auto" w:sz="4" w:space="0"/>
                        </w:tcBorders>
                        <w:vAlign w:val="center"/>
                      </w:tcPr>
                      <w:p w14:paraId="514FF19F">
                        <w:pPr>
                          <w:widowControl/>
                          <w:spacing w:before="0" w:after="0" w:line="240" w:lineRule="auto"/>
                          <w:ind w:firstLine="0" w:firstLineChars="0"/>
                          <w:jc w:val="left"/>
                          <w:rPr>
                            <w:color w:val="auto"/>
                            <w:sz w:val="21"/>
                            <w:szCs w:val="21"/>
                          </w:rPr>
                        </w:pPr>
                      </w:p>
                    </w:tc>
                    <w:tc>
                      <w:tcPr>
                        <w:tcW w:w="4374" w:type="dxa"/>
                        <w:gridSpan w:val="2"/>
                        <w:tcBorders>
                          <w:top w:val="single" w:color="auto" w:sz="4" w:space="0"/>
                          <w:left w:val="nil"/>
                          <w:bottom w:val="single" w:color="auto" w:sz="4" w:space="0"/>
                          <w:right w:val="single" w:color="auto" w:sz="4" w:space="0"/>
                        </w:tcBorders>
                        <w:vAlign w:val="center"/>
                      </w:tcPr>
                      <w:p w14:paraId="5F71BAA3">
                        <w:pPr>
                          <w:spacing w:before="0" w:after="0" w:line="240" w:lineRule="auto"/>
                          <w:ind w:firstLine="0" w:firstLineChars="0"/>
                          <w:rPr>
                            <w:color w:val="auto"/>
                            <w:sz w:val="21"/>
                            <w:szCs w:val="21"/>
                          </w:rPr>
                        </w:pPr>
                        <w:r>
                          <w:rPr>
                            <w:color w:val="auto"/>
                            <w:sz w:val="21"/>
                            <w:szCs w:val="21"/>
                          </w:rPr>
                          <w:t>限制类</w:t>
                        </w:r>
                      </w:p>
                    </w:tc>
                    <w:tc>
                      <w:tcPr>
                        <w:tcW w:w="654" w:type="dxa"/>
                        <w:tcBorders>
                          <w:top w:val="single" w:color="auto" w:sz="4" w:space="0"/>
                          <w:left w:val="nil"/>
                          <w:bottom w:val="single" w:color="auto" w:sz="4" w:space="0"/>
                          <w:right w:val="single" w:color="auto" w:sz="4" w:space="0"/>
                        </w:tcBorders>
                        <w:vAlign w:val="center"/>
                      </w:tcPr>
                      <w:p w14:paraId="6E376A7A">
                        <w:pPr>
                          <w:spacing w:before="0" w:after="0" w:line="240" w:lineRule="auto"/>
                          <w:ind w:firstLine="0" w:firstLineChars="0"/>
                          <w:jc w:val="center"/>
                          <w:rPr>
                            <w:color w:val="auto"/>
                            <w:sz w:val="21"/>
                            <w:szCs w:val="21"/>
                          </w:rPr>
                        </w:pPr>
                        <w:r>
                          <w:rPr>
                            <w:color w:val="auto"/>
                            <w:sz w:val="21"/>
                            <w:szCs w:val="21"/>
                          </w:rPr>
                          <w:t>限制进入</w:t>
                        </w:r>
                      </w:p>
                    </w:tc>
                  </w:tr>
                  <w:tr w14:paraId="4C262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93" w:type="dxa"/>
                        <w:vMerge w:val="restart"/>
                        <w:tcBorders>
                          <w:top w:val="nil"/>
                          <w:left w:val="single" w:color="auto" w:sz="4" w:space="0"/>
                          <w:bottom w:val="single" w:color="auto" w:sz="4" w:space="0"/>
                          <w:right w:val="single" w:color="auto" w:sz="4" w:space="0"/>
                        </w:tcBorders>
                        <w:vAlign w:val="center"/>
                      </w:tcPr>
                      <w:p w14:paraId="1183DB67">
                        <w:pPr>
                          <w:spacing w:before="0" w:after="0" w:line="240" w:lineRule="auto"/>
                          <w:ind w:firstLine="0" w:firstLineChars="0"/>
                          <w:rPr>
                            <w:color w:val="auto"/>
                            <w:sz w:val="21"/>
                            <w:szCs w:val="21"/>
                          </w:rPr>
                        </w:pPr>
                        <w:r>
                          <w:rPr>
                            <w:color w:val="auto"/>
                            <w:sz w:val="21"/>
                            <w:szCs w:val="21"/>
                          </w:rPr>
                          <w:t>其他</w:t>
                        </w:r>
                      </w:p>
                    </w:tc>
                    <w:tc>
                      <w:tcPr>
                        <w:tcW w:w="5331" w:type="dxa"/>
                        <w:gridSpan w:val="3"/>
                        <w:tcBorders>
                          <w:top w:val="single" w:color="auto" w:sz="4" w:space="0"/>
                          <w:left w:val="nil"/>
                          <w:bottom w:val="single" w:color="auto" w:sz="4" w:space="0"/>
                          <w:right w:val="single" w:color="auto" w:sz="4" w:space="0"/>
                        </w:tcBorders>
                        <w:vAlign w:val="center"/>
                      </w:tcPr>
                      <w:p w14:paraId="3A0B6FA6">
                        <w:pPr>
                          <w:spacing w:before="0" w:after="0" w:line="240" w:lineRule="auto"/>
                          <w:ind w:firstLine="0" w:firstLineChars="0"/>
                          <w:rPr>
                            <w:color w:val="auto"/>
                            <w:sz w:val="21"/>
                            <w:szCs w:val="21"/>
                          </w:rPr>
                        </w:pPr>
                        <w:r>
                          <w:rPr>
                            <w:color w:val="auto"/>
                            <w:sz w:val="21"/>
                            <w:szCs w:val="21"/>
                          </w:rPr>
                          <w:t>与规划区主导产业和优先进入行业不符合，低污染、低能耗、低水耗、对周边企业影响、环境质量影响不大的建设项目</w:t>
                        </w:r>
                      </w:p>
                    </w:tc>
                    <w:tc>
                      <w:tcPr>
                        <w:tcW w:w="654" w:type="dxa"/>
                        <w:vMerge w:val="restart"/>
                        <w:tcBorders>
                          <w:top w:val="nil"/>
                          <w:left w:val="nil"/>
                          <w:bottom w:val="single" w:color="auto" w:sz="4" w:space="0"/>
                          <w:right w:val="single" w:color="auto" w:sz="4" w:space="0"/>
                        </w:tcBorders>
                        <w:vAlign w:val="center"/>
                      </w:tcPr>
                      <w:p w14:paraId="20C9188E">
                        <w:pPr>
                          <w:spacing w:before="0" w:after="0" w:line="240" w:lineRule="auto"/>
                          <w:ind w:firstLine="0" w:firstLineChars="0"/>
                          <w:jc w:val="center"/>
                          <w:rPr>
                            <w:color w:val="auto"/>
                            <w:sz w:val="21"/>
                            <w:szCs w:val="21"/>
                          </w:rPr>
                        </w:pPr>
                        <w:r>
                          <w:rPr>
                            <w:color w:val="auto"/>
                            <w:sz w:val="21"/>
                            <w:szCs w:val="21"/>
                          </w:rPr>
                          <w:t>限制发展</w:t>
                        </w:r>
                      </w:p>
                    </w:tc>
                  </w:tr>
                  <w:tr w14:paraId="7F481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2CDB6F7F">
                        <w:pPr>
                          <w:widowControl/>
                          <w:spacing w:before="0" w:after="0" w:line="240" w:lineRule="auto"/>
                          <w:ind w:firstLine="0" w:firstLineChars="0"/>
                          <w:jc w:val="left"/>
                          <w:rPr>
                            <w:color w:val="auto"/>
                            <w:sz w:val="21"/>
                            <w:szCs w:val="21"/>
                          </w:rPr>
                        </w:pPr>
                      </w:p>
                    </w:tc>
                    <w:tc>
                      <w:tcPr>
                        <w:tcW w:w="5331" w:type="dxa"/>
                        <w:gridSpan w:val="3"/>
                        <w:tcBorders>
                          <w:top w:val="single" w:color="auto" w:sz="4" w:space="0"/>
                          <w:left w:val="nil"/>
                          <w:bottom w:val="single" w:color="auto" w:sz="4" w:space="0"/>
                          <w:right w:val="single" w:color="auto" w:sz="4" w:space="0"/>
                        </w:tcBorders>
                        <w:vAlign w:val="center"/>
                      </w:tcPr>
                      <w:p w14:paraId="3FB77A94">
                        <w:pPr>
                          <w:spacing w:before="0" w:after="0" w:line="240" w:lineRule="auto"/>
                          <w:ind w:firstLine="0" w:firstLineChars="0"/>
                          <w:rPr>
                            <w:color w:val="auto"/>
                            <w:sz w:val="21"/>
                            <w:szCs w:val="21"/>
                          </w:rPr>
                        </w:pPr>
                        <w:r>
                          <w:rPr>
                            <w:color w:val="auto"/>
                            <w:sz w:val="21"/>
                            <w:szCs w:val="21"/>
                          </w:rPr>
                          <w:t>与规划区主导产业和优先进入行业相配套，但高污染、高能耗、高水耗、对环境影响较大的建设项目</w:t>
                        </w:r>
                      </w:p>
                    </w:tc>
                    <w:tc>
                      <w:tcPr>
                        <w:tcW w:w="654" w:type="dxa"/>
                        <w:vMerge w:val="continue"/>
                        <w:tcBorders>
                          <w:top w:val="nil"/>
                          <w:left w:val="nil"/>
                          <w:bottom w:val="single" w:color="auto" w:sz="4" w:space="0"/>
                          <w:right w:val="single" w:color="auto" w:sz="4" w:space="0"/>
                        </w:tcBorders>
                        <w:vAlign w:val="center"/>
                      </w:tcPr>
                      <w:p w14:paraId="3835553F">
                        <w:pPr>
                          <w:widowControl/>
                          <w:spacing w:before="0" w:after="0" w:line="240" w:lineRule="auto"/>
                          <w:ind w:firstLine="0" w:firstLineChars="0"/>
                          <w:jc w:val="center"/>
                          <w:rPr>
                            <w:color w:val="auto"/>
                            <w:sz w:val="21"/>
                            <w:szCs w:val="21"/>
                          </w:rPr>
                        </w:pPr>
                      </w:p>
                    </w:tc>
                  </w:tr>
                  <w:tr w14:paraId="57F4C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93" w:type="dxa"/>
                        <w:vMerge w:val="continue"/>
                        <w:tcBorders>
                          <w:top w:val="nil"/>
                          <w:left w:val="single" w:color="auto" w:sz="4" w:space="0"/>
                          <w:bottom w:val="single" w:color="auto" w:sz="4" w:space="0"/>
                          <w:right w:val="single" w:color="auto" w:sz="4" w:space="0"/>
                        </w:tcBorders>
                        <w:vAlign w:val="center"/>
                      </w:tcPr>
                      <w:p w14:paraId="7A39E5F1">
                        <w:pPr>
                          <w:widowControl/>
                          <w:spacing w:before="0" w:after="0" w:line="240" w:lineRule="auto"/>
                          <w:ind w:firstLine="0" w:firstLineChars="0"/>
                          <w:jc w:val="left"/>
                          <w:rPr>
                            <w:color w:val="auto"/>
                            <w:sz w:val="21"/>
                            <w:szCs w:val="21"/>
                          </w:rPr>
                        </w:pPr>
                      </w:p>
                    </w:tc>
                    <w:tc>
                      <w:tcPr>
                        <w:tcW w:w="5331" w:type="dxa"/>
                        <w:gridSpan w:val="3"/>
                        <w:tcBorders>
                          <w:top w:val="single" w:color="auto" w:sz="4" w:space="0"/>
                          <w:left w:val="nil"/>
                          <w:bottom w:val="single" w:color="auto" w:sz="4" w:space="0"/>
                          <w:right w:val="single" w:color="auto" w:sz="4" w:space="0"/>
                        </w:tcBorders>
                        <w:vAlign w:val="center"/>
                      </w:tcPr>
                      <w:p w14:paraId="1B342FAB">
                        <w:pPr>
                          <w:spacing w:before="0" w:after="0" w:line="240" w:lineRule="auto"/>
                          <w:ind w:firstLine="0" w:firstLineChars="0"/>
                          <w:rPr>
                            <w:color w:val="auto"/>
                            <w:sz w:val="21"/>
                            <w:szCs w:val="21"/>
                          </w:rPr>
                        </w:pPr>
                        <w:r>
                          <w:rPr>
                            <w:color w:val="auto"/>
                            <w:sz w:val="21"/>
                            <w:szCs w:val="21"/>
                          </w:rPr>
                          <w:t>规模效益差、能源资源消耗大、环境影响严重的企业</w:t>
                        </w:r>
                      </w:p>
                    </w:tc>
                    <w:tc>
                      <w:tcPr>
                        <w:tcW w:w="654" w:type="dxa"/>
                        <w:tcBorders>
                          <w:top w:val="single" w:color="auto" w:sz="4" w:space="0"/>
                          <w:left w:val="nil"/>
                          <w:bottom w:val="single" w:color="auto" w:sz="4" w:space="0"/>
                          <w:right w:val="single" w:color="auto" w:sz="4" w:space="0"/>
                        </w:tcBorders>
                        <w:vAlign w:val="center"/>
                      </w:tcPr>
                      <w:p w14:paraId="15B4951E">
                        <w:pPr>
                          <w:spacing w:before="0" w:after="0" w:line="240" w:lineRule="auto"/>
                          <w:ind w:firstLine="0" w:firstLineChars="0"/>
                          <w:jc w:val="center"/>
                          <w:rPr>
                            <w:color w:val="auto"/>
                            <w:sz w:val="21"/>
                            <w:szCs w:val="21"/>
                          </w:rPr>
                        </w:pPr>
                        <w:r>
                          <w:rPr>
                            <w:color w:val="auto"/>
                            <w:sz w:val="21"/>
                            <w:szCs w:val="21"/>
                          </w:rPr>
                          <w:t>禁止进入</w:t>
                        </w:r>
                      </w:p>
                    </w:tc>
                  </w:tr>
                </w:tbl>
                <w:p w14:paraId="57D63FBA">
                  <w:pPr>
                    <w:adjustRightInd w:val="0"/>
                    <w:snapToGrid w:val="0"/>
                    <w:spacing w:after="100" w:afterAutospacing="1" w:line="240" w:lineRule="auto"/>
                    <w:ind w:firstLine="0" w:firstLineChars="0"/>
                    <w:rPr>
                      <w:color w:val="auto"/>
                      <w:sz w:val="21"/>
                      <w:szCs w:val="21"/>
                    </w:rPr>
                  </w:pPr>
                  <w:r>
                    <w:rPr>
                      <w:color w:val="auto"/>
                      <w:sz w:val="21"/>
                      <w:szCs w:val="21"/>
                    </w:rPr>
                    <w:t>注：清单应根据《产业结构调整指导目录》、《市场准入负面清单草案》修订情况及时更新调整，此外规划修编或主导产业发生调整时清单应随之进行修订调整</w:t>
                  </w:r>
                </w:p>
              </w:tc>
              <w:tc>
                <w:tcPr>
                  <w:tcW w:w="1377" w:type="dxa"/>
                  <w:tcBorders>
                    <w:tl2br w:val="nil"/>
                    <w:tr2bl w:val="nil"/>
                  </w:tcBorders>
                  <w:shd w:val="clear" w:color="auto" w:fill="auto"/>
                  <w:vAlign w:val="center"/>
                </w:tcPr>
                <w:p w14:paraId="0FA5F104">
                  <w:pPr>
                    <w:adjustRightInd w:val="0"/>
                    <w:snapToGrid w:val="0"/>
                    <w:spacing w:after="100" w:afterAutospacing="1" w:line="240" w:lineRule="auto"/>
                    <w:ind w:firstLine="0" w:firstLineChars="0"/>
                    <w:rPr>
                      <w:rFonts w:hint="default" w:eastAsia="宋体"/>
                      <w:color w:val="auto"/>
                      <w:sz w:val="21"/>
                      <w:szCs w:val="21"/>
                      <w:lang w:val="en-US" w:eastAsia="zh-CN"/>
                    </w:rPr>
                  </w:pPr>
                  <w:r>
                    <w:rPr>
                      <w:rFonts w:hint="default" w:ascii="Times New Roman" w:hAnsi="Times New Roman" w:cs="Times New Roman"/>
                      <w:b w:val="0"/>
                      <w:bCs w:val="0"/>
                      <w:color w:val="auto"/>
                      <w:sz w:val="21"/>
                      <w:szCs w:val="21"/>
                      <w:lang w:val="en-US" w:eastAsia="zh-CN"/>
                    </w:rPr>
                    <w:t>对照《国民经济行业分类》（GB/T4754-2017），本项目属于C3422</w:t>
                  </w:r>
                  <w:r>
                    <w:rPr>
                      <w:rFonts w:hint="eastAsia" w:cs="Times New Roman"/>
                      <w:b w:val="0"/>
                      <w:bCs w:val="0"/>
                      <w:color w:val="auto"/>
                      <w:sz w:val="21"/>
                      <w:szCs w:val="21"/>
                      <w:lang w:val="en-US" w:eastAsia="zh-CN"/>
                    </w:rPr>
                    <w:t>金属成形</w:t>
                  </w:r>
                  <w:r>
                    <w:rPr>
                      <w:rFonts w:hint="default" w:ascii="Times New Roman" w:hAnsi="Times New Roman" w:cs="Times New Roman"/>
                      <w:b w:val="0"/>
                      <w:bCs w:val="0"/>
                      <w:color w:val="auto"/>
                      <w:sz w:val="21"/>
                      <w:szCs w:val="21"/>
                      <w:lang w:val="en-US" w:eastAsia="zh-CN"/>
                    </w:rPr>
                    <w:t>机床制造、C3423铸造机械制造、C3461烘炉、熔炉及电炉制造</w:t>
                  </w:r>
                  <w:r>
                    <w:rPr>
                      <w:rFonts w:hint="default" w:ascii="Times New Roman" w:hAnsi="Times New Roman" w:eastAsia="宋体" w:cs="Times New Roman"/>
                      <w:b w:val="0"/>
                      <w:bCs w:val="0"/>
                      <w:color w:val="auto"/>
                      <w:sz w:val="21"/>
                      <w:szCs w:val="21"/>
                      <w:lang w:eastAsia="zh-CN"/>
                    </w:rPr>
                    <w:t>，本项目使用的涂料为水性涂料，根据其VOC检测报告，本项目使用的水性丙烯酸面漆中挥发性有机物含量为31g/L，符合《工业防护涂料中有害物质限量》（GB30981-2020）水性涂料中VOC含量的限量值要求</w:t>
                  </w:r>
                  <w:r>
                    <w:rPr>
                      <w:rFonts w:hint="eastAsia" w:ascii="Times New Roman" w:hAnsi="Times New Roman" w:eastAsia="宋体" w:cs="Times New Roman"/>
                      <w:b w:val="0"/>
                      <w:bCs w:val="0"/>
                      <w:color w:val="auto"/>
                      <w:sz w:val="21"/>
                      <w:szCs w:val="21"/>
                      <w:lang w:eastAsia="zh-CN"/>
                    </w:rPr>
                    <w:t>；</w:t>
                  </w:r>
                  <w:r>
                    <w:rPr>
                      <w:rFonts w:hint="default" w:ascii="Times New Roman" w:hAnsi="Times New Roman" w:eastAsia="宋体" w:cs="Times New Roman"/>
                      <w:b w:val="0"/>
                      <w:bCs w:val="0"/>
                      <w:color w:val="auto"/>
                      <w:sz w:val="21"/>
                      <w:szCs w:val="21"/>
                      <w:lang w:eastAsia="zh-CN"/>
                    </w:rPr>
                    <w:t>《低挥发性有机化合物含量涂料产品技术要求》（GB/T38597-2020）表1水性涂料中VOC含量的要求。</w:t>
                  </w:r>
                  <w:r>
                    <w:rPr>
                      <w:rFonts w:hint="eastAsia" w:ascii="Times New Roman" w:hAnsi="Times New Roman" w:eastAsia="宋体" w:cs="Times New Roman"/>
                      <w:b w:val="0"/>
                      <w:bCs w:val="0"/>
                      <w:color w:val="auto"/>
                      <w:sz w:val="21"/>
                      <w:szCs w:val="21"/>
                      <w:lang w:val="en-US" w:eastAsia="zh-CN"/>
                    </w:rPr>
                    <w:t>项目不属于《产业结构调整指导目录（2024年本）》限制类、淘汰类行业，不属于《市场准入负面清单草案》禁止类和限制类。</w:t>
                  </w:r>
                </w:p>
              </w:tc>
            </w:tr>
            <w:bookmarkEnd w:id="6"/>
          </w:tbl>
          <w:p w14:paraId="642A7636">
            <w:pPr>
              <w:bidi w:val="0"/>
              <w:rPr>
                <w:rFonts w:eastAsiaTheme="minorEastAsia"/>
                <w:color w:val="auto"/>
                <w:kern w:val="0"/>
                <w:sz w:val="24"/>
                <w:szCs w:val="24"/>
              </w:rPr>
            </w:pPr>
          </w:p>
          <w:p w14:paraId="1693CDDC">
            <w:pPr>
              <w:bidi w:val="0"/>
              <w:ind w:left="0" w:leftChars="0" w:firstLine="0" w:firstLineChars="0"/>
              <w:rPr>
                <w:rFonts w:hint="eastAsia" w:eastAsiaTheme="minorEastAsia"/>
                <w:color w:val="auto"/>
                <w:kern w:val="0"/>
                <w:sz w:val="24"/>
                <w:szCs w:val="24"/>
                <w:lang w:val="en-US" w:eastAsia="zh-CN"/>
              </w:rPr>
            </w:pPr>
          </w:p>
        </w:tc>
      </w:tr>
    </w:tbl>
    <w:p w14:paraId="1FCF259A">
      <w:pPr>
        <w:pStyle w:val="42"/>
        <w:rPr>
          <w:rFonts w:hint="eastAsia"/>
          <w:color w:val="auto"/>
          <w:lang w:val="en-US" w:eastAsia="zh-CN"/>
        </w:rPr>
        <w:sectPr>
          <w:pgSz w:w="16838" w:h="11905" w:orient="landscape"/>
          <w:pgMar w:top="1531" w:right="1701" w:bottom="1531" w:left="1701" w:header="1134" w:footer="1020" w:gutter="0"/>
          <w:pgBorders>
            <w:top w:val="none" w:sz="0" w:space="0"/>
            <w:left w:val="none" w:sz="0" w:space="0"/>
            <w:bottom w:val="none" w:sz="0" w:space="0"/>
            <w:right w:val="none" w:sz="0" w:space="0"/>
          </w:pgBorders>
          <w:pgNumType w:fmt="decimal"/>
          <w:cols w:space="720" w:num="1"/>
          <w:rtlGutter w:val="0"/>
          <w:docGrid w:linePitch="312" w:charSpace="0"/>
        </w:sectPr>
      </w:pPr>
    </w:p>
    <w:tbl>
      <w:tblPr>
        <w:tblStyle w:val="31"/>
        <w:tblW w:w="95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69"/>
        <w:gridCol w:w="8249"/>
      </w:tblGrid>
      <w:tr w14:paraId="285B76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69" w:type="dxa"/>
            <w:tcBorders>
              <w:tl2br w:val="nil"/>
              <w:tr2bl w:val="nil"/>
            </w:tcBorders>
            <w:noWrap w:val="0"/>
            <w:vAlign w:val="center"/>
          </w:tcPr>
          <w:p w14:paraId="506CB4E6">
            <w:pPr>
              <w:pStyle w:val="11"/>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规划</w:t>
            </w:r>
            <w:r>
              <w:rPr>
                <w:rFonts w:hint="default" w:ascii="Times New Roman" w:hAnsi="Times New Roman" w:cs="Times New Roman"/>
                <w:color w:val="auto"/>
                <w:sz w:val="24"/>
                <w:szCs w:val="24"/>
                <w:lang w:val="en-US" w:eastAsia="zh-CN"/>
              </w:rPr>
              <w:t>及规划环境影响评价</w:t>
            </w:r>
            <w:r>
              <w:rPr>
                <w:rFonts w:hint="default" w:ascii="Times New Roman" w:hAnsi="Times New Roman" w:cs="Times New Roman"/>
                <w:color w:val="auto"/>
                <w:sz w:val="24"/>
                <w:szCs w:val="24"/>
              </w:rPr>
              <w:t>符合性分析</w:t>
            </w:r>
          </w:p>
        </w:tc>
        <w:tc>
          <w:tcPr>
            <w:tcW w:w="8249" w:type="dxa"/>
            <w:tcBorders>
              <w:tl2br w:val="nil"/>
              <w:tr2bl w:val="nil"/>
            </w:tcBorders>
            <w:noWrap w:val="0"/>
            <w:vAlign w:val="center"/>
          </w:tcPr>
          <w:p w14:paraId="2A25757A">
            <w:pPr>
              <w:pStyle w:val="38"/>
              <w:bidi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表1-</w:t>
            </w:r>
            <w:r>
              <w:rPr>
                <w:rFonts w:hint="eastAsia" w:cs="Times New Roman"/>
                <w:color w:val="auto"/>
                <w:lang w:val="en-US" w:eastAsia="zh-CN"/>
              </w:rPr>
              <w:t>4</w:t>
            </w:r>
            <w:r>
              <w:rPr>
                <w:rFonts w:hint="default" w:ascii="Times New Roman" w:hAnsi="Times New Roman" w:eastAsia="宋体" w:cs="Times New Roman"/>
                <w:color w:val="auto"/>
                <w:lang w:val="en-US" w:eastAsia="zh-CN"/>
              </w:rPr>
              <w:t xml:space="preserve">  项目与规划环境影响报告书审查意见符合性一览表</w:t>
            </w:r>
          </w:p>
          <w:tbl>
            <w:tblPr>
              <w:tblStyle w:val="31"/>
              <w:tblW w:w="81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8"/>
              <w:gridCol w:w="5020"/>
              <w:gridCol w:w="1855"/>
              <w:gridCol w:w="695"/>
            </w:tblGrid>
            <w:tr w14:paraId="65951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558" w:type="dxa"/>
                  <w:tcBorders>
                    <w:tl2br w:val="nil"/>
                    <w:tr2bl w:val="nil"/>
                  </w:tcBorders>
                  <w:noWrap w:val="0"/>
                  <w:vAlign w:val="center"/>
                </w:tcPr>
                <w:p w14:paraId="0D84B014">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序号</w:t>
                  </w:r>
                </w:p>
              </w:tc>
              <w:tc>
                <w:tcPr>
                  <w:tcW w:w="5020" w:type="dxa"/>
                  <w:tcBorders>
                    <w:tl2br w:val="nil"/>
                    <w:tr2bl w:val="nil"/>
                  </w:tcBorders>
                  <w:noWrap w:val="0"/>
                  <w:vAlign w:val="center"/>
                </w:tcPr>
                <w:p w14:paraId="2F24B26D">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kern w:val="2"/>
                      <w:sz w:val="21"/>
                      <w:szCs w:val="21"/>
                      <w:lang w:val="en-US" w:eastAsia="zh-CN" w:bidi="ar-SA"/>
                    </w:rPr>
                    <w:t>规划环境影响报告书审查意见要求</w:t>
                  </w:r>
                </w:p>
              </w:tc>
              <w:tc>
                <w:tcPr>
                  <w:tcW w:w="1855" w:type="dxa"/>
                  <w:tcBorders>
                    <w:tl2br w:val="nil"/>
                    <w:tr2bl w:val="nil"/>
                  </w:tcBorders>
                  <w:noWrap w:val="0"/>
                  <w:vAlign w:val="center"/>
                </w:tcPr>
                <w:p w14:paraId="2371E00D">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cs="Times New Roman"/>
                      <w:b/>
                      <w:bCs/>
                      <w:color w:val="auto"/>
                      <w:sz w:val="21"/>
                      <w:szCs w:val="21"/>
                      <w:lang w:eastAsia="zh-CN"/>
                    </w:rPr>
                    <w:t>本项目</w:t>
                  </w:r>
                  <w:r>
                    <w:rPr>
                      <w:rFonts w:hint="default" w:ascii="Times New Roman" w:hAnsi="Times New Roman" w:eastAsia="宋体" w:cs="Times New Roman"/>
                      <w:b/>
                      <w:bCs/>
                      <w:color w:val="auto"/>
                      <w:sz w:val="21"/>
                      <w:szCs w:val="21"/>
                    </w:rPr>
                    <w:t>情况分析</w:t>
                  </w:r>
                </w:p>
              </w:tc>
              <w:tc>
                <w:tcPr>
                  <w:tcW w:w="695" w:type="dxa"/>
                  <w:tcBorders>
                    <w:tl2br w:val="nil"/>
                    <w:tr2bl w:val="nil"/>
                  </w:tcBorders>
                  <w:noWrap w:val="0"/>
                  <w:vAlign w:val="center"/>
                </w:tcPr>
                <w:p w14:paraId="718905CE">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lang w:val="en-US"/>
                    </w:rPr>
                  </w:pPr>
                  <w:r>
                    <w:rPr>
                      <w:rFonts w:hint="default" w:ascii="Times New Roman" w:hAnsi="Times New Roman" w:eastAsia="宋体" w:cs="Times New Roman"/>
                      <w:b/>
                      <w:bCs/>
                      <w:color w:val="auto"/>
                      <w:kern w:val="2"/>
                      <w:sz w:val="21"/>
                      <w:szCs w:val="21"/>
                      <w:lang w:val="en-US" w:eastAsia="zh-CN" w:bidi="ar-SA"/>
                    </w:rPr>
                    <w:t>符合</w:t>
                  </w:r>
                  <w:r>
                    <w:rPr>
                      <w:rFonts w:hint="default" w:ascii="Times New Roman" w:hAnsi="Times New Roman" w:cs="Times New Roman"/>
                      <w:b/>
                      <w:bCs/>
                      <w:color w:val="auto"/>
                      <w:kern w:val="2"/>
                      <w:sz w:val="21"/>
                      <w:szCs w:val="21"/>
                      <w:lang w:val="en-US" w:eastAsia="zh-CN" w:bidi="ar-SA"/>
                    </w:rPr>
                    <w:t>性</w:t>
                  </w:r>
                </w:p>
              </w:tc>
            </w:tr>
            <w:tr w14:paraId="7FB37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blHeader/>
                <w:jc w:val="center"/>
              </w:trPr>
              <w:tc>
                <w:tcPr>
                  <w:tcW w:w="558" w:type="dxa"/>
                  <w:tcBorders>
                    <w:tl2br w:val="nil"/>
                    <w:tr2bl w:val="nil"/>
                  </w:tcBorders>
                  <w:noWrap w:val="0"/>
                  <w:vAlign w:val="center"/>
                </w:tcPr>
                <w:p w14:paraId="7EAF5D07">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一</w:t>
                  </w:r>
                </w:p>
              </w:tc>
              <w:tc>
                <w:tcPr>
                  <w:tcW w:w="5020" w:type="dxa"/>
                  <w:tcBorders>
                    <w:tl2br w:val="nil"/>
                    <w:tr2bl w:val="nil"/>
                  </w:tcBorders>
                  <w:noWrap w:val="0"/>
                  <w:vAlign w:val="center"/>
                </w:tcPr>
                <w:p w14:paraId="6EC18649">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园区禁止新建造纸、酒精、印染、制革、化工、石化等项目，允许发展与主导产业相配套的低污染、低能耗的行业。建议规划形成“3+1”的产业体系，即“镁基新材料、机电装备制造、非金属材料”3大主导产业集群和1个支持性产业。</w:t>
                  </w:r>
                </w:p>
              </w:tc>
              <w:tc>
                <w:tcPr>
                  <w:tcW w:w="1855" w:type="dxa"/>
                  <w:tcBorders>
                    <w:tl2br w:val="nil"/>
                    <w:tr2bl w:val="nil"/>
                  </w:tcBorders>
                  <w:noWrap w:val="0"/>
                  <w:vAlign w:val="center"/>
                </w:tcPr>
                <w:p w14:paraId="47BC4E3B">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ascii="Times New Roman" w:hAnsi="Times New Roman" w:eastAsia="宋体" w:cs="Times New Roman"/>
                      <w:b w:val="0"/>
                      <w:bCs w:val="0"/>
                      <w:color w:val="auto"/>
                      <w:szCs w:val="21"/>
                      <w:lang w:eastAsia="zh-CN"/>
                    </w:rPr>
                  </w:pPr>
                  <w:r>
                    <w:rPr>
                      <w:rFonts w:hint="default" w:ascii="Times New Roman" w:hAnsi="Times New Roman" w:cs="Times New Roman"/>
                      <w:b w:val="0"/>
                      <w:bCs w:val="0"/>
                      <w:color w:val="auto"/>
                      <w:lang w:val="en-US" w:eastAsia="zh-CN"/>
                    </w:rPr>
                    <w:t>对照《国民经济行业分类》（GB/T4754-2017），本项目属于C3422</w:t>
                  </w:r>
                  <w:r>
                    <w:rPr>
                      <w:rFonts w:hint="eastAsia" w:ascii="Times New Roman" w:hAnsi="Times New Roman" w:cs="Times New Roman"/>
                      <w:b w:val="0"/>
                      <w:bCs w:val="0"/>
                      <w:color w:val="auto"/>
                      <w:lang w:val="en-US" w:eastAsia="zh-CN"/>
                    </w:rPr>
                    <w:t>金属成形</w:t>
                  </w:r>
                  <w:r>
                    <w:rPr>
                      <w:rFonts w:hint="default" w:ascii="Times New Roman" w:hAnsi="Times New Roman" w:cs="Times New Roman"/>
                      <w:b w:val="0"/>
                      <w:bCs w:val="0"/>
                      <w:color w:val="auto"/>
                      <w:lang w:val="en-US" w:eastAsia="zh-CN"/>
                    </w:rPr>
                    <w:t>机床制造</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C3423铸造机械制造</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C3461烘炉、熔炉及电炉制造，</w:t>
                  </w:r>
                  <w:r>
                    <w:rPr>
                      <w:rFonts w:hint="eastAsia" w:ascii="Times New Roman" w:hAnsi="Times New Roman" w:cs="Times New Roman"/>
                      <w:b w:val="0"/>
                      <w:bCs w:val="0"/>
                      <w:color w:val="auto"/>
                      <w:lang w:val="en-US" w:eastAsia="zh-CN"/>
                    </w:rPr>
                    <w:t>不属于园区禁止的造纸、酒精、印染、制革、化工、石化等项目</w:t>
                  </w:r>
                  <w:r>
                    <w:rPr>
                      <w:rFonts w:hint="default" w:ascii="Times New Roman" w:hAnsi="Times New Roman" w:cs="Times New Roman"/>
                      <w:b w:val="0"/>
                      <w:bCs w:val="0"/>
                      <w:color w:val="auto"/>
                      <w:lang w:eastAsia="zh-CN"/>
                    </w:rPr>
                    <w:t>。</w:t>
                  </w:r>
                </w:p>
              </w:tc>
              <w:tc>
                <w:tcPr>
                  <w:tcW w:w="695" w:type="dxa"/>
                  <w:tcBorders>
                    <w:tl2br w:val="nil"/>
                    <w:tr2bl w:val="nil"/>
                  </w:tcBorders>
                  <w:noWrap w:val="0"/>
                  <w:vAlign w:val="center"/>
                </w:tcPr>
                <w:p w14:paraId="536CADB5">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符合</w:t>
                  </w:r>
                </w:p>
              </w:tc>
            </w:tr>
            <w:tr w14:paraId="77195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0" w:hRule="atLeast"/>
                <w:tblHeader/>
                <w:jc w:val="center"/>
              </w:trPr>
              <w:tc>
                <w:tcPr>
                  <w:tcW w:w="558" w:type="dxa"/>
                  <w:tcBorders>
                    <w:tl2br w:val="nil"/>
                    <w:tr2bl w:val="nil"/>
                  </w:tcBorders>
                  <w:noWrap w:val="0"/>
                  <w:vAlign w:val="center"/>
                </w:tcPr>
                <w:p w14:paraId="1A7FC5A0">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二</w:t>
                  </w:r>
                </w:p>
              </w:tc>
              <w:tc>
                <w:tcPr>
                  <w:tcW w:w="5020" w:type="dxa"/>
                  <w:tcBorders>
                    <w:tl2br w:val="nil"/>
                    <w:tr2bl w:val="nil"/>
                  </w:tcBorders>
                  <w:noWrap w:val="0"/>
                  <w:vAlign w:val="center"/>
                </w:tcPr>
                <w:p w14:paraId="09E94224">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color w:val="auto"/>
                      <w:lang w:val="en-US" w:eastAsia="zh-CN"/>
                    </w:rPr>
                  </w:pPr>
                  <w:r>
                    <w:rPr>
                      <w:rFonts w:hint="default"/>
                      <w:color w:val="auto"/>
                      <w:lang w:val="en-US" w:eastAsia="zh-CN"/>
                    </w:rPr>
                    <w:t>围绕高端制造功能，集聚发展特色工艺、关键装备、高端合金、智能装备等前沿产业项目。以童埠园</w:t>
                  </w:r>
                  <w:r>
                    <w:rPr>
                      <w:rFonts w:hint="eastAsia"/>
                      <w:color w:val="auto"/>
                      <w:lang w:val="en-US" w:eastAsia="zh-CN"/>
                    </w:rPr>
                    <w:t>镁</w:t>
                  </w:r>
                  <w:r>
                    <w:rPr>
                      <w:rFonts w:hint="default"/>
                      <w:color w:val="auto"/>
                      <w:lang w:val="en-US" w:eastAsia="zh-CN"/>
                    </w:rPr>
                    <w:t>基材料、木镇新河园</w:t>
                  </w:r>
                  <w:r>
                    <w:rPr>
                      <w:rFonts w:hint="eastAsia"/>
                      <w:color w:val="auto"/>
                      <w:lang w:val="en-US" w:eastAsia="zh-CN"/>
                    </w:rPr>
                    <w:t>镁</w:t>
                  </w:r>
                  <w:r>
                    <w:rPr>
                      <w:rFonts w:hint="default"/>
                      <w:color w:val="auto"/>
                      <w:lang w:val="en-US" w:eastAsia="zh-CN"/>
                    </w:rPr>
                    <w:t>合金深加工产品为产业上游，延伸发展工装设备、高端零部件、复材结构件、大型压铸件等先进</w:t>
                  </w:r>
                  <w:r>
                    <w:rPr>
                      <w:rFonts w:hint="eastAsia"/>
                      <w:color w:val="auto"/>
                      <w:lang w:val="en-US" w:eastAsia="zh-CN"/>
                    </w:rPr>
                    <w:t>镁</w:t>
                  </w:r>
                  <w:r>
                    <w:rPr>
                      <w:rFonts w:hint="default"/>
                      <w:color w:val="auto"/>
                      <w:lang w:val="en-US" w:eastAsia="zh-CN"/>
                    </w:rPr>
                    <w:t>合金应用产业；依托存量、布局增量，以科技创新为引擎、智能制造为核心，打造新一代信息技术产业、智能机器人、成套设备、精密工程等产业集群。</w:t>
                  </w:r>
                </w:p>
              </w:tc>
              <w:tc>
                <w:tcPr>
                  <w:tcW w:w="1855" w:type="dxa"/>
                  <w:tcBorders>
                    <w:tl2br w:val="nil"/>
                    <w:tr2bl w:val="nil"/>
                  </w:tcBorders>
                  <w:noWrap w:val="0"/>
                  <w:vAlign w:val="center"/>
                </w:tcPr>
                <w:p w14:paraId="2059C90F">
                  <w:pPr>
                    <w:keepNext w:val="0"/>
                    <w:keepLines w:val="0"/>
                    <w:pageBreakBefore w:val="0"/>
                    <w:widowControl w:val="0"/>
                    <w:kinsoku/>
                    <w:wordWrap/>
                    <w:overflowPunct w:val="0"/>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cs="Times New Roman"/>
                      <w:b w:val="0"/>
                      <w:bCs w:val="0"/>
                      <w:color w:val="auto"/>
                      <w:kern w:val="2"/>
                      <w:sz w:val="21"/>
                      <w:szCs w:val="21"/>
                      <w:lang w:val="en-US" w:eastAsia="zh-CN" w:bidi="ar-SA"/>
                    </w:rPr>
                    <w:t>本项目属于C3422</w:t>
                  </w:r>
                  <w:r>
                    <w:rPr>
                      <w:rFonts w:hint="eastAsia" w:cs="Times New Roman"/>
                      <w:b w:val="0"/>
                      <w:bCs w:val="0"/>
                      <w:color w:val="auto"/>
                      <w:kern w:val="2"/>
                      <w:sz w:val="21"/>
                      <w:szCs w:val="21"/>
                      <w:lang w:val="en-US" w:eastAsia="zh-CN" w:bidi="ar-SA"/>
                    </w:rPr>
                    <w:t>金属成形</w:t>
                  </w:r>
                  <w:r>
                    <w:rPr>
                      <w:rFonts w:hint="default" w:ascii="Times New Roman" w:hAnsi="Times New Roman" w:cs="Times New Roman"/>
                      <w:b w:val="0"/>
                      <w:bCs w:val="0"/>
                      <w:color w:val="auto"/>
                      <w:kern w:val="2"/>
                      <w:sz w:val="21"/>
                      <w:szCs w:val="21"/>
                      <w:lang w:val="en-US" w:eastAsia="zh-CN" w:bidi="ar-SA"/>
                    </w:rPr>
                    <w:t>机床制造、C3423铸造机械制造、C3461烘炉、熔炉及电炉制造，</w:t>
                  </w:r>
                  <w:r>
                    <w:rPr>
                      <w:rFonts w:hint="eastAsia" w:cs="Times New Roman"/>
                      <w:b w:val="0"/>
                      <w:bCs w:val="0"/>
                      <w:color w:val="auto"/>
                      <w:kern w:val="2"/>
                      <w:sz w:val="21"/>
                      <w:szCs w:val="21"/>
                      <w:lang w:val="en-US" w:eastAsia="zh-CN" w:bidi="ar-SA"/>
                    </w:rPr>
                    <w:t>属于对现有主导产业的延伸配套产业</w:t>
                  </w:r>
                  <w:r>
                    <w:rPr>
                      <w:rFonts w:hint="default" w:ascii="Times New Roman" w:hAnsi="Times New Roman" w:eastAsia="宋体" w:cs="Times New Roman"/>
                      <w:b w:val="0"/>
                      <w:bCs w:val="0"/>
                      <w:color w:val="auto"/>
                      <w:kern w:val="2"/>
                      <w:sz w:val="21"/>
                      <w:szCs w:val="21"/>
                      <w:lang w:val="en-US" w:eastAsia="zh-CN" w:bidi="ar-SA"/>
                    </w:rPr>
                    <w:t>。</w:t>
                  </w:r>
                </w:p>
              </w:tc>
              <w:tc>
                <w:tcPr>
                  <w:tcW w:w="695" w:type="dxa"/>
                  <w:tcBorders>
                    <w:tl2br w:val="nil"/>
                    <w:tr2bl w:val="nil"/>
                  </w:tcBorders>
                  <w:noWrap w:val="0"/>
                  <w:vAlign w:val="center"/>
                </w:tcPr>
                <w:p w14:paraId="2F0CBBF1">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符合</w:t>
                  </w:r>
                </w:p>
              </w:tc>
            </w:tr>
            <w:tr w14:paraId="61A6D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558" w:type="dxa"/>
                  <w:tcBorders>
                    <w:tl2br w:val="nil"/>
                    <w:tr2bl w:val="nil"/>
                  </w:tcBorders>
                  <w:noWrap w:val="0"/>
                  <w:vAlign w:val="center"/>
                </w:tcPr>
                <w:p w14:paraId="12B0739B">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三</w:t>
                  </w:r>
                </w:p>
              </w:tc>
              <w:tc>
                <w:tcPr>
                  <w:tcW w:w="5020" w:type="dxa"/>
                  <w:tcBorders>
                    <w:tl2br w:val="nil"/>
                    <w:tr2bl w:val="nil"/>
                  </w:tcBorders>
                  <w:noWrap w:val="0"/>
                  <w:vAlign w:val="center"/>
                </w:tcPr>
                <w:p w14:paraId="0CA60B2A">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color w:val="auto"/>
                      <w:lang w:eastAsia="zh-CN"/>
                    </w:rPr>
                  </w:pPr>
                  <w:r>
                    <w:rPr>
                      <w:rFonts w:hint="default"/>
                      <w:color w:val="auto"/>
                    </w:rPr>
                    <w:t>严格生态环境准入，推动高质量发展</w:t>
                  </w:r>
                  <w:r>
                    <w:rPr>
                      <w:rFonts w:hint="default"/>
                      <w:color w:val="auto"/>
                      <w:lang w:eastAsia="zh-CN"/>
                    </w:rPr>
                    <w:t>：</w:t>
                  </w:r>
                </w:p>
                <w:p w14:paraId="0674746E">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color w:val="auto"/>
                      <w:lang w:val="en-US" w:eastAsia="zh-CN"/>
                    </w:rPr>
                  </w:pPr>
                  <w:r>
                    <w:rPr>
                      <w:rFonts w:hint="default"/>
                      <w:color w:val="auto"/>
                    </w:rPr>
                    <w:t>根据国家和区域发展战略，结合区域生态环境质量现状、省市“三线一单”成果等，严格落实《报告书》生态环境准入要求。严格执行国家产业政策，坚决遏制高耗能、高排放项目盲目发展，应在生态环境准入清单中深化“两高”项目环境准入及管控要求，限制与规划主导产业不相关且污染物排放量大的项目入区，引进的</w:t>
                  </w:r>
                  <w:r>
                    <w:rPr>
                      <w:rFonts w:hint="eastAsia"/>
                      <w:color w:val="auto"/>
                      <w:lang w:eastAsia="zh-CN"/>
                    </w:rPr>
                    <w:t>镁</w:t>
                  </w:r>
                  <w:r>
                    <w:rPr>
                      <w:rFonts w:hint="default"/>
                      <w:color w:val="auto"/>
                    </w:rPr>
                    <w:t>基新材料等项目的生产工艺、设备、自动化水平，以及单位产品能耗、污染物排放等均需达到国际同行业先进水平。新建、改建、</w:t>
                  </w:r>
                  <w:r>
                    <w:rPr>
                      <w:rFonts w:hint="default"/>
                      <w:color w:val="auto"/>
                      <w:lang w:eastAsia="zh-CN"/>
                    </w:rPr>
                    <w:t>改建</w:t>
                  </w:r>
                  <w:r>
                    <w:rPr>
                      <w:rFonts w:hint="default"/>
                      <w:color w:val="auto"/>
                    </w:rPr>
                    <w:t>用煤项目，应当实行煤炭消费等量或减量替代制度。对现有不符合环境准入要求的企业，提出相应的管控措施。</w:t>
                  </w:r>
                </w:p>
              </w:tc>
              <w:tc>
                <w:tcPr>
                  <w:tcW w:w="1855" w:type="dxa"/>
                  <w:tcBorders>
                    <w:tl2br w:val="nil"/>
                    <w:tr2bl w:val="nil"/>
                  </w:tcBorders>
                  <w:noWrap w:val="0"/>
                  <w:vAlign w:val="center"/>
                </w:tcPr>
                <w:p w14:paraId="0197E7CF">
                  <w:pPr>
                    <w:pStyle w:val="37"/>
                    <w:bidi w:val="0"/>
                    <w:jc w:val="both"/>
                    <w:rPr>
                      <w:rFonts w:hint="default"/>
                      <w:color w:val="auto"/>
                      <w:lang w:val="en-US" w:eastAsia="zh-CN"/>
                    </w:rPr>
                  </w:pPr>
                  <w:r>
                    <w:rPr>
                      <w:rFonts w:hint="default"/>
                      <w:color w:val="auto"/>
                    </w:rPr>
                    <w:t>本项目不属于“两高项目”</w:t>
                  </w:r>
                  <w:r>
                    <w:rPr>
                      <w:rFonts w:hint="eastAsia"/>
                      <w:color w:val="auto"/>
                      <w:lang w:eastAsia="zh-CN"/>
                    </w:rPr>
                    <w:t>、</w:t>
                  </w:r>
                  <w:r>
                    <w:rPr>
                      <w:rFonts w:hint="eastAsia"/>
                      <w:color w:val="auto"/>
                      <w:lang w:val="en-US" w:eastAsia="zh-CN"/>
                    </w:rPr>
                    <w:t>不属于污染物排放量大的项目</w:t>
                  </w:r>
                  <w:r>
                    <w:rPr>
                      <w:rFonts w:hint="default"/>
                      <w:color w:val="auto"/>
                    </w:rPr>
                    <w:t>，项目不使用煤。</w:t>
                  </w:r>
                </w:p>
              </w:tc>
              <w:tc>
                <w:tcPr>
                  <w:tcW w:w="695" w:type="dxa"/>
                  <w:tcBorders>
                    <w:tl2br w:val="nil"/>
                    <w:tr2bl w:val="nil"/>
                  </w:tcBorders>
                  <w:noWrap w:val="0"/>
                  <w:vAlign w:val="center"/>
                </w:tcPr>
                <w:p w14:paraId="71A6D5EA">
                  <w:pPr>
                    <w:pStyle w:val="37"/>
                    <w:bidi w:val="0"/>
                    <w:jc w:val="center"/>
                    <w:rPr>
                      <w:rFonts w:hint="default"/>
                      <w:color w:val="auto"/>
                    </w:rPr>
                  </w:pPr>
                  <w:r>
                    <w:rPr>
                      <w:rFonts w:hint="default"/>
                      <w:color w:val="auto"/>
                    </w:rPr>
                    <w:t>符合</w:t>
                  </w:r>
                </w:p>
              </w:tc>
            </w:tr>
            <w:tr w14:paraId="6EABD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08" w:hRule="atLeast"/>
                <w:tblHeader/>
                <w:jc w:val="center"/>
              </w:trPr>
              <w:tc>
                <w:tcPr>
                  <w:tcW w:w="558" w:type="dxa"/>
                  <w:tcBorders>
                    <w:tl2br w:val="nil"/>
                    <w:tr2bl w:val="nil"/>
                  </w:tcBorders>
                  <w:noWrap w:val="0"/>
                  <w:vAlign w:val="center"/>
                </w:tcPr>
                <w:p w14:paraId="616AC0AA">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t>四</w:t>
                  </w:r>
                </w:p>
              </w:tc>
              <w:tc>
                <w:tcPr>
                  <w:tcW w:w="5020" w:type="dxa"/>
                  <w:tcBorders>
                    <w:tl2br w:val="nil"/>
                    <w:tr2bl w:val="nil"/>
                  </w:tcBorders>
                  <w:noWrap w:val="0"/>
                  <w:vAlign w:val="center"/>
                </w:tcPr>
                <w:p w14:paraId="468EAF28">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color w:val="auto"/>
                      <w:lang w:eastAsia="zh-CN"/>
                    </w:rPr>
                  </w:pPr>
                  <w:r>
                    <w:rPr>
                      <w:rFonts w:hint="default"/>
                      <w:color w:val="auto"/>
                    </w:rPr>
                    <w:t>优化产业布局，加强生态空间保护</w:t>
                  </w:r>
                  <w:r>
                    <w:rPr>
                      <w:rFonts w:hint="default"/>
                      <w:color w:val="auto"/>
                      <w:lang w:eastAsia="zh-CN"/>
                    </w:rPr>
                    <w:t>：</w:t>
                  </w:r>
                </w:p>
                <w:p w14:paraId="5DE7943C">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color w:val="auto"/>
                      <w:lang w:val="en-US" w:eastAsia="zh-CN"/>
                    </w:rPr>
                  </w:pPr>
                  <w:r>
                    <w:rPr>
                      <w:rFonts w:hint="default"/>
                      <w:color w:val="auto"/>
                    </w:rPr>
                    <w:t>结合园区产业定位，合理规划不同功能区的环境保护空间，严禁不符合管控要求的各类开发建设活动，禁止布局对生态系统有严重影响的产业。《规划》应主动避让安徽贵池十八索省级自然保护区、饮用水水源保护区、永久基本农田保护区、生态保护红线等生态敏感区，并与其边界保持一定的缓冲防护距离，建设生态防护隔离带。做好园区建设生产，科研，生活服务空间之间及周边环境敏感目标的隔离和管控。实现产恶意发展与区域生态环境保护相协调。</w:t>
                  </w:r>
                </w:p>
              </w:tc>
              <w:tc>
                <w:tcPr>
                  <w:tcW w:w="1855" w:type="dxa"/>
                  <w:tcBorders>
                    <w:tl2br w:val="nil"/>
                    <w:tr2bl w:val="nil"/>
                  </w:tcBorders>
                  <w:noWrap w:val="0"/>
                  <w:vAlign w:val="center"/>
                </w:tcPr>
                <w:p w14:paraId="5D1E8D50">
                  <w:pPr>
                    <w:pStyle w:val="37"/>
                    <w:bidi w:val="0"/>
                    <w:jc w:val="both"/>
                    <w:rPr>
                      <w:rFonts w:hint="default"/>
                      <w:color w:val="auto"/>
                      <w:lang w:val="en-US" w:eastAsia="zh-CN"/>
                    </w:rPr>
                  </w:pPr>
                  <w:r>
                    <w:rPr>
                      <w:rFonts w:hint="default"/>
                      <w:color w:val="auto"/>
                    </w:rPr>
                    <w:t>项目租用安徽青阳经济开发区东河园安徽赛王仓储有限公司厂区内空置厂房，符合开发区功能分区要求。</w:t>
                  </w:r>
                </w:p>
              </w:tc>
              <w:tc>
                <w:tcPr>
                  <w:tcW w:w="695" w:type="dxa"/>
                  <w:tcBorders>
                    <w:tl2br w:val="nil"/>
                    <w:tr2bl w:val="nil"/>
                  </w:tcBorders>
                  <w:noWrap w:val="0"/>
                  <w:vAlign w:val="center"/>
                </w:tcPr>
                <w:p w14:paraId="2F942A64">
                  <w:pPr>
                    <w:pStyle w:val="37"/>
                    <w:bidi w:val="0"/>
                    <w:jc w:val="center"/>
                    <w:rPr>
                      <w:rFonts w:hint="default"/>
                      <w:color w:val="auto"/>
                    </w:rPr>
                  </w:pPr>
                  <w:r>
                    <w:rPr>
                      <w:rFonts w:hint="default"/>
                      <w:color w:val="auto"/>
                    </w:rPr>
                    <w:t>符合</w:t>
                  </w:r>
                </w:p>
              </w:tc>
            </w:tr>
            <w:tr w14:paraId="235E6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blHeader/>
                <w:jc w:val="center"/>
              </w:trPr>
              <w:tc>
                <w:tcPr>
                  <w:tcW w:w="558" w:type="dxa"/>
                  <w:tcBorders>
                    <w:tl2br w:val="nil"/>
                    <w:tr2bl w:val="nil"/>
                  </w:tcBorders>
                  <w:noWrap w:val="0"/>
                  <w:vAlign w:val="center"/>
                </w:tcPr>
                <w:p w14:paraId="75C5C583">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t>五</w:t>
                  </w:r>
                </w:p>
              </w:tc>
              <w:tc>
                <w:tcPr>
                  <w:tcW w:w="5020" w:type="dxa"/>
                  <w:tcBorders>
                    <w:tl2br w:val="nil"/>
                    <w:tr2bl w:val="nil"/>
                  </w:tcBorders>
                  <w:noWrap w:val="0"/>
                  <w:vAlign w:val="center"/>
                </w:tcPr>
                <w:p w14:paraId="0D79FDC9">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color w:val="auto"/>
                      <w:lang w:eastAsia="zh-CN"/>
                    </w:rPr>
                  </w:pPr>
                  <w:r>
                    <w:rPr>
                      <w:rFonts w:hint="default"/>
                      <w:color w:val="auto"/>
                    </w:rPr>
                    <w:t>严守环境质量底线，落实区域环境管控措施</w:t>
                  </w:r>
                  <w:r>
                    <w:rPr>
                      <w:rFonts w:hint="default"/>
                      <w:color w:val="auto"/>
                      <w:lang w:eastAsia="zh-CN"/>
                    </w:rPr>
                    <w:t>：</w:t>
                  </w:r>
                </w:p>
                <w:p w14:paraId="02E13FC2">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color w:val="auto"/>
                      <w:lang w:val="en-US" w:eastAsia="zh-CN"/>
                    </w:rPr>
                  </w:pPr>
                  <w:r>
                    <w:rPr>
                      <w:rFonts w:hint="default"/>
                      <w:color w:val="auto"/>
                    </w:rPr>
                    <w:t>根据国家和我省大气、水、土壤、固体废物污染防治相关要求，制定污染防控方案和污染物总量管控措施。加强入驻项目环境管理，切实保障区域内入驻项目达标排放，合理控制污染物排放总量，落实区域污染物排放总量削减，确保区域环境质量持续优化，达到国家、省，市下达的环境质量管控目标要求，童埠园区项目入驻不得损害安徽贵池十八索省级自然保护区内的环境质量。</w:t>
                  </w:r>
                </w:p>
              </w:tc>
              <w:tc>
                <w:tcPr>
                  <w:tcW w:w="1855" w:type="dxa"/>
                  <w:tcBorders>
                    <w:tl2br w:val="nil"/>
                    <w:tr2bl w:val="nil"/>
                  </w:tcBorders>
                  <w:noWrap w:val="0"/>
                  <w:vAlign w:val="center"/>
                </w:tcPr>
                <w:p w14:paraId="6D24957D">
                  <w:pPr>
                    <w:pStyle w:val="37"/>
                    <w:bidi w:val="0"/>
                    <w:jc w:val="both"/>
                    <w:rPr>
                      <w:rFonts w:hint="default"/>
                      <w:color w:val="auto"/>
                      <w:lang w:val="en-US" w:eastAsia="zh-CN"/>
                    </w:rPr>
                  </w:pPr>
                  <w:r>
                    <w:rPr>
                      <w:rFonts w:hint="default"/>
                      <w:color w:val="auto"/>
                    </w:rPr>
                    <w:t>本项目所在区域环境质量良好，采取各项污染防治措施后，各项污染物达标排放，项目对周围环境影响较小，不会降低区域环境功能级别。</w:t>
                  </w:r>
                </w:p>
              </w:tc>
              <w:tc>
                <w:tcPr>
                  <w:tcW w:w="695" w:type="dxa"/>
                  <w:tcBorders>
                    <w:tl2br w:val="nil"/>
                    <w:tr2bl w:val="nil"/>
                  </w:tcBorders>
                  <w:noWrap w:val="0"/>
                  <w:vAlign w:val="center"/>
                </w:tcPr>
                <w:p w14:paraId="6DE93492">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符合</w:t>
                  </w:r>
                </w:p>
              </w:tc>
            </w:tr>
            <w:tr w14:paraId="5107E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558" w:type="dxa"/>
                  <w:tcBorders>
                    <w:tl2br w:val="nil"/>
                    <w:tr2bl w:val="nil"/>
                  </w:tcBorders>
                  <w:noWrap w:val="0"/>
                  <w:vAlign w:val="center"/>
                </w:tcPr>
                <w:p w14:paraId="404CBECD">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t>六</w:t>
                  </w:r>
                </w:p>
              </w:tc>
              <w:tc>
                <w:tcPr>
                  <w:tcW w:w="5020" w:type="dxa"/>
                  <w:tcBorders>
                    <w:tl2br w:val="nil"/>
                    <w:tr2bl w:val="nil"/>
                  </w:tcBorders>
                  <w:noWrap w:val="0"/>
                  <w:vAlign w:val="center"/>
                </w:tcPr>
                <w:p w14:paraId="4D881C2C">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color w:val="auto"/>
                      <w:lang w:eastAsia="zh-CN"/>
                    </w:rPr>
                  </w:pPr>
                  <w:r>
                    <w:rPr>
                      <w:rFonts w:hint="default"/>
                      <w:color w:val="auto"/>
                    </w:rPr>
                    <w:t>完善环保基础设施建设，强化环境污染防控</w:t>
                  </w:r>
                  <w:r>
                    <w:rPr>
                      <w:rFonts w:hint="default"/>
                      <w:color w:val="auto"/>
                      <w:lang w:eastAsia="zh-CN"/>
                    </w:rPr>
                    <w:t>：</w:t>
                  </w:r>
                </w:p>
                <w:p w14:paraId="5C4C11E8">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color w:val="auto"/>
                      <w:lang w:val="en-US" w:eastAsia="zh-CN"/>
                    </w:rPr>
                  </w:pPr>
                  <w:r>
                    <w:rPr>
                      <w:rFonts w:hint="default"/>
                      <w:color w:val="auto"/>
                    </w:rPr>
                    <w:t>加快规划污水处理厂和污水管网建设，童埠园区工业废水处理后全部回用。结合区域供水、排水和供气（供热）等规划，合理确定开发规模、强度和时序。结合区域环境质量现状，细化污染防治基础设施建设要求，对存在环境问题的现有企业制订整改方案，督促落实整改措施。</w:t>
                  </w:r>
                </w:p>
              </w:tc>
              <w:tc>
                <w:tcPr>
                  <w:tcW w:w="1855" w:type="dxa"/>
                  <w:tcBorders>
                    <w:tl2br w:val="nil"/>
                    <w:tr2bl w:val="nil"/>
                  </w:tcBorders>
                  <w:noWrap w:val="0"/>
                  <w:vAlign w:val="center"/>
                </w:tcPr>
                <w:p w14:paraId="56E9B9C6">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color w:val="auto"/>
                      <w:lang w:val="en-US" w:eastAsia="zh-CN"/>
                    </w:rPr>
                  </w:pPr>
                  <w:r>
                    <w:rPr>
                      <w:rFonts w:hint="default"/>
                      <w:color w:val="auto"/>
                    </w:rPr>
                    <w:t>本项目运营期主要为空压系统冷凝水和生活污水，生活污水经化粪池预处理后与空压系统冷凝水经厂区污水总排口排入市政污水管网排入青阳县污水处理厂深度处理，尾水最终排入青通河。</w:t>
                  </w:r>
                </w:p>
              </w:tc>
              <w:tc>
                <w:tcPr>
                  <w:tcW w:w="695" w:type="dxa"/>
                  <w:tcBorders>
                    <w:tl2br w:val="nil"/>
                    <w:tr2bl w:val="nil"/>
                  </w:tcBorders>
                  <w:noWrap w:val="0"/>
                  <w:vAlign w:val="center"/>
                </w:tcPr>
                <w:p w14:paraId="48AFEA2D">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符合</w:t>
                  </w:r>
                </w:p>
              </w:tc>
            </w:tr>
            <w:tr w14:paraId="19509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558" w:type="dxa"/>
                  <w:tcBorders>
                    <w:tl2br w:val="nil"/>
                    <w:tr2bl w:val="nil"/>
                  </w:tcBorders>
                  <w:noWrap w:val="0"/>
                  <w:vAlign w:val="center"/>
                </w:tcPr>
                <w:p w14:paraId="24F0CFD1">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七</w:t>
                  </w:r>
                </w:p>
              </w:tc>
              <w:tc>
                <w:tcPr>
                  <w:tcW w:w="5020" w:type="dxa"/>
                  <w:tcBorders>
                    <w:tl2br w:val="nil"/>
                    <w:tr2bl w:val="nil"/>
                  </w:tcBorders>
                  <w:noWrap w:val="0"/>
                  <w:vAlign w:val="center"/>
                </w:tcPr>
                <w:p w14:paraId="5F01139C">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color w:val="auto"/>
                      <w:lang w:eastAsia="zh-CN"/>
                    </w:rPr>
                  </w:pPr>
                  <w:r>
                    <w:rPr>
                      <w:rFonts w:hint="default"/>
                      <w:color w:val="auto"/>
                    </w:rPr>
                    <w:t>强化环境风险防控，完善环境监测体系</w:t>
                  </w:r>
                  <w:r>
                    <w:rPr>
                      <w:rFonts w:hint="default"/>
                      <w:color w:val="auto"/>
                      <w:lang w:eastAsia="zh-CN"/>
                    </w:rPr>
                    <w:t>：</w:t>
                  </w:r>
                </w:p>
                <w:p w14:paraId="0ACC1E40">
                  <w:pPr>
                    <w:pStyle w:val="37"/>
                    <w:keepNext w:val="0"/>
                    <w:keepLines w:val="0"/>
                    <w:pageBreakBefore w:val="0"/>
                    <w:widowControl w:val="0"/>
                    <w:kinsoku/>
                    <w:wordWrap/>
                    <w:overflowPunct w:val="0"/>
                    <w:topLinePunct w:val="0"/>
                    <w:autoSpaceDE/>
                    <w:autoSpaceDN/>
                    <w:bidi w:val="0"/>
                    <w:adjustRightInd w:val="0"/>
                    <w:snapToGrid w:val="0"/>
                    <w:spacing w:after="0"/>
                    <w:jc w:val="both"/>
                    <w:textAlignment w:val="auto"/>
                    <w:rPr>
                      <w:rFonts w:hint="default"/>
                      <w:color w:val="auto"/>
                    </w:rPr>
                  </w:pPr>
                  <w:r>
                    <w:rPr>
                      <w:rFonts w:hint="default"/>
                      <w:color w:val="auto"/>
                    </w:rPr>
                    <w:t>加强园区环境风险三级防控体系和能力建设，落实环境风险应急与防范措施，重点关注童埠园区环境风险源的识别与管控，确保事故状态下的事故废水与外环境有效隔离。加强环境应急物资储备，强化园区环境管理和监测能力建设，定期开展突发环境事件应急演练，加强事件处置协同能力建设。根据规划产业布局及功能分区、重点企业分布、特征污染物的排放种类和状况、重要生态环境敏感目标的分布等，建立健全水、气、土等各环境要素长期稳定的环境监控体系，建立童埠园区对安徽贵池十八索省级自然保护区的生态影响跟踪监控分析体系。严格落实建设项目环境影响评价和排污许可制度，适时开展规划环境影响跟踪评价。</w:t>
                  </w:r>
                </w:p>
              </w:tc>
              <w:tc>
                <w:tcPr>
                  <w:tcW w:w="1855" w:type="dxa"/>
                  <w:tcBorders>
                    <w:tl2br w:val="nil"/>
                    <w:tr2bl w:val="nil"/>
                  </w:tcBorders>
                  <w:noWrap w:val="0"/>
                  <w:vAlign w:val="center"/>
                </w:tcPr>
                <w:p w14:paraId="46029AE5">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color w:val="auto"/>
                      <w:lang w:eastAsia="zh-CN"/>
                    </w:rPr>
                  </w:pPr>
                  <w:r>
                    <w:rPr>
                      <w:rFonts w:hint="default"/>
                      <w:color w:val="auto"/>
                    </w:rPr>
                    <w:t>本次评价要求建设单位编制突发环境事件应急预案并定期进行演练，采取风险防范措施，配备风险物资，将环境风险水平降至最低。</w:t>
                  </w:r>
                </w:p>
              </w:tc>
              <w:tc>
                <w:tcPr>
                  <w:tcW w:w="695" w:type="dxa"/>
                  <w:tcBorders>
                    <w:tl2br w:val="nil"/>
                    <w:tr2bl w:val="nil"/>
                  </w:tcBorders>
                  <w:noWrap w:val="0"/>
                  <w:vAlign w:val="center"/>
                </w:tcPr>
                <w:p w14:paraId="1EA86CDD">
                  <w:pPr>
                    <w:pStyle w:val="37"/>
                    <w:keepNext w:val="0"/>
                    <w:keepLines w:val="0"/>
                    <w:pageBreakBefore w:val="0"/>
                    <w:widowControl w:val="0"/>
                    <w:kinsoku/>
                    <w:wordWrap/>
                    <w:overflowPunct w:val="0"/>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sz w:val="21"/>
                      <w:szCs w:val="21"/>
                      <w:lang w:eastAsia="zh-CN"/>
                    </w:rPr>
                  </w:pPr>
                  <w:r>
                    <w:rPr>
                      <w:rFonts w:hint="eastAsia" w:ascii="Times New Roman" w:hAnsi="Times New Roman" w:cs="Times New Roman"/>
                      <w:b w:val="0"/>
                      <w:bCs w:val="0"/>
                      <w:color w:val="auto"/>
                      <w:sz w:val="21"/>
                      <w:szCs w:val="21"/>
                      <w:lang w:eastAsia="zh-CN"/>
                    </w:rPr>
                    <w:t>符合</w:t>
                  </w:r>
                </w:p>
              </w:tc>
            </w:tr>
          </w:tbl>
          <w:p w14:paraId="0849C37C">
            <w:pPr>
              <w:bidi w:val="0"/>
              <w:rPr>
                <w:rFonts w:hint="default" w:ascii="Times New Roman" w:hAnsi="Times New Roman" w:cs="Times New Roman"/>
                <w:color w:val="auto"/>
                <w:lang w:eastAsia="zh-CN"/>
              </w:rPr>
            </w:pPr>
            <w:r>
              <w:rPr>
                <w:rFonts w:hint="default" w:ascii="Times New Roman" w:hAnsi="Times New Roman" w:eastAsia="宋体" w:cs="Times New Roman"/>
                <w:color w:val="auto"/>
                <w:sz w:val="24"/>
                <w:szCs w:val="24"/>
                <w:lang w:eastAsia="zh-CN"/>
              </w:rPr>
              <w:t>综上，</w:t>
            </w:r>
            <w:r>
              <w:rPr>
                <w:rFonts w:hint="default" w:ascii="Times New Roman" w:hAnsi="Times New Roman" w:cs="Times New Roman"/>
                <w:color w:val="auto"/>
                <w:sz w:val="24"/>
                <w:szCs w:val="24"/>
                <w:lang w:eastAsia="zh-CN"/>
              </w:rPr>
              <w:t>本项目</w:t>
            </w:r>
            <w:r>
              <w:rPr>
                <w:rFonts w:hint="default" w:ascii="Times New Roman" w:hAnsi="Times New Roman" w:eastAsia="宋体" w:cs="Times New Roman"/>
                <w:color w:val="auto"/>
                <w:sz w:val="24"/>
                <w:szCs w:val="24"/>
              </w:rPr>
              <w:t>与《安徽青阳经济开发区总体发展规划（</w:t>
            </w:r>
            <w:r>
              <w:rPr>
                <w:rFonts w:hint="eastAsia" w:cs="Times New Roman"/>
                <w:color w:val="auto"/>
                <w:sz w:val="24"/>
                <w:szCs w:val="24"/>
                <w:lang w:eastAsia="zh-CN"/>
              </w:rPr>
              <w:t>2021-2030年</w:t>
            </w:r>
            <w:r>
              <w:rPr>
                <w:rFonts w:hint="default" w:ascii="Times New Roman" w:hAnsi="Times New Roman" w:eastAsia="宋体" w:cs="Times New Roman"/>
                <w:color w:val="auto"/>
                <w:sz w:val="24"/>
                <w:szCs w:val="24"/>
              </w:rPr>
              <w:t>）环境影响报告书》</w:t>
            </w:r>
            <w:r>
              <w:rPr>
                <w:rFonts w:hint="eastAsia" w:cs="Times New Roman"/>
                <w:color w:val="auto"/>
                <w:sz w:val="24"/>
                <w:szCs w:val="24"/>
                <w:lang w:val="en-US" w:eastAsia="zh-CN"/>
              </w:rPr>
              <w:t>及</w:t>
            </w:r>
            <w:r>
              <w:rPr>
                <w:rFonts w:hint="default" w:ascii="Times New Roman" w:hAnsi="Times New Roman" w:eastAsia="宋体" w:cs="Times New Roman"/>
                <w:color w:val="auto"/>
                <w:sz w:val="24"/>
                <w:szCs w:val="24"/>
              </w:rPr>
              <w:t>审查意见（皖环函</w:t>
            </w:r>
            <w:r>
              <w:rPr>
                <w:rFonts w:hint="eastAsia" w:cs="Times New Roman"/>
                <w:color w:val="auto"/>
                <w:sz w:val="24"/>
                <w:szCs w:val="24"/>
                <w:lang w:eastAsia="zh-CN"/>
              </w:rPr>
              <w:t>〔2021〕701号</w:t>
            </w:r>
            <w:r>
              <w:rPr>
                <w:rFonts w:hint="default" w:ascii="Times New Roman" w:hAnsi="Times New Roman" w:eastAsia="宋体" w:cs="Times New Roman"/>
                <w:color w:val="auto"/>
                <w:sz w:val="24"/>
                <w:szCs w:val="24"/>
              </w:rPr>
              <w:t>）相符合。</w:t>
            </w:r>
          </w:p>
        </w:tc>
      </w:tr>
      <w:tr w14:paraId="09764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69" w:type="dxa"/>
            <w:tcBorders>
              <w:tl2br w:val="nil"/>
              <w:tr2bl w:val="nil"/>
            </w:tcBorders>
            <w:noWrap w:val="0"/>
            <w:vAlign w:val="center"/>
          </w:tcPr>
          <w:p w14:paraId="068DDD9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color w:val="auto"/>
                <w:sz w:val="24"/>
                <w:szCs w:val="24"/>
              </w:rPr>
            </w:pPr>
            <w:r>
              <w:rPr>
                <w:rFonts w:hint="default"/>
                <w:color w:val="auto"/>
              </w:rPr>
              <w:t>其他符合性分析</w:t>
            </w:r>
          </w:p>
        </w:tc>
        <w:tc>
          <w:tcPr>
            <w:tcW w:w="8249" w:type="dxa"/>
            <w:tcBorders>
              <w:tl2br w:val="nil"/>
              <w:tr2bl w:val="nil"/>
            </w:tcBorders>
            <w:noWrap w:val="0"/>
            <w:vAlign w:val="center"/>
          </w:tcPr>
          <w:p w14:paraId="7DBEC62A">
            <w:pPr>
              <w:bidi w:val="0"/>
              <w:ind w:left="0" w:leftChars="0" w:firstLine="0" w:firstLineChars="0"/>
              <w:rPr>
                <w:rFonts w:hint="default" w:ascii="Times New Roman" w:hAnsi="Times New Roman" w:eastAsia="宋体" w:cs="Times New Roman"/>
                <w:b/>
                <w:bCs/>
                <w:color w:val="auto"/>
                <w:sz w:val="24"/>
                <w:szCs w:val="24"/>
                <w:lang w:val="en-US" w:eastAsia="zh-CN"/>
              </w:rPr>
            </w:pPr>
            <w:r>
              <w:rPr>
                <w:rFonts w:hint="eastAsia" w:cs="Times New Roman"/>
                <w:b/>
                <w:bCs/>
                <w:color w:val="auto"/>
                <w:sz w:val="24"/>
                <w:szCs w:val="24"/>
                <w:lang w:val="en-US" w:eastAsia="zh-CN"/>
              </w:rPr>
              <w:t xml:space="preserve">1.4 </w:t>
            </w:r>
            <w:r>
              <w:rPr>
                <w:rFonts w:hint="default" w:ascii="Times New Roman" w:hAnsi="Times New Roman" w:eastAsia="宋体" w:cs="Times New Roman"/>
                <w:b/>
                <w:bCs/>
                <w:color w:val="auto"/>
                <w:sz w:val="24"/>
                <w:szCs w:val="24"/>
                <w:lang w:val="en-US" w:eastAsia="zh-CN"/>
              </w:rPr>
              <w:t>产业政策相符性分析</w:t>
            </w:r>
          </w:p>
          <w:p w14:paraId="35D723E3">
            <w:pPr>
              <w:bidi w:val="0"/>
              <w:rPr>
                <w:rFonts w:hint="default"/>
                <w:color w:val="auto"/>
                <w:sz w:val="24"/>
                <w:szCs w:val="24"/>
              </w:rPr>
            </w:pPr>
            <w:r>
              <w:rPr>
                <w:rFonts w:hint="eastAsia"/>
                <w:color w:val="auto"/>
                <w:sz w:val="24"/>
                <w:szCs w:val="24"/>
                <w:lang w:eastAsia="zh-CN"/>
              </w:rPr>
              <w:t>本项目</w:t>
            </w:r>
            <w:r>
              <w:rPr>
                <w:rFonts w:hint="default"/>
                <w:color w:val="auto"/>
                <w:sz w:val="24"/>
                <w:szCs w:val="24"/>
              </w:rPr>
              <w:t>属于</w:t>
            </w:r>
            <w:r>
              <w:rPr>
                <w:rFonts w:hint="eastAsia"/>
                <w:color w:val="auto"/>
                <w:sz w:val="24"/>
                <w:szCs w:val="24"/>
                <w:lang w:eastAsia="zh-CN"/>
              </w:rPr>
              <w:t>“</w:t>
            </w:r>
            <w:r>
              <w:rPr>
                <w:rFonts w:hint="eastAsia"/>
                <w:color w:val="auto"/>
                <w:sz w:val="24"/>
                <w:szCs w:val="24"/>
                <w:lang w:val="en-US" w:eastAsia="zh-CN"/>
              </w:rPr>
              <w:t>C3422金属成形机床制造、C3423铸造机械制造以及C3461烘炉、熔炉及电炉制造</w:t>
            </w:r>
            <w:r>
              <w:rPr>
                <w:rFonts w:hint="eastAsia"/>
                <w:color w:val="auto"/>
                <w:sz w:val="24"/>
                <w:szCs w:val="24"/>
                <w:lang w:eastAsia="zh-CN"/>
              </w:rPr>
              <w:t>”</w:t>
            </w:r>
            <w:r>
              <w:rPr>
                <w:rFonts w:hint="default"/>
                <w:color w:val="auto"/>
                <w:sz w:val="24"/>
                <w:szCs w:val="24"/>
              </w:rPr>
              <w:t>项目，对照《产业结构调整指导目录（</w:t>
            </w:r>
            <w:r>
              <w:rPr>
                <w:rFonts w:hint="eastAsia"/>
                <w:color w:val="auto"/>
                <w:sz w:val="24"/>
                <w:szCs w:val="24"/>
                <w:lang w:val="en-US" w:eastAsia="zh-CN"/>
              </w:rPr>
              <w:t>2024</w:t>
            </w:r>
            <w:r>
              <w:rPr>
                <w:rFonts w:hint="default"/>
                <w:color w:val="auto"/>
                <w:sz w:val="24"/>
                <w:szCs w:val="24"/>
              </w:rPr>
              <w:t>年本）》，</w:t>
            </w:r>
            <w:r>
              <w:rPr>
                <w:rFonts w:hint="eastAsia"/>
                <w:color w:val="auto"/>
                <w:sz w:val="24"/>
                <w:szCs w:val="24"/>
                <w:lang w:eastAsia="zh-CN"/>
              </w:rPr>
              <w:t>本项目</w:t>
            </w:r>
            <w:r>
              <w:rPr>
                <w:rFonts w:hint="default"/>
                <w:color w:val="auto"/>
                <w:sz w:val="24"/>
                <w:szCs w:val="24"/>
              </w:rPr>
              <w:t>不属于</w:t>
            </w:r>
            <w:r>
              <w:rPr>
                <w:rFonts w:hint="eastAsia"/>
                <w:color w:val="auto"/>
                <w:sz w:val="24"/>
                <w:szCs w:val="24"/>
                <w:lang w:eastAsia="zh-CN"/>
              </w:rPr>
              <w:t>其中</w:t>
            </w:r>
            <w:r>
              <w:rPr>
                <w:rFonts w:hint="default"/>
                <w:color w:val="auto"/>
                <w:sz w:val="24"/>
                <w:szCs w:val="24"/>
              </w:rPr>
              <w:t>鼓励类”“限制类”和“淘汰类”项目，视为“允许类”项目，项目符合国家现行产业政策。根据中华人民共和国工业和信息化部颁布的《部分工业行业淘汰落后生产工艺装备和产品指导目录（2010年本）（工产业</w:t>
            </w:r>
            <w:r>
              <w:rPr>
                <w:rFonts w:hint="eastAsia"/>
                <w:color w:val="auto"/>
                <w:sz w:val="24"/>
                <w:szCs w:val="24"/>
                <w:lang w:eastAsia="zh-CN"/>
              </w:rPr>
              <w:t>〔2010〕122号</w:t>
            </w:r>
            <w:r>
              <w:rPr>
                <w:rFonts w:hint="default"/>
                <w:color w:val="auto"/>
                <w:sz w:val="24"/>
                <w:szCs w:val="24"/>
              </w:rPr>
              <w:t>）》，本次工程的工艺、设备和产品不在淘汰落后生产工艺装备目录中。根据</w:t>
            </w:r>
            <w:r>
              <w:rPr>
                <w:rFonts w:hint="eastAsia"/>
                <w:color w:val="auto"/>
                <w:sz w:val="24"/>
                <w:szCs w:val="24"/>
                <w:lang w:eastAsia="zh-CN"/>
              </w:rPr>
              <w:t>《</w:t>
            </w:r>
            <w:r>
              <w:rPr>
                <w:rFonts w:hint="default"/>
                <w:color w:val="auto"/>
                <w:sz w:val="24"/>
                <w:szCs w:val="24"/>
              </w:rPr>
              <w:t>安徽青阳经济开发区总体发展规划（2021-2030年）</w:t>
            </w:r>
            <w:r>
              <w:rPr>
                <w:rFonts w:hint="eastAsia"/>
                <w:color w:val="auto"/>
                <w:sz w:val="24"/>
                <w:szCs w:val="24"/>
                <w:lang w:eastAsia="zh-CN"/>
              </w:rPr>
              <w:t>》</w:t>
            </w:r>
            <w:r>
              <w:rPr>
                <w:rFonts w:hint="default"/>
                <w:color w:val="auto"/>
                <w:sz w:val="24"/>
                <w:szCs w:val="24"/>
              </w:rPr>
              <w:t>环境影响报告书中入区行业控制建议，本项目不属于安徽青阳经济开发区生态环境准入清单行业。项目已于</w:t>
            </w:r>
            <w:r>
              <w:rPr>
                <w:rFonts w:hint="eastAsia"/>
                <w:color w:val="auto"/>
                <w:sz w:val="24"/>
                <w:szCs w:val="24"/>
                <w:lang w:val="en-US" w:eastAsia="zh-CN"/>
              </w:rPr>
              <w:t>2026</w:t>
            </w:r>
            <w:r>
              <w:rPr>
                <w:rFonts w:hint="default"/>
                <w:color w:val="auto"/>
                <w:sz w:val="24"/>
                <w:szCs w:val="24"/>
              </w:rPr>
              <w:t>年</w:t>
            </w:r>
            <w:r>
              <w:rPr>
                <w:rFonts w:hint="eastAsia"/>
                <w:color w:val="auto"/>
                <w:sz w:val="24"/>
                <w:szCs w:val="24"/>
                <w:lang w:val="en-US" w:eastAsia="zh-CN"/>
              </w:rPr>
              <w:t>1</w:t>
            </w:r>
            <w:r>
              <w:rPr>
                <w:rFonts w:hint="default"/>
                <w:color w:val="auto"/>
                <w:sz w:val="24"/>
                <w:szCs w:val="24"/>
              </w:rPr>
              <w:t>月</w:t>
            </w:r>
            <w:r>
              <w:rPr>
                <w:rFonts w:hint="eastAsia"/>
                <w:color w:val="auto"/>
                <w:sz w:val="24"/>
                <w:szCs w:val="24"/>
                <w:lang w:val="en-US" w:eastAsia="zh-CN"/>
              </w:rPr>
              <w:t>13</w:t>
            </w:r>
            <w:r>
              <w:rPr>
                <w:rFonts w:hint="default"/>
                <w:color w:val="auto"/>
                <w:sz w:val="24"/>
                <w:szCs w:val="24"/>
              </w:rPr>
              <w:t>日取得</w:t>
            </w:r>
            <w:r>
              <w:rPr>
                <w:rFonts w:hint="eastAsia"/>
                <w:color w:val="auto"/>
                <w:sz w:val="24"/>
                <w:szCs w:val="24"/>
                <w:lang w:val="en-US" w:eastAsia="zh-CN"/>
              </w:rPr>
              <w:t>青阳县发展和改革委员会</w:t>
            </w:r>
            <w:r>
              <w:rPr>
                <w:rFonts w:hint="default"/>
                <w:color w:val="auto"/>
                <w:sz w:val="24"/>
                <w:szCs w:val="24"/>
              </w:rPr>
              <w:t>出具的备案文件，备案号为2311-341723-04-01-889515，因此，</w:t>
            </w:r>
            <w:r>
              <w:rPr>
                <w:rFonts w:hint="eastAsia"/>
                <w:color w:val="auto"/>
                <w:sz w:val="24"/>
                <w:szCs w:val="24"/>
                <w:lang w:eastAsia="zh-CN"/>
              </w:rPr>
              <w:t>本项目</w:t>
            </w:r>
            <w:r>
              <w:rPr>
                <w:rFonts w:hint="default"/>
                <w:color w:val="auto"/>
                <w:sz w:val="24"/>
                <w:szCs w:val="24"/>
              </w:rPr>
              <w:t>符合国家产业政策。</w:t>
            </w:r>
          </w:p>
          <w:p w14:paraId="3C5BCF34">
            <w:pPr>
              <w:bidi w:val="0"/>
              <w:ind w:left="0" w:leftChars="0" w:firstLine="0" w:firstLineChars="0"/>
              <w:rPr>
                <w:b/>
                <w:bCs/>
                <w:color w:val="auto"/>
              </w:rPr>
            </w:pPr>
            <w:r>
              <w:rPr>
                <w:rFonts w:hint="eastAsia"/>
                <w:b/>
                <w:bCs/>
                <w:color w:val="auto"/>
                <w:lang w:val="en-US" w:eastAsia="zh-CN"/>
              </w:rPr>
              <w:t xml:space="preserve">1.5 </w:t>
            </w:r>
            <w:r>
              <w:rPr>
                <w:rFonts w:hint="eastAsia"/>
                <w:b/>
                <w:bCs/>
                <w:color w:val="auto"/>
              </w:rPr>
              <w:t>选址符合性分析</w:t>
            </w:r>
          </w:p>
          <w:p w14:paraId="15C957CB">
            <w:pPr>
              <w:bidi w:val="0"/>
              <w:rPr>
                <w:rFonts w:hint="eastAsia" w:eastAsia="宋体"/>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）选址符合性分析</w:t>
            </w:r>
          </w:p>
          <w:p w14:paraId="3A5FF41D">
            <w:pPr>
              <w:rPr>
                <w:color w:val="auto"/>
                <w:sz w:val="24"/>
                <w:szCs w:val="24"/>
              </w:rPr>
            </w:pPr>
            <w:r>
              <w:rPr>
                <w:rFonts w:hint="eastAsia" w:cs="Times New Roman"/>
                <w:color w:val="auto"/>
                <w:sz w:val="24"/>
                <w:szCs w:val="24"/>
                <w:lang w:eastAsia="zh-CN"/>
              </w:rPr>
              <w:t>本项目</w:t>
            </w:r>
            <w:r>
              <w:rPr>
                <w:rFonts w:hint="default" w:ascii="Times New Roman" w:hAnsi="Times New Roman" w:cs="Times New Roman"/>
                <w:color w:val="auto"/>
                <w:sz w:val="24"/>
                <w:szCs w:val="24"/>
              </w:rPr>
              <w:t>位于安徽省池州市青阳县经济开发区东河园区安徽赛王仓储有限公司厂区内空置厂房，地理位置图详见附图1</w:t>
            </w:r>
            <w:r>
              <w:rPr>
                <w:rFonts w:hint="eastAsia" w:cs="Times New Roman"/>
                <w:color w:val="auto"/>
                <w:sz w:val="24"/>
                <w:szCs w:val="24"/>
                <w:lang w:eastAsia="zh-CN"/>
              </w:rPr>
              <w:t>，</w:t>
            </w:r>
            <w:r>
              <w:rPr>
                <w:color w:val="auto"/>
                <w:sz w:val="24"/>
                <w:szCs w:val="24"/>
              </w:rPr>
              <w:t>项目</w:t>
            </w:r>
            <w:r>
              <w:rPr>
                <w:rFonts w:hint="eastAsia"/>
                <w:color w:val="auto"/>
                <w:sz w:val="24"/>
                <w:szCs w:val="24"/>
                <w:lang w:eastAsia="zh-CN"/>
              </w:rPr>
              <w:t>厂界外</w:t>
            </w:r>
            <w:r>
              <w:rPr>
                <w:rFonts w:hint="eastAsia"/>
                <w:color w:val="auto"/>
                <w:sz w:val="24"/>
                <w:szCs w:val="24"/>
              </w:rPr>
              <w:t>西北侧为5.47m人才公寓，东侧为城东路，南侧为乔木路，西侧为池州赛唯特电子科技有限公司。本项目通过采取合理布局，产污产噪设备均尽可能远离西北侧的人才公寓；项目产污环节尽可能采取密闭收集</w:t>
            </w:r>
            <w:r>
              <w:rPr>
                <w:rFonts w:hint="eastAsia"/>
                <w:color w:val="auto"/>
                <w:sz w:val="24"/>
                <w:szCs w:val="24"/>
                <w:lang w:val="en-US" w:eastAsia="zh-CN"/>
              </w:rPr>
              <w:t>，废气，废水均采取措施后确保达标排放，</w:t>
            </w:r>
            <w:r>
              <w:rPr>
                <w:color w:val="auto"/>
                <w:sz w:val="24"/>
                <w:szCs w:val="24"/>
              </w:rPr>
              <w:t>对周边敏感目标的环境影响较小。因此，</w:t>
            </w:r>
            <w:r>
              <w:rPr>
                <w:rFonts w:hint="eastAsia"/>
                <w:color w:val="auto"/>
                <w:sz w:val="24"/>
                <w:szCs w:val="24"/>
                <w:lang w:eastAsia="zh-CN"/>
              </w:rPr>
              <w:t>本项目</w:t>
            </w:r>
            <w:r>
              <w:rPr>
                <w:color w:val="auto"/>
                <w:sz w:val="24"/>
                <w:szCs w:val="24"/>
              </w:rPr>
              <w:t>选址合理。</w:t>
            </w:r>
          </w:p>
          <w:p w14:paraId="0B605B36">
            <w:pPr>
              <w:bidi w:val="0"/>
              <w:rPr>
                <w:rFonts w:hint="eastAsia" w:ascii="Times New Roman" w:hAnsi="Times New Roman" w:eastAsia="宋体" w:cs="Times New Roman"/>
                <w:color w:val="auto"/>
                <w:sz w:val="24"/>
                <w:szCs w:val="24"/>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rPr>
              <w:t>用地符合性分析</w:t>
            </w:r>
          </w:p>
          <w:p w14:paraId="056D89D6">
            <w:pPr>
              <w:bidi w:val="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eastAsia="zh-CN"/>
              </w:rPr>
              <w:t>本项目</w:t>
            </w:r>
            <w:r>
              <w:rPr>
                <w:rFonts w:hint="eastAsia" w:cs="Times New Roman"/>
                <w:color w:val="auto"/>
                <w:sz w:val="24"/>
                <w:szCs w:val="24"/>
                <w:lang w:val="en-US" w:eastAsia="zh-CN"/>
              </w:rPr>
              <w:t>位于</w:t>
            </w:r>
            <w:r>
              <w:rPr>
                <w:rFonts w:hint="eastAsia" w:ascii="Times New Roman" w:hAnsi="Times New Roman" w:eastAsia="宋体" w:cs="Times New Roman"/>
                <w:color w:val="auto"/>
                <w:sz w:val="24"/>
                <w:szCs w:val="24"/>
              </w:rPr>
              <w:t>安徽省池州市青阳县经济开发区东河园区安徽赛王仓储有限公司厂区内空置厂房，对照青阳县经济开发区总体规划（</w:t>
            </w:r>
            <w:r>
              <w:rPr>
                <w:rFonts w:hint="eastAsia" w:cs="Times New Roman"/>
                <w:color w:val="auto"/>
                <w:sz w:val="24"/>
                <w:szCs w:val="24"/>
                <w:lang w:eastAsia="zh-CN"/>
              </w:rPr>
              <w:t>2021-2030年</w:t>
            </w:r>
            <w:r>
              <w:rPr>
                <w:rFonts w:hint="eastAsia" w:ascii="Times New Roman" w:hAnsi="Times New Roman" w:eastAsia="宋体" w:cs="Times New Roman"/>
                <w:color w:val="auto"/>
                <w:sz w:val="24"/>
                <w:szCs w:val="24"/>
              </w:rPr>
              <w:t>）中的位置（详见附图10），本项目占地类型属于工业用地，符合规划要求</w:t>
            </w:r>
            <w:r>
              <w:rPr>
                <w:rFonts w:hint="eastAsia" w:ascii="Times New Roman" w:hAnsi="Times New Roman" w:eastAsia="宋体" w:cs="Times New Roman"/>
                <w:color w:val="auto"/>
                <w:sz w:val="24"/>
                <w:szCs w:val="24"/>
                <w:lang w:eastAsia="zh-CN"/>
              </w:rPr>
              <w:t>。</w:t>
            </w:r>
          </w:p>
          <w:p w14:paraId="24EC97AD">
            <w:pPr>
              <w:bidi w:val="0"/>
              <w:rPr>
                <w:color w:val="auto"/>
                <w:sz w:val="24"/>
                <w:szCs w:val="24"/>
              </w:rPr>
            </w:pPr>
            <w:r>
              <w:rPr>
                <w:rFonts w:hint="eastAsia"/>
                <w:color w:val="auto"/>
                <w:sz w:val="24"/>
                <w:szCs w:val="24"/>
                <w:lang w:eastAsia="zh-CN"/>
              </w:rPr>
              <w:t>（</w:t>
            </w:r>
            <w:r>
              <w:rPr>
                <w:rFonts w:hint="eastAsia"/>
                <w:color w:val="auto"/>
                <w:sz w:val="24"/>
                <w:szCs w:val="24"/>
                <w:lang w:val="en-US" w:eastAsia="zh-CN"/>
              </w:rPr>
              <w:t>3</w:t>
            </w:r>
            <w:r>
              <w:rPr>
                <w:rFonts w:hint="eastAsia"/>
                <w:color w:val="auto"/>
                <w:sz w:val="24"/>
                <w:szCs w:val="24"/>
                <w:lang w:eastAsia="zh-CN"/>
              </w:rPr>
              <w:t>）</w:t>
            </w:r>
            <w:r>
              <w:rPr>
                <w:rFonts w:hint="eastAsia"/>
                <w:color w:val="auto"/>
                <w:sz w:val="24"/>
                <w:szCs w:val="24"/>
              </w:rPr>
              <w:t>建设条件可行性分析</w:t>
            </w:r>
          </w:p>
          <w:p w14:paraId="141030D7">
            <w:pPr>
              <w:bidi w:val="0"/>
              <w:rPr>
                <w:color w:val="auto"/>
                <w:sz w:val="24"/>
                <w:szCs w:val="24"/>
              </w:rPr>
            </w:pPr>
            <w:r>
              <w:rPr>
                <w:rFonts w:hint="eastAsia"/>
                <w:color w:val="auto"/>
                <w:sz w:val="24"/>
                <w:szCs w:val="24"/>
              </w:rPr>
              <w:t>项目建设区域附近的市政供水、排水、供电管网等基础设施齐全满足建设所需的外部条件。从建设条件可行性分析</w:t>
            </w:r>
            <w:r>
              <w:rPr>
                <w:rFonts w:hint="eastAsia"/>
                <w:color w:val="auto"/>
                <w:sz w:val="24"/>
                <w:szCs w:val="24"/>
                <w:lang w:eastAsia="zh-CN"/>
              </w:rPr>
              <w:t>本项目</w:t>
            </w:r>
            <w:r>
              <w:rPr>
                <w:rFonts w:hint="eastAsia"/>
                <w:color w:val="auto"/>
                <w:sz w:val="24"/>
                <w:szCs w:val="24"/>
              </w:rPr>
              <w:t>选址合理。</w:t>
            </w:r>
          </w:p>
          <w:p w14:paraId="2766E460">
            <w:pPr>
              <w:bidi w:val="0"/>
              <w:rPr>
                <w:color w:val="auto"/>
                <w:sz w:val="24"/>
                <w:szCs w:val="24"/>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w:t>
            </w:r>
            <w:r>
              <w:rPr>
                <w:rFonts w:hint="eastAsia"/>
                <w:color w:val="auto"/>
                <w:sz w:val="24"/>
                <w:szCs w:val="24"/>
              </w:rPr>
              <w:t>周边环境相容性分析</w:t>
            </w:r>
          </w:p>
          <w:p w14:paraId="7D895B5A">
            <w:pPr>
              <w:bidi w:val="0"/>
              <w:rPr>
                <w:color w:val="auto"/>
                <w:sz w:val="24"/>
                <w:szCs w:val="24"/>
              </w:rPr>
            </w:pPr>
            <w:r>
              <w:rPr>
                <w:rFonts w:hint="eastAsia"/>
                <w:color w:val="auto"/>
                <w:sz w:val="24"/>
                <w:szCs w:val="24"/>
                <w:lang w:eastAsia="zh-CN"/>
              </w:rPr>
              <w:t>本项目</w:t>
            </w:r>
            <w:r>
              <w:rPr>
                <w:rFonts w:hint="eastAsia"/>
                <w:color w:val="auto"/>
                <w:sz w:val="24"/>
                <w:szCs w:val="24"/>
                <w:lang w:val="en-US" w:eastAsia="zh-CN"/>
              </w:rPr>
              <w:t>位于</w:t>
            </w:r>
            <w:r>
              <w:rPr>
                <w:rFonts w:hint="default" w:ascii="Times New Roman" w:hAnsi="Times New Roman" w:cs="Times New Roman"/>
                <w:color w:val="auto"/>
                <w:sz w:val="24"/>
                <w:szCs w:val="24"/>
              </w:rPr>
              <w:t>安徽省池州市青阳县经济开发区东河园区安徽赛王仓储有限公司厂区内空置厂房，地理位置图详见附图1</w:t>
            </w:r>
            <w:r>
              <w:rPr>
                <w:rFonts w:hint="eastAsia" w:cs="Times New Roman"/>
                <w:color w:val="auto"/>
                <w:sz w:val="24"/>
                <w:szCs w:val="24"/>
                <w:lang w:eastAsia="zh-CN"/>
              </w:rPr>
              <w:t>，</w:t>
            </w:r>
            <w:r>
              <w:rPr>
                <w:rFonts w:hint="eastAsia"/>
                <w:color w:val="auto"/>
                <w:sz w:val="24"/>
                <w:szCs w:val="24"/>
              </w:rPr>
              <w:t>项目厂界外西北侧为5.47m人才公寓，东侧为城东路，南侧为乔木路，西侧为池州赛唯特电子科技有限公司</w:t>
            </w:r>
            <w:r>
              <w:rPr>
                <w:rFonts w:hint="eastAsia"/>
                <w:color w:val="auto"/>
                <w:sz w:val="24"/>
                <w:szCs w:val="24"/>
                <w:lang w:eastAsia="zh-CN"/>
              </w:rPr>
              <w:t>，</w:t>
            </w:r>
            <w:r>
              <w:rPr>
                <w:rFonts w:hint="eastAsia"/>
                <w:color w:val="auto"/>
                <w:lang w:eastAsia="zh-CN"/>
              </w:rPr>
              <w:t>（</w:t>
            </w:r>
            <w:r>
              <w:rPr>
                <w:rFonts w:hint="eastAsia"/>
                <w:color w:val="auto"/>
                <w:lang w:val="en-US" w:eastAsia="zh-CN"/>
              </w:rPr>
              <w:t>详见附图11</w:t>
            </w:r>
            <w:r>
              <w:rPr>
                <w:rFonts w:hint="eastAsia"/>
                <w:color w:val="auto"/>
                <w:lang w:eastAsia="zh-CN"/>
              </w:rPr>
              <w:t>），</w:t>
            </w:r>
            <w:r>
              <w:rPr>
                <w:color w:val="auto"/>
                <w:sz w:val="24"/>
                <w:szCs w:val="24"/>
              </w:rPr>
              <w:t>该地块地形平坦开阔，交通便利，无不良地质情况。</w:t>
            </w:r>
            <w:r>
              <w:rPr>
                <w:rFonts w:hint="eastAsia"/>
                <w:color w:val="auto"/>
                <w:sz w:val="24"/>
                <w:szCs w:val="24"/>
                <w:lang w:eastAsia="zh-CN"/>
              </w:rPr>
              <w:t>本项目</w:t>
            </w:r>
            <w:r>
              <w:rPr>
                <w:color w:val="auto"/>
                <w:sz w:val="24"/>
                <w:szCs w:val="24"/>
              </w:rPr>
              <w:t>评价区域内无需特殊保护的濒危动植物，评价区域无国家级、省级和市级重点文物保护单位。</w:t>
            </w:r>
            <w:r>
              <w:rPr>
                <w:rFonts w:hint="eastAsia"/>
                <w:color w:val="auto"/>
                <w:sz w:val="24"/>
                <w:szCs w:val="24"/>
              </w:rPr>
              <w:t>本项目面漆喷漆、晾干产生的挥发性有机物（VOCs）均通过喷漆房</w:t>
            </w:r>
            <w:r>
              <w:rPr>
                <w:rFonts w:hint="eastAsia"/>
                <w:color w:val="auto"/>
                <w:sz w:val="24"/>
                <w:szCs w:val="24"/>
                <w:lang w:eastAsia="zh-CN"/>
              </w:rPr>
              <w:t>、</w:t>
            </w:r>
            <w:r>
              <w:rPr>
                <w:rFonts w:hint="eastAsia"/>
                <w:color w:val="auto"/>
                <w:sz w:val="24"/>
                <w:szCs w:val="24"/>
                <w:lang w:val="en-US" w:eastAsia="zh-CN"/>
              </w:rPr>
              <w:t>晾干房</w:t>
            </w:r>
            <w:r>
              <w:rPr>
                <w:rFonts w:hint="eastAsia"/>
                <w:color w:val="auto"/>
                <w:sz w:val="24"/>
                <w:szCs w:val="24"/>
              </w:rPr>
              <w:t>密闭负压收集后进入两级活性炭处理后达标排放。</w:t>
            </w:r>
            <w:r>
              <w:rPr>
                <w:color w:val="auto"/>
                <w:sz w:val="24"/>
                <w:szCs w:val="24"/>
              </w:rPr>
              <w:t>项目投入运行后对周围环境的影响在可接受范围内，不会改变当地的环境功能。因此，</w:t>
            </w:r>
            <w:r>
              <w:rPr>
                <w:rFonts w:hint="eastAsia"/>
                <w:color w:val="auto"/>
                <w:sz w:val="24"/>
                <w:szCs w:val="24"/>
                <w:lang w:eastAsia="zh-CN"/>
              </w:rPr>
              <w:t>本项目</w:t>
            </w:r>
            <w:r>
              <w:rPr>
                <w:color w:val="auto"/>
                <w:sz w:val="24"/>
                <w:szCs w:val="24"/>
              </w:rPr>
              <w:t>的建设与周围环境具有相容性。</w:t>
            </w:r>
          </w:p>
          <w:p w14:paraId="7100D657">
            <w:pPr>
              <w:autoSpaceDE w:val="0"/>
              <w:autoSpaceDN w:val="0"/>
              <w:adjustRightInd w:val="0"/>
              <w:snapToGrid w:val="0"/>
              <w:spacing w:line="360" w:lineRule="auto"/>
              <w:ind w:firstLine="480" w:firstLineChars="200"/>
              <w:rPr>
                <w:rFonts w:hint="eastAsia" w:ascii="Times New Roman" w:hAnsi="Times New Roman" w:eastAsia="宋体" w:cs="Times New Roman"/>
                <w:b/>
                <w:bCs/>
                <w:color w:val="auto"/>
                <w:sz w:val="24"/>
                <w:szCs w:val="24"/>
                <w:lang w:val="en-US" w:eastAsia="zh-CN"/>
              </w:rPr>
            </w:pPr>
            <w:r>
              <w:rPr>
                <w:color w:val="auto"/>
                <w:sz w:val="24"/>
                <w:szCs w:val="24"/>
              </w:rPr>
              <w:t>综上所述，项目选址合理可行。</w:t>
            </w:r>
          </w:p>
          <w:p w14:paraId="748750F6">
            <w:pPr>
              <w:bidi w:val="0"/>
              <w:ind w:left="0" w:leftChars="0" w:firstLine="0" w:firstLineChars="0"/>
              <w:rPr>
                <w:rFonts w:hint="default"/>
                <w:b/>
                <w:bCs/>
                <w:color w:val="auto"/>
                <w:lang w:val="en-US" w:eastAsia="zh-CN"/>
              </w:rPr>
            </w:pPr>
            <w:r>
              <w:rPr>
                <w:rFonts w:hint="eastAsia"/>
                <w:b/>
                <w:bCs/>
                <w:color w:val="auto"/>
                <w:lang w:val="en-US" w:eastAsia="zh-CN"/>
              </w:rPr>
              <w:t xml:space="preserve">1.6 </w:t>
            </w:r>
            <w:r>
              <w:rPr>
                <w:rFonts w:hint="default"/>
                <w:b/>
                <w:bCs/>
                <w:color w:val="auto"/>
                <w:lang w:val="en-US" w:eastAsia="zh-CN"/>
              </w:rPr>
              <w:t>生态环境分区管控符合性分析</w:t>
            </w:r>
          </w:p>
          <w:p w14:paraId="4F3E5A4F">
            <w:pPr>
              <w:ind w:firstLine="420"/>
              <w:rPr>
                <w:rFonts w:hint="eastAsia" w:cs="Times New Roman"/>
                <w:color w:val="auto"/>
                <w:lang w:val="en-US" w:eastAsia="zh-CN"/>
              </w:rPr>
            </w:pPr>
            <w:r>
              <w:rPr>
                <w:rFonts w:hint="default" w:ascii="Times New Roman" w:hAnsi="Times New Roman" w:cs="Times New Roman" w:eastAsiaTheme="minorEastAsia"/>
                <w:color w:val="auto"/>
                <w:kern w:val="0"/>
                <w:szCs w:val="21"/>
              </w:rPr>
              <w:t>根据《安徽省“三线一单”生态环境分区管控管理办法（暂行）》（皖环发）〔2022〕5号）要求：在建设项目环评中，做好与“三线一单”生态环境分区管控相符性分析，充分论证是否符合生态环境准入清单要求，对不符合的依法不予审批；以及生态环境部《关于以改善环境质量为核心加强环境影响评价管理的通知》（环评〔2016〕150号）要求：切实加强环境影响评价管理，落实“生态保护红线、环境质量底线、资源利用上线和环境准入负面清单”约束，建立项目环评审批与规划环评、现有项目环境管理、区域环境质量联动机制，更好地发挥环评制度从源头防范环境污染和生态破坏的作用，加快推进改善环境质量。</w:t>
            </w:r>
          </w:p>
          <w:p w14:paraId="5ACE2363">
            <w:pPr>
              <w:ind w:firstLine="420"/>
              <w:rPr>
                <w:rFonts w:hint="eastAsia" w:cs="Times New Roman"/>
                <w:color w:val="auto"/>
                <w:lang w:eastAsia="zh-CN"/>
              </w:rPr>
            </w:pPr>
            <w:r>
              <w:rPr>
                <w:rFonts w:hint="eastAsia" w:cs="Times New Roman"/>
                <w:color w:val="auto"/>
                <w:lang w:eastAsia="zh-CN"/>
              </w:rPr>
              <w:t>本项目位于安徽省池州市青阳县经济开发区东河园区安徽赛王仓储有限公司厂区内空置厂房，对照《自然资源部办公厅关于依据“三区三线”划定成果报批建设项目用地用海有关事宜的函》（自然资办函〔2022〕2072号），该项目不占用永久基本农田，不涉及生态保护红线</w:t>
            </w:r>
            <w:r>
              <w:rPr>
                <w:rFonts w:hint="eastAsia" w:cs="Times New Roman"/>
                <w:color w:val="auto"/>
                <w:highlight w:val="none"/>
                <w:lang w:eastAsia="zh-CN"/>
              </w:rPr>
              <w:t>，项目用地位于城镇开发边界范围</w:t>
            </w:r>
            <w:r>
              <w:rPr>
                <w:rFonts w:hint="eastAsia" w:cs="Times New Roman"/>
                <w:color w:val="auto"/>
                <w:highlight w:val="none"/>
                <w:lang w:val="en-US" w:eastAsia="zh-CN"/>
              </w:rPr>
              <w:t>内</w:t>
            </w:r>
            <w:r>
              <w:rPr>
                <w:rFonts w:hint="eastAsia" w:cs="Times New Roman"/>
                <w:color w:val="auto"/>
                <w:highlight w:val="none"/>
                <w:lang w:eastAsia="zh-CN"/>
              </w:rPr>
              <w:t>。经对照，</w:t>
            </w:r>
            <w:r>
              <w:rPr>
                <w:rFonts w:hint="eastAsia" w:cs="Times New Roman"/>
                <w:color w:val="auto"/>
                <w:lang w:eastAsia="zh-CN"/>
              </w:rPr>
              <w:t>项目与池州市“三线一单”分区管控相符性如下：</w:t>
            </w:r>
          </w:p>
          <w:p w14:paraId="6B1AF957">
            <w:pPr>
              <w:ind w:firstLine="420"/>
              <w:rPr>
                <w:rFonts w:hint="eastAsia" w:cs="Times New Roman"/>
                <w:color w:val="auto"/>
                <w:lang w:eastAsia="zh-CN"/>
              </w:rPr>
            </w:pPr>
            <w:r>
              <w:rPr>
                <w:rFonts w:hint="eastAsia" w:cs="Times New Roman"/>
                <w:color w:val="auto"/>
                <w:lang w:val="en-US" w:eastAsia="zh-CN"/>
              </w:rPr>
              <w:t>1）</w:t>
            </w:r>
            <w:r>
              <w:rPr>
                <w:rFonts w:hint="eastAsia" w:cs="Times New Roman"/>
                <w:color w:val="auto"/>
                <w:lang w:eastAsia="zh-CN"/>
              </w:rPr>
              <w:t>水环境分区管控要求</w:t>
            </w:r>
          </w:p>
          <w:p w14:paraId="7B9767A6">
            <w:pPr>
              <w:ind w:firstLine="420"/>
              <w:rPr>
                <w:rFonts w:hint="eastAsia" w:cs="Times New Roman"/>
                <w:color w:val="auto"/>
                <w:lang w:eastAsia="zh-CN"/>
              </w:rPr>
            </w:pPr>
            <w:r>
              <w:rPr>
                <w:rFonts w:hint="eastAsia" w:cs="Times New Roman"/>
                <w:color w:val="auto"/>
                <w:lang w:eastAsia="zh-CN"/>
              </w:rPr>
              <w:t>根据《安徽省市级“三线一单”生态环境管控单元划定技术规程》，水环境重点管控区识别市级工作要点：原则上应将具备合法合规手续的县级及以上工业园区纳入水环境工业重点管控区，根据实际管控需要，有条件的地市可将乡镇级工业园区纳入水环境工业污染重点管控区。城镇生活污染水环境重点管控区范围可依据城镇开发边界确定。不达标水体对应的控制单元按省级水环境管控分区划定原则进行识别，并纳入相应的水环境管控分区。</w:t>
            </w:r>
          </w:p>
          <w:p w14:paraId="3FCC702A">
            <w:pPr>
              <w:ind w:firstLine="420"/>
              <w:rPr>
                <w:rFonts w:hint="eastAsia" w:ascii="Times New Roman" w:hAnsi="Times New Roman" w:eastAsia="宋体" w:cs="Times New Roman"/>
                <w:color w:val="auto"/>
                <w:lang w:eastAsia="zh-CN"/>
              </w:rPr>
            </w:pPr>
            <w:r>
              <w:rPr>
                <w:rFonts w:hint="eastAsia" w:cs="Times New Roman"/>
                <w:color w:val="auto"/>
                <w:lang w:eastAsia="zh-CN"/>
              </w:rPr>
              <w:t>重点管控区要求：依据《中华人民共和国水污染防治法》《水污染防治行动计划》《安徽省水污染防治工作方案》及池州市水污染防治工作方案对重点管控区实施管控：依据《长江经济带工业园区水污染整治专项行动工作方案》、池州市相关开发区规划、规划环评及审查意见相关要求对开发区实施管控；落实《安徽省“十四五”生态环境保护规划》《安徽省“十四五”节能减排实施方案》《池州市“十四五”生态环境保护规划》《池州市“十四五”水生态环境保护专项规划》《池州市“十四五”节能减排方案》《池州市水污染防治工作方案》等要求；新建、改建和扩建项目水污染物实施“等量替代”。</w:t>
            </w:r>
          </w:p>
          <w:p w14:paraId="724C3329">
            <w:pPr>
              <w:ind w:firstLine="420"/>
              <w:rPr>
                <w:rFonts w:hint="default" w:ascii="Times New Roman" w:hAnsi="Times New Roman" w:cs="Times New Roman"/>
                <w:color w:val="auto"/>
              </w:rPr>
            </w:pPr>
            <w:r>
              <w:rPr>
                <w:rFonts w:hint="default" w:ascii="Times New Roman" w:hAnsi="Times New Roman" w:cs="Times New Roman"/>
                <w:b/>
                <w:bCs/>
                <w:color w:val="auto"/>
              </w:rPr>
              <w:t>符合性分析</w:t>
            </w:r>
            <w:r>
              <w:rPr>
                <w:rFonts w:hint="eastAsia" w:cs="Times New Roman"/>
                <w:b/>
                <w:bCs/>
                <w:color w:val="auto"/>
                <w:lang w:eastAsia="zh-CN"/>
              </w:rPr>
              <w:t>：</w:t>
            </w:r>
            <w:r>
              <w:rPr>
                <w:rFonts w:hint="eastAsia" w:cs="Times New Roman"/>
                <w:color w:val="auto"/>
                <w:lang w:eastAsia="zh-CN"/>
              </w:rPr>
              <w:t>本项目位于安徽省池州市青阳县经济开发区东河园区，根据对照，项目所在地为水环境</w:t>
            </w:r>
            <w:r>
              <w:rPr>
                <w:rFonts w:hint="eastAsia" w:cs="Times New Roman"/>
                <w:color w:val="auto"/>
                <w:lang w:val="en-US" w:eastAsia="zh-CN"/>
              </w:rPr>
              <w:t>一般</w:t>
            </w:r>
            <w:r>
              <w:rPr>
                <w:rFonts w:hint="eastAsia" w:cs="Times New Roman"/>
                <w:color w:val="auto"/>
                <w:lang w:eastAsia="zh-CN"/>
              </w:rPr>
              <w:t>管控区（</w:t>
            </w:r>
            <w:r>
              <w:rPr>
                <w:rFonts w:hint="eastAsia" w:cs="Times New Roman"/>
                <w:color w:val="auto"/>
                <w:lang w:val="en-US" w:eastAsia="zh-CN"/>
              </w:rPr>
              <w:t>详见附图3</w:t>
            </w:r>
            <w:r>
              <w:rPr>
                <w:rFonts w:hint="eastAsia" w:cs="Times New Roman"/>
                <w:color w:val="auto"/>
                <w:lang w:eastAsia="zh-CN"/>
              </w:rPr>
              <w:t>），建设项目运营期严格落实《“十四五”生态环境保护规划》《安徽省“十四五”环境保护规划》《安徽省“十四五”节能减排实施方案》等文件的相关规定和要求，落实相关文件中规定的各项污水污染防治措施。</w:t>
            </w:r>
          </w:p>
          <w:p w14:paraId="0D3D332A">
            <w:pPr>
              <w:ind w:firstLine="420"/>
              <w:rPr>
                <w:rFonts w:hint="default" w:ascii="Times New Roman" w:hAnsi="Times New Roman" w:cs="Times New Roman"/>
                <w:color w:val="auto"/>
              </w:rPr>
            </w:pPr>
            <w:r>
              <w:rPr>
                <w:rFonts w:hint="eastAsia" w:cs="Times New Roman"/>
                <w:color w:val="auto"/>
                <w:lang w:val="en-US" w:eastAsia="zh-CN"/>
              </w:rPr>
              <w:t>2）</w:t>
            </w:r>
            <w:r>
              <w:rPr>
                <w:rFonts w:hint="default" w:ascii="Times New Roman" w:hAnsi="Times New Roman" w:cs="Times New Roman"/>
                <w:color w:val="auto"/>
              </w:rPr>
              <w:t>大气环境分区管控要求</w:t>
            </w:r>
          </w:p>
          <w:p w14:paraId="66B313A1">
            <w:pPr>
              <w:ind w:firstLine="420"/>
              <w:rPr>
                <w:rFonts w:hint="default" w:ascii="Times New Roman" w:hAnsi="Times New Roman" w:cs="Times New Roman"/>
                <w:color w:val="auto"/>
              </w:rPr>
            </w:pPr>
            <w:r>
              <w:rPr>
                <w:rFonts w:hint="default" w:ascii="Times New Roman" w:hAnsi="Times New Roman" w:cs="Times New Roman"/>
                <w:color w:val="auto"/>
              </w:rPr>
              <w:t>大气环境重点管控区主要存在于环境空气二类功能区。根据二类功能区内人口、学校、医院、工业企业、气象扩散能力、地形地貌等因素的分布情况，识别出高排放区、弱扩散区、布局敏感区和受体敏感区。</w:t>
            </w:r>
          </w:p>
          <w:p w14:paraId="681D948D">
            <w:pPr>
              <w:ind w:firstLine="420"/>
              <w:rPr>
                <w:rFonts w:hint="default" w:ascii="Times New Roman" w:hAnsi="Times New Roman" w:cs="Times New Roman"/>
                <w:color w:val="auto"/>
              </w:rPr>
            </w:pPr>
            <w:r>
              <w:rPr>
                <w:rFonts w:hint="default" w:ascii="Times New Roman" w:hAnsi="Times New Roman" w:cs="Times New Roman"/>
                <w:color w:val="auto"/>
              </w:rPr>
              <w:t>大气环境重点管控区</w:t>
            </w:r>
            <w:r>
              <w:rPr>
                <w:rFonts w:hint="eastAsia" w:cs="Times New Roman"/>
                <w:color w:val="auto"/>
                <w:lang w:eastAsia="zh-CN"/>
              </w:rPr>
              <w:t>：</w:t>
            </w:r>
            <w:r>
              <w:rPr>
                <w:rFonts w:hint="default" w:ascii="Times New Roman" w:hAnsi="Times New Roman" w:cs="Times New Roman"/>
                <w:color w:val="auto"/>
              </w:rPr>
              <w:t>落实《安徽省大气污染防治条例》《安徽省碳达峰实施方案的通知》《安徽省工业领域碳达峰实施方案》《安徽省城乡建设领域碳达峰实施方案》《关于进一步加强新上“两高”项目管理的通知》《安徽省挥发性有机物污染整治工作方案》《关于进一步加强建设项目新增大气污染物总量控制指标管理工作的通知》《安徽省“十四五”节能减排实施方案》《深入打好污染防治攻坚战行动方案》《池州市“十四五”节能减排方案》要求</w:t>
            </w:r>
            <w:r>
              <w:rPr>
                <w:rFonts w:hint="eastAsia" w:cs="Times New Roman"/>
                <w:color w:val="auto"/>
                <w:lang w:eastAsia="zh-CN"/>
              </w:rPr>
              <w:t>；</w:t>
            </w:r>
            <w:r>
              <w:rPr>
                <w:rFonts w:hint="default" w:ascii="Times New Roman" w:hAnsi="Times New Roman" w:cs="Times New Roman"/>
                <w:color w:val="auto"/>
              </w:rPr>
              <w:t>严格目标实施计划，加强环境监管，促进生态环境质量好转</w:t>
            </w:r>
            <w:r>
              <w:rPr>
                <w:rFonts w:hint="eastAsia" w:cs="Times New Roman"/>
                <w:color w:val="auto"/>
                <w:lang w:eastAsia="zh-CN"/>
              </w:rPr>
              <w:t>；</w:t>
            </w:r>
            <w:r>
              <w:rPr>
                <w:rFonts w:hint="default" w:ascii="Times New Roman" w:hAnsi="Times New Roman" w:cs="Times New Roman"/>
                <w:color w:val="auto"/>
              </w:rPr>
              <w:t>大气主要污染物总量指标实行区域内等量或倍量削减替代，执行特别排放标准的行业实施提标升级改造。</w:t>
            </w:r>
          </w:p>
          <w:p w14:paraId="37D0F77C">
            <w:pPr>
              <w:ind w:firstLine="420"/>
              <w:rPr>
                <w:rFonts w:hint="default" w:ascii="Times New Roman" w:hAnsi="Times New Roman" w:cs="Times New Roman"/>
                <w:color w:val="auto"/>
              </w:rPr>
            </w:pPr>
            <w:r>
              <w:rPr>
                <w:rFonts w:hint="default" w:ascii="Times New Roman" w:hAnsi="Times New Roman" w:cs="Times New Roman"/>
                <w:b/>
                <w:bCs/>
                <w:color w:val="auto"/>
              </w:rPr>
              <w:t>符合性分析</w:t>
            </w:r>
            <w:r>
              <w:rPr>
                <w:rFonts w:hint="eastAsia" w:cs="Times New Roman"/>
                <w:b/>
                <w:bCs/>
                <w:color w:val="auto"/>
                <w:lang w:eastAsia="zh-CN"/>
              </w:rPr>
              <w:t>：</w:t>
            </w:r>
            <w:r>
              <w:rPr>
                <w:rFonts w:hint="default" w:ascii="Times New Roman" w:hAnsi="Times New Roman" w:cs="Times New Roman"/>
                <w:color w:val="auto"/>
              </w:rPr>
              <w:t>本项目位于</w:t>
            </w:r>
            <w:r>
              <w:rPr>
                <w:rFonts w:hint="eastAsia" w:cs="Times New Roman"/>
                <w:color w:val="auto"/>
                <w:lang w:eastAsia="zh-CN"/>
              </w:rPr>
              <w:t>安徽省池州市青阳县经济开发区东河园区安徽赛王仓储有限公司厂区内空置厂房</w:t>
            </w:r>
            <w:r>
              <w:rPr>
                <w:rFonts w:hint="default" w:ascii="Times New Roman" w:hAnsi="Times New Roman" w:cs="Times New Roman"/>
                <w:color w:val="auto"/>
              </w:rPr>
              <w:t>，根据对照，</w:t>
            </w:r>
            <w:r>
              <w:rPr>
                <w:rFonts w:hint="eastAsia" w:cs="Times New Roman"/>
                <w:color w:val="auto"/>
                <w:lang w:eastAsia="zh-CN"/>
              </w:rPr>
              <w:t>项目所在地属于</w:t>
            </w:r>
            <w:r>
              <w:rPr>
                <w:rFonts w:hint="eastAsia" w:cs="Times New Roman"/>
                <w:color w:val="auto"/>
                <w:lang w:val="en-US" w:eastAsia="zh-CN"/>
              </w:rPr>
              <w:t>其他区域</w:t>
            </w:r>
            <w:r>
              <w:rPr>
                <w:rFonts w:hint="eastAsia" w:cs="Times New Roman"/>
                <w:color w:val="auto"/>
                <w:lang w:eastAsia="zh-CN"/>
              </w:rPr>
              <w:t>（</w:t>
            </w:r>
            <w:r>
              <w:rPr>
                <w:rFonts w:hint="eastAsia" w:cs="Times New Roman"/>
                <w:color w:val="auto"/>
                <w:lang w:val="en-US" w:eastAsia="zh-CN"/>
              </w:rPr>
              <w:t>详见附图4</w:t>
            </w:r>
            <w:r>
              <w:rPr>
                <w:rFonts w:hint="eastAsia" w:cs="Times New Roman"/>
                <w:color w:val="auto"/>
                <w:lang w:eastAsia="zh-CN"/>
              </w:rPr>
              <w:t>），</w:t>
            </w:r>
            <w:r>
              <w:rPr>
                <w:rFonts w:hint="default" w:ascii="Times New Roman" w:hAnsi="Times New Roman" w:cs="Times New Roman"/>
                <w:b w:val="0"/>
                <w:bCs/>
                <w:color w:val="auto"/>
              </w:rPr>
              <w:t>根据《202</w:t>
            </w:r>
            <w:r>
              <w:rPr>
                <w:rFonts w:hint="eastAsia" w:ascii="Times New Roman" w:hAnsi="Times New Roman" w:cs="Times New Roman"/>
                <w:b w:val="0"/>
                <w:bCs/>
                <w:color w:val="auto"/>
                <w:lang w:val="en-US" w:eastAsia="zh-CN"/>
              </w:rPr>
              <w:t>4</w:t>
            </w:r>
            <w:r>
              <w:rPr>
                <w:rFonts w:hint="default" w:ascii="Times New Roman" w:hAnsi="Times New Roman" w:cs="Times New Roman"/>
                <w:b w:val="0"/>
                <w:bCs/>
                <w:color w:val="auto"/>
              </w:rPr>
              <w:t>年池州市生态环境状况公报》，池州市属于大气环境质量达标区，</w:t>
            </w:r>
            <w:r>
              <w:rPr>
                <w:rFonts w:hint="default" w:ascii="Times New Roman" w:hAnsi="Times New Roman" w:cs="Times New Roman"/>
                <w:color w:val="auto"/>
              </w:rPr>
              <w:t>项目严格落实《安徽省大气污染防治条例》《池州市“十四五”环境保护规划》等文件中各项规定及要求。</w:t>
            </w:r>
          </w:p>
          <w:p w14:paraId="4B1A24DC">
            <w:pPr>
              <w:ind w:firstLine="420"/>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土壤环境分区管控要求</w:t>
            </w:r>
          </w:p>
          <w:p w14:paraId="5BFCE620">
            <w:pPr>
              <w:ind w:firstLine="420"/>
              <w:rPr>
                <w:rFonts w:hint="default" w:ascii="Times New Roman" w:hAnsi="Times New Roman" w:cs="Times New Roman"/>
                <w:color w:val="auto"/>
              </w:rPr>
            </w:pPr>
            <w:r>
              <w:rPr>
                <w:rFonts w:hint="default" w:ascii="Times New Roman" w:hAnsi="Times New Roman" w:cs="Times New Roman"/>
                <w:color w:val="auto"/>
              </w:rPr>
              <w:t>土壤环境风险防控区包括优先保护区、土壤环境风险重点防控区和一般防控区。土壤环境风险重点防控区包括重金属污染风险重点防控区、农用地污染风险重点防控区和建设用地污染风险重点防控区。</w:t>
            </w:r>
          </w:p>
          <w:p w14:paraId="0EFBC162">
            <w:pPr>
              <w:ind w:firstLine="420"/>
              <w:rPr>
                <w:rFonts w:hint="default" w:ascii="Times New Roman" w:hAnsi="Times New Roman" w:cs="Times New Roman"/>
                <w:color w:val="auto"/>
              </w:rPr>
            </w:pPr>
            <w:r>
              <w:rPr>
                <w:rFonts w:hint="default" w:ascii="Times New Roman" w:hAnsi="Times New Roman" w:cs="Times New Roman"/>
                <w:color w:val="auto"/>
              </w:rPr>
              <w:t>重金属污染风险重点防控区</w:t>
            </w:r>
            <w:r>
              <w:rPr>
                <w:rFonts w:hint="eastAsia" w:cs="Times New Roman"/>
                <w:color w:val="auto"/>
                <w:lang w:eastAsia="zh-CN"/>
              </w:rPr>
              <w:t>：</w:t>
            </w:r>
            <w:r>
              <w:rPr>
                <w:rFonts w:hint="default" w:ascii="Times New Roman" w:hAnsi="Times New Roman" w:cs="Times New Roman"/>
                <w:color w:val="auto"/>
              </w:rPr>
              <w:t>池州市未划定重金属污染风险重点防控区。</w:t>
            </w:r>
          </w:p>
          <w:p w14:paraId="11917230">
            <w:pPr>
              <w:ind w:firstLine="420"/>
              <w:rPr>
                <w:rFonts w:hint="default" w:ascii="Times New Roman" w:hAnsi="Times New Roman" w:cs="Times New Roman"/>
                <w:color w:val="auto"/>
              </w:rPr>
            </w:pPr>
            <w:r>
              <w:rPr>
                <w:rFonts w:hint="default" w:ascii="Times New Roman" w:hAnsi="Times New Roman" w:cs="Times New Roman"/>
                <w:color w:val="auto"/>
              </w:rPr>
              <w:t>建设用地污染风险防控区</w:t>
            </w:r>
            <w:r>
              <w:rPr>
                <w:rFonts w:hint="eastAsia" w:cs="Times New Roman"/>
                <w:color w:val="auto"/>
                <w:lang w:eastAsia="zh-CN"/>
              </w:rPr>
              <w:t>：</w:t>
            </w:r>
            <w:r>
              <w:rPr>
                <w:rFonts w:hint="default" w:ascii="Times New Roman" w:hAnsi="Times New Roman" w:cs="Times New Roman"/>
                <w:color w:val="auto"/>
              </w:rPr>
              <w:t>对照工业园区</w:t>
            </w:r>
            <w:r>
              <w:rPr>
                <w:rFonts w:hint="eastAsia" w:cs="Times New Roman"/>
                <w:color w:val="auto"/>
                <w:lang w:eastAsia="zh-CN"/>
              </w:rPr>
              <w:t>（</w:t>
            </w:r>
            <w:r>
              <w:rPr>
                <w:rFonts w:hint="default" w:ascii="Times New Roman" w:hAnsi="Times New Roman" w:cs="Times New Roman"/>
                <w:color w:val="auto"/>
              </w:rPr>
              <w:t>集聚区</w:t>
            </w:r>
            <w:r>
              <w:rPr>
                <w:rFonts w:hint="eastAsia" w:cs="Times New Roman"/>
                <w:color w:val="auto"/>
                <w:lang w:eastAsia="zh-CN"/>
              </w:rPr>
              <w:t>）</w:t>
            </w:r>
            <w:r>
              <w:rPr>
                <w:rFonts w:hint="default" w:ascii="Times New Roman" w:hAnsi="Times New Roman" w:cs="Times New Roman"/>
                <w:color w:val="auto"/>
              </w:rPr>
              <w:t>、土壤污染重点监管企业名单、土壤重点排污单位、涉重金属全口径清单等筛选涉及有色金属冶炼、石油加工、化工、焦化、电镀、制革等行业生产经营活动，以及垃圾填埋场、危险废物贮存、利用、处置活动的用地，初步识别出疑似污染地块。已完成疑似污染地块初步调查并确认存在土壤环境污染的地块，纳入建设用地土壤污染风险重点防控区。截至2020年11月，池州市无明确的污染地块，原疑似污染地块已完成土地调查，确认无土壤污染。由于重点行业企业用地调查尚未结束，暂不能明确的疑似污染地块虽纳入建设用地污染风险重点防控区，但作为潜在风险防控区管理，结合后期调查结果实施动态更新。</w:t>
            </w:r>
          </w:p>
          <w:p w14:paraId="24562A05">
            <w:pPr>
              <w:ind w:firstLine="420"/>
              <w:rPr>
                <w:rFonts w:hint="eastAsia"/>
                <w:color w:val="auto"/>
                <w:lang w:val="en-US" w:eastAsia="zh-CN"/>
              </w:rPr>
            </w:pPr>
            <w:r>
              <w:rPr>
                <w:rFonts w:hint="default" w:ascii="Times New Roman" w:hAnsi="Times New Roman" w:cs="Times New Roman"/>
                <w:b/>
                <w:bCs/>
                <w:color w:val="auto"/>
              </w:rPr>
              <w:t>符合性分析</w:t>
            </w:r>
            <w:r>
              <w:rPr>
                <w:rFonts w:hint="eastAsia" w:cs="Times New Roman"/>
                <w:b/>
                <w:bCs/>
                <w:color w:val="auto"/>
                <w:lang w:eastAsia="zh-CN"/>
              </w:rPr>
              <w:t>：</w:t>
            </w:r>
            <w:r>
              <w:rPr>
                <w:rFonts w:hint="default" w:ascii="Times New Roman" w:hAnsi="Times New Roman" w:cs="Times New Roman"/>
                <w:color w:val="auto"/>
              </w:rPr>
              <w:t>本项目位于</w:t>
            </w:r>
            <w:r>
              <w:rPr>
                <w:rFonts w:hint="eastAsia" w:cs="Times New Roman"/>
                <w:color w:val="auto"/>
                <w:lang w:eastAsia="zh-CN"/>
              </w:rPr>
              <w:t>安徽省池州市青阳县经济开发区东河园区安徽赛王仓储有限公司厂区内空置厂房</w:t>
            </w:r>
            <w:r>
              <w:rPr>
                <w:rFonts w:hint="default" w:ascii="Times New Roman" w:hAnsi="Times New Roman" w:cs="Times New Roman"/>
                <w:color w:val="auto"/>
              </w:rPr>
              <w:t>，项目建成运行后，在落实评价提出的地下水和土壤防治措施的前提下，对区域地下水和土壤环境的影响较小，不会降低区域环境质量的原有功能级别，满足环境质量底线控制要求。因此，项目建设符合土壤环境分区管控的要求。</w:t>
            </w:r>
          </w:p>
          <w:p w14:paraId="1C8823F8">
            <w:pPr>
              <w:bidi w:val="0"/>
              <w:rPr>
                <w:rFonts w:hint="eastAsia"/>
                <w:color w:val="auto"/>
                <w:lang w:val="en-US" w:eastAsia="zh-CN"/>
              </w:rPr>
            </w:pPr>
          </w:p>
          <w:p w14:paraId="6F783217">
            <w:pPr>
              <w:bidi w:val="0"/>
              <w:rPr>
                <w:rFonts w:hint="eastAsia"/>
                <w:color w:val="auto"/>
                <w:lang w:val="en-US" w:eastAsia="zh-CN"/>
              </w:rPr>
            </w:pPr>
          </w:p>
          <w:p w14:paraId="184C94B3">
            <w:pPr>
              <w:bidi w:val="0"/>
              <w:rPr>
                <w:rFonts w:hint="eastAsia"/>
                <w:color w:val="auto"/>
                <w:lang w:val="en-US" w:eastAsia="zh-CN"/>
              </w:rPr>
            </w:pPr>
          </w:p>
          <w:p w14:paraId="085B43F7">
            <w:pPr>
              <w:bidi w:val="0"/>
              <w:rPr>
                <w:rFonts w:hint="eastAsia"/>
                <w:color w:val="auto"/>
                <w:lang w:val="en-US" w:eastAsia="zh-CN"/>
              </w:rPr>
            </w:pPr>
          </w:p>
          <w:p w14:paraId="008C815C">
            <w:pPr>
              <w:bidi w:val="0"/>
              <w:rPr>
                <w:rFonts w:hint="eastAsia"/>
                <w:color w:val="auto"/>
                <w:lang w:val="en-US" w:eastAsia="zh-CN"/>
              </w:rPr>
            </w:pPr>
          </w:p>
          <w:p w14:paraId="023FB461">
            <w:pPr>
              <w:bidi w:val="0"/>
              <w:rPr>
                <w:rFonts w:hint="eastAsia"/>
                <w:color w:val="auto"/>
                <w:lang w:val="en-US" w:eastAsia="zh-CN"/>
              </w:rPr>
            </w:pPr>
          </w:p>
          <w:p w14:paraId="6A625841">
            <w:pPr>
              <w:bidi w:val="0"/>
              <w:ind w:firstLine="480" w:firstLineChars="200"/>
              <w:rPr>
                <w:rFonts w:hint="default" w:ascii="Times New Roman" w:hAnsi="Times New Roman" w:eastAsia="宋体" w:cs="Times New Roman"/>
                <w:color w:val="auto"/>
                <w:sz w:val="24"/>
                <w:szCs w:val="24"/>
                <w:lang w:eastAsia="zh-CN"/>
              </w:rPr>
            </w:pPr>
          </w:p>
        </w:tc>
      </w:tr>
    </w:tbl>
    <w:p w14:paraId="0CA74E02">
      <w:pPr>
        <w:pStyle w:val="42"/>
        <w:rPr>
          <w:rFonts w:hint="eastAsia"/>
          <w:color w:val="auto"/>
          <w:lang w:val="en-US" w:eastAsia="zh-CN"/>
        </w:rPr>
        <w:sectPr>
          <w:pgSz w:w="11905" w:h="16838"/>
          <w:pgMar w:top="1701" w:right="1531" w:bottom="1701" w:left="1531" w:header="1134" w:footer="1020" w:gutter="0"/>
          <w:pgBorders>
            <w:top w:val="none" w:sz="0" w:space="0"/>
            <w:left w:val="none" w:sz="0" w:space="0"/>
            <w:bottom w:val="none" w:sz="0" w:space="0"/>
            <w:right w:val="none" w:sz="0" w:space="0"/>
          </w:pgBorders>
          <w:pgNumType w:fmt="decimal"/>
          <w:cols w:space="720" w:num="1"/>
          <w:rtlGutter w:val="0"/>
          <w:docGrid w:linePitch="312" w:charSpace="0"/>
        </w:sectPr>
      </w:pPr>
    </w:p>
    <w:tbl>
      <w:tblPr>
        <w:tblStyle w:val="32"/>
        <w:tblW w:w="14199"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Layout w:type="fixed"/>
        <w:tblCellMar>
          <w:top w:w="0" w:type="dxa"/>
          <w:left w:w="108" w:type="dxa"/>
          <w:bottom w:w="0" w:type="dxa"/>
          <w:right w:w="108" w:type="dxa"/>
        </w:tblCellMar>
      </w:tblPr>
      <w:tblGrid>
        <w:gridCol w:w="759"/>
        <w:gridCol w:w="13440"/>
      </w:tblGrid>
      <w:tr w14:paraId="61224CB7">
        <w:tblPrEx>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CellMar>
            <w:top w:w="0" w:type="dxa"/>
            <w:left w:w="108" w:type="dxa"/>
            <w:bottom w:w="0" w:type="dxa"/>
            <w:right w:w="108" w:type="dxa"/>
          </w:tblCellMar>
        </w:tblPrEx>
        <w:trPr>
          <w:trHeight w:val="1508" w:hRule="atLeast"/>
          <w:jc w:val="center"/>
        </w:trPr>
        <w:tc>
          <w:tcPr>
            <w:tcW w:w="759" w:type="dxa"/>
            <w:tcBorders>
              <w:tl2br w:val="nil"/>
              <w:tr2bl w:val="nil"/>
            </w:tcBorders>
            <w:vAlign w:val="center"/>
          </w:tcPr>
          <w:p w14:paraId="27EFF41A">
            <w:pPr>
              <w:bidi w:val="0"/>
              <w:spacing w:line="240" w:lineRule="auto"/>
              <w:ind w:left="0" w:leftChars="0" w:firstLine="0" w:firstLineChars="0"/>
              <w:jc w:val="center"/>
              <w:rPr>
                <w:rFonts w:hint="eastAsia"/>
                <w:color w:val="auto"/>
                <w:lang w:val="en-US" w:eastAsia="zh-CN"/>
              </w:rPr>
            </w:pPr>
            <w:r>
              <w:rPr>
                <w:rFonts w:hint="default" w:ascii="Times New Roman" w:hAnsi="Times New Roman" w:cs="Times New Roman"/>
                <w:color w:val="auto"/>
                <w:sz w:val="21"/>
                <w:szCs w:val="21"/>
              </w:rPr>
              <w:t>其他符合性分析</w:t>
            </w:r>
          </w:p>
        </w:tc>
        <w:tc>
          <w:tcPr>
            <w:tcW w:w="13440" w:type="dxa"/>
            <w:tcBorders>
              <w:tl2br w:val="nil"/>
              <w:tr2bl w:val="nil"/>
            </w:tcBorders>
            <w:vAlign w:val="center"/>
          </w:tcPr>
          <w:p w14:paraId="0D485203">
            <w:pPr>
              <w:ind w:firstLine="420"/>
              <w:rPr>
                <w:rFonts w:hint="eastAsia" w:cs="Times New Roman"/>
                <w:color w:val="auto"/>
                <w:lang w:val="en-US" w:eastAsia="zh-CN"/>
              </w:rPr>
            </w:pPr>
            <w:r>
              <w:rPr>
                <w:rFonts w:hint="eastAsia" w:cs="Times New Roman"/>
                <w:color w:val="auto"/>
                <w:lang w:val="en-US" w:eastAsia="zh-CN"/>
              </w:rPr>
              <w:t>4）生态环境准入清单</w:t>
            </w:r>
          </w:p>
          <w:p w14:paraId="4831BDD6">
            <w:pPr>
              <w:ind w:firstLine="420"/>
              <w:rPr>
                <w:rFonts w:hint="eastAsia" w:cs="Times New Roman"/>
                <w:color w:val="auto"/>
                <w:lang w:val="en-US" w:eastAsia="zh-CN"/>
              </w:rPr>
            </w:pPr>
            <w:r>
              <w:rPr>
                <w:rFonts w:hint="eastAsia" w:cs="Times New Roman"/>
                <w:color w:val="auto"/>
                <w:lang w:val="en-US" w:eastAsia="zh-CN"/>
              </w:rPr>
              <w:t>本项目位于安徽省池州市青阳县经济开发区东河园区安徽赛王仓储有限公司厂区内</w:t>
            </w:r>
            <w:r>
              <w:rPr>
                <w:rFonts w:hint="eastAsia"/>
                <w:color w:val="auto"/>
                <w:lang w:eastAsia="zh-CN"/>
              </w:rPr>
              <w:t>空置厂房</w:t>
            </w:r>
            <w:r>
              <w:rPr>
                <w:rFonts w:hint="eastAsia" w:cs="Times New Roman"/>
                <w:color w:val="auto"/>
                <w:lang w:val="en-US" w:eastAsia="zh-CN"/>
              </w:rPr>
              <w:t>，对照《池州市“三线一单”生态环境准入清单》中的开发区-安徽青阳经济开发区总体规划的生态环境准入清单，对比情况如下。</w:t>
            </w:r>
          </w:p>
          <w:p w14:paraId="1B7ED5FA">
            <w:pPr>
              <w:pStyle w:val="38"/>
              <w:keepNext w:val="0"/>
              <w:keepLines w:val="0"/>
              <w:pageBreakBefore w:val="0"/>
              <w:widowControl/>
              <w:kinsoku/>
              <w:wordWrap/>
              <w:overflowPunct/>
              <w:topLinePunct w:val="0"/>
              <w:autoSpaceDE/>
              <w:autoSpaceDN/>
              <w:bidi w:val="0"/>
              <w:adjustRightInd w:val="0"/>
              <w:snapToGrid w:val="0"/>
              <w:spacing w:before="0" w:after="0"/>
              <w:textAlignment w:val="auto"/>
              <w:rPr>
                <w:rFonts w:hint="default"/>
                <w:color w:val="auto"/>
                <w:lang w:val="en-US" w:eastAsia="zh-CN"/>
              </w:rPr>
            </w:pPr>
            <w:r>
              <w:rPr>
                <w:rFonts w:hint="eastAsia"/>
                <w:color w:val="auto"/>
                <w:lang w:val="en-US" w:eastAsia="zh-CN"/>
              </w:rPr>
              <w:t>表1-5  项目与生态环境准入清单相符性分析一览表</w:t>
            </w:r>
          </w:p>
          <w:tbl>
            <w:tblPr>
              <w:tblStyle w:val="32"/>
              <w:tblW w:w="133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16"/>
              <w:gridCol w:w="1091"/>
              <w:gridCol w:w="8540"/>
              <w:gridCol w:w="2329"/>
              <w:gridCol w:w="688"/>
            </w:tblGrid>
            <w:tr w14:paraId="569EF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7" w:type="pct"/>
                  <w:tcBorders>
                    <w:tl2br w:val="nil"/>
                    <w:tr2bl w:val="nil"/>
                  </w:tcBorders>
                  <w:vAlign w:val="center"/>
                </w:tcPr>
                <w:p w14:paraId="375B725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产业定位</w:t>
                  </w:r>
                </w:p>
              </w:tc>
              <w:tc>
                <w:tcPr>
                  <w:tcW w:w="3603" w:type="pct"/>
                  <w:gridSpan w:val="2"/>
                  <w:tcBorders>
                    <w:tl2br w:val="nil"/>
                    <w:tr2bl w:val="nil"/>
                  </w:tcBorders>
                  <w:vAlign w:val="center"/>
                </w:tcPr>
                <w:p w14:paraId="025D481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生态环境准入清单</w:t>
                  </w:r>
                </w:p>
              </w:tc>
              <w:tc>
                <w:tcPr>
                  <w:tcW w:w="871" w:type="pct"/>
                  <w:tcBorders>
                    <w:tl2br w:val="nil"/>
                    <w:tr2bl w:val="nil"/>
                  </w:tcBorders>
                  <w:vAlign w:val="center"/>
                </w:tcPr>
                <w:p w14:paraId="302C940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本项目情况</w:t>
                  </w:r>
                </w:p>
              </w:tc>
              <w:tc>
                <w:tcPr>
                  <w:tcW w:w="257" w:type="pct"/>
                  <w:tcBorders>
                    <w:tl2br w:val="nil"/>
                    <w:tr2bl w:val="nil"/>
                  </w:tcBorders>
                  <w:vAlign w:val="center"/>
                </w:tcPr>
                <w:p w14:paraId="490DA2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相符性</w:t>
                  </w:r>
                </w:p>
              </w:tc>
            </w:tr>
            <w:tr w14:paraId="70553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7" w:type="pct"/>
                  <w:vMerge w:val="restart"/>
                  <w:tcBorders>
                    <w:tl2br w:val="nil"/>
                    <w:tr2bl w:val="nil"/>
                  </w:tcBorders>
                  <w:vAlign w:val="center"/>
                </w:tcPr>
                <w:p w14:paraId="4C2770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机械制造、有色金属深加工和非金属新材料</w:t>
                  </w:r>
                </w:p>
              </w:tc>
              <w:tc>
                <w:tcPr>
                  <w:tcW w:w="408" w:type="pct"/>
                  <w:tcBorders>
                    <w:tl2br w:val="nil"/>
                    <w:tr2bl w:val="nil"/>
                  </w:tcBorders>
                  <w:vAlign w:val="center"/>
                </w:tcPr>
                <w:p w14:paraId="1589D44C">
                  <w:pPr>
                    <w:pStyle w:val="37"/>
                    <w:keepNext w:val="0"/>
                    <w:keepLines w:val="0"/>
                    <w:pageBreakBefore w:val="0"/>
                    <w:widowControl w:val="0"/>
                    <w:kinsoku/>
                    <w:wordWrap/>
                    <w:overflowPunct/>
                    <w:topLinePunct w:val="0"/>
                    <w:bidi w:val="0"/>
                    <w:adjustRightInd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污染物排放管控</w:t>
                  </w:r>
                </w:p>
              </w:tc>
              <w:tc>
                <w:tcPr>
                  <w:tcW w:w="3195" w:type="pct"/>
                  <w:tcBorders>
                    <w:tl2br w:val="nil"/>
                    <w:tr2bl w:val="nil"/>
                  </w:tcBorders>
                  <w:vAlign w:val="center"/>
                </w:tcPr>
                <w:p w14:paraId="178026DB">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1.单位工业增加值废水排放量≤7t/万元，COD排放量≤3.5kg/万元，NH3-N排放量≤0.42kg/万元，SO2排放量≤4.5kg/万元，NOx排放量≤0.6kg /万元</w:t>
                  </w:r>
                  <w:r>
                    <w:rPr>
                      <w:rFonts w:hint="eastAsia" w:ascii="Times New Roman" w:hAnsi="Times New Roman" w:cs="Times New Roman"/>
                      <w:color w:val="auto"/>
                      <w:lang w:eastAsia="zh-CN"/>
                    </w:rPr>
                    <w:t>，</w:t>
                  </w:r>
                </w:p>
                <w:p w14:paraId="370F9582">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2.园区企业使用的天然气锅炉应在2020年之前完成低氮改造，生物质锅炉应采用专用锅炉，配套布袋等高效除尘设施，按照《关于印发工业炉窑大气污染综合治理方案的通知》的园区非金属矿及黑色金属铸造类涉及工艺炉窑需配套建设高效脱硫脱硝除尘设施，满足“有行业标准的工业炉窑污染执行大气污染物特别排放限值，暂未制订行业排放标准的工业炉窑其颗粒物、二氧化硫、氮氧化物排放执行30、200、300毫克/立方米”的相关要求；</w:t>
                  </w:r>
                </w:p>
                <w:p w14:paraId="05BDA4B1">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3.工业企业工艺废气排放有行业标准的执行行业标准，同时根据皖环函</w:t>
                  </w:r>
                  <w:r>
                    <w:rPr>
                      <w:rFonts w:hint="eastAsia" w:ascii="Times New Roman" w:hAnsi="Times New Roman" w:cs="Times New Roman"/>
                      <w:color w:val="auto"/>
                      <w:lang w:eastAsia="zh-CN"/>
                    </w:rPr>
                    <w:t>〔2019〕1120号</w:t>
                  </w:r>
                  <w:r>
                    <w:rPr>
                      <w:rFonts w:hint="default" w:ascii="Times New Roman" w:hAnsi="Times New Roman" w:cs="Times New Roman"/>
                      <w:color w:val="auto"/>
                    </w:rPr>
                    <w:t>规定的因子执行大气污染物特别排放限值，锅炉废气排放执行《锅炉大气污染物排放标准》（GB13271-2014）大气污染物特别排放限值</w:t>
                  </w:r>
                  <w:r>
                    <w:rPr>
                      <w:rFonts w:hint="eastAsia" w:ascii="Times New Roman" w:hAnsi="Times New Roman" w:cs="Times New Roman"/>
                      <w:color w:val="auto"/>
                      <w:lang w:eastAsia="zh-CN"/>
                    </w:rPr>
                    <w:t>；</w:t>
                  </w:r>
                  <w:r>
                    <w:rPr>
                      <w:rFonts w:hint="default" w:ascii="Times New Roman" w:hAnsi="Times New Roman" w:cs="Times New Roman"/>
                      <w:color w:val="auto"/>
                    </w:rPr>
                    <w:t>恶臭污染物执行《恶臭污染物排放标准》（GB14554-93）中二级标准；企业厂区内VOCS无组织排放监控点浓度执行《挥发性有机物无组织排放控制标准》；</w:t>
                  </w:r>
                </w:p>
              </w:tc>
              <w:tc>
                <w:tcPr>
                  <w:tcW w:w="871" w:type="pct"/>
                  <w:tcBorders>
                    <w:tl2br w:val="nil"/>
                    <w:tr2bl w:val="nil"/>
                  </w:tcBorders>
                  <w:vAlign w:val="center"/>
                </w:tcPr>
                <w:p w14:paraId="18688AB0">
                  <w:pPr>
                    <w:pStyle w:val="37"/>
                    <w:keepNext w:val="0"/>
                    <w:keepLines w:val="0"/>
                    <w:pageBreakBefore w:val="0"/>
                    <w:widowControl w:val="0"/>
                    <w:kinsoku/>
                    <w:wordWrap/>
                    <w:overflowPunct w:val="0"/>
                    <w:topLinePunct w:val="0"/>
                    <w:autoSpaceDE w:val="0"/>
                    <w:autoSpaceDN w:val="0"/>
                    <w:bidi w:val="0"/>
                    <w:adjustRightInd w:val="0"/>
                    <w:snapToGrid w:val="0"/>
                    <w:spacing w:after="0"/>
                    <w:ind w:right="0" w:firstLine="0" w:firstLineChars="0"/>
                    <w:jc w:val="both"/>
                    <w:textAlignment w:val="baseline"/>
                    <w:rPr>
                      <w:rFonts w:hint="default" w:ascii="Times New Roman" w:hAnsi="Times New Roman" w:eastAsia="宋体" w:cs="Times New Roman"/>
                      <w:b w:val="0"/>
                      <w:bCs w:val="0"/>
                      <w:color w:val="auto"/>
                      <w:lang w:val="en-US" w:eastAsia="zh-CN"/>
                    </w:rPr>
                  </w:pPr>
                  <w:r>
                    <w:rPr>
                      <w:rFonts w:hint="default" w:ascii="Times New Roman" w:hAnsi="Times New Roman" w:cs="Times New Roman"/>
                      <w:b w:val="0"/>
                      <w:bCs w:val="0"/>
                      <w:color w:val="auto"/>
                      <w:lang w:val="en-US" w:eastAsia="zh-CN"/>
                    </w:rPr>
                    <w:t>本项目运营期主要为空压系统冷凝水和生活污水，生活污水经化粪池预处理后与空压系统冷凝水经厂区污水总排口排入市政污水管网排入青阳县污水处理厂深度处理，尾水最终排入青通河。</w:t>
                  </w:r>
                </w:p>
                <w:p w14:paraId="7BDB23EE">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right="0" w:rightChars="0" w:firstLine="0" w:firstLineChars="0"/>
                    <w:jc w:val="both"/>
                    <w:textAlignment w:val="baseline"/>
                    <w:rPr>
                      <w:rFonts w:hint="default" w:ascii="Times New Roman" w:hAnsi="Times New Roman" w:cs="Times New Roman"/>
                      <w:color w:val="auto"/>
                      <w:lang w:val="en-US"/>
                    </w:rPr>
                  </w:pPr>
                  <w:r>
                    <w:rPr>
                      <w:rFonts w:hint="default" w:ascii="Times New Roman" w:hAnsi="Times New Roman" w:cs="Times New Roman"/>
                      <w:b w:val="0"/>
                      <w:bCs w:val="0"/>
                      <w:color w:val="auto"/>
                      <w:highlight w:val="none"/>
                      <w:lang w:val="en-US" w:eastAsia="zh-CN"/>
                    </w:rPr>
                    <w:t>本项目</w:t>
                  </w:r>
                  <w:r>
                    <w:rPr>
                      <w:rFonts w:hint="eastAsia" w:ascii="Times New Roman" w:hAnsi="Times New Roman" w:cs="Times New Roman"/>
                      <w:b w:val="0"/>
                      <w:bCs w:val="0"/>
                      <w:color w:val="auto"/>
                      <w:highlight w:val="none"/>
                      <w:lang w:val="en-US" w:eastAsia="zh-CN"/>
                    </w:rPr>
                    <w:t>不涉及锅炉及工业炉窑的使用。</w:t>
                  </w:r>
                </w:p>
              </w:tc>
              <w:tc>
                <w:tcPr>
                  <w:tcW w:w="257" w:type="pct"/>
                  <w:vMerge w:val="restart"/>
                  <w:tcBorders>
                    <w:tl2br w:val="nil"/>
                    <w:tr2bl w:val="nil"/>
                  </w:tcBorders>
                  <w:vAlign w:val="center"/>
                </w:tcPr>
                <w:p w14:paraId="403F15A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r>
                    <w:rPr>
                      <w:rFonts w:hint="default" w:ascii="Times New Roman" w:hAnsi="Times New Roman" w:cs="Times New Roman"/>
                      <w:color w:val="auto"/>
                    </w:rPr>
                    <w:t>符合</w:t>
                  </w:r>
                </w:p>
              </w:tc>
            </w:tr>
            <w:tr w14:paraId="020A8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7" w:type="pct"/>
                  <w:vMerge w:val="continue"/>
                  <w:tcBorders>
                    <w:tl2br w:val="nil"/>
                    <w:tr2bl w:val="nil"/>
                  </w:tcBorders>
                  <w:vAlign w:val="center"/>
                </w:tcPr>
                <w:p w14:paraId="4FF2742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c>
                <w:tcPr>
                  <w:tcW w:w="408" w:type="pct"/>
                  <w:tcBorders>
                    <w:tl2br w:val="nil"/>
                    <w:tr2bl w:val="nil"/>
                  </w:tcBorders>
                  <w:vAlign w:val="center"/>
                </w:tcPr>
                <w:p w14:paraId="093744D2">
                  <w:pPr>
                    <w:pStyle w:val="37"/>
                    <w:keepNext w:val="0"/>
                    <w:keepLines w:val="0"/>
                    <w:pageBreakBefore w:val="0"/>
                    <w:widowControl w:val="0"/>
                    <w:kinsoku/>
                    <w:wordWrap/>
                    <w:overflowPunct/>
                    <w:topLinePunct w:val="0"/>
                    <w:bidi w:val="0"/>
                    <w:adjustRightInd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环境风险防控</w:t>
                  </w:r>
                </w:p>
              </w:tc>
              <w:tc>
                <w:tcPr>
                  <w:tcW w:w="3195" w:type="pct"/>
                  <w:tcBorders>
                    <w:tl2br w:val="nil"/>
                    <w:tr2bl w:val="nil"/>
                  </w:tcBorders>
                  <w:vAlign w:val="center"/>
                </w:tcPr>
                <w:p w14:paraId="7A92EBAF">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1.编制《青阳经济开发区突发环境事件应急预案》，成立环境风险与应急管理机构，并依照应急预案的要求采取一系列风险防范管理措施；</w:t>
                  </w:r>
                </w:p>
                <w:p w14:paraId="6E691761">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2.建立环境风险事故三级防范措施。一级防控措施将污染物控制在贮罐区、装置区；二级防控将污染物控制在排水系统事故应急贮水池；三级防控将污染物控制在区域开发区应急处置设施</w:t>
                  </w:r>
                  <w:r>
                    <w:rPr>
                      <w:rFonts w:hint="eastAsia" w:ascii="Times New Roman" w:hAnsi="Times New Roman" w:cs="Times New Roman"/>
                      <w:color w:val="auto"/>
                      <w:lang w:eastAsia="zh-CN"/>
                    </w:rPr>
                    <w:t>（</w:t>
                  </w:r>
                  <w:r>
                    <w:rPr>
                      <w:rFonts w:hint="default" w:ascii="Times New Roman" w:hAnsi="Times New Roman" w:cs="Times New Roman"/>
                      <w:color w:val="auto"/>
                    </w:rPr>
                    <w:t>污水处理厂</w:t>
                  </w:r>
                  <w:r>
                    <w:rPr>
                      <w:rFonts w:hint="eastAsia" w:ascii="Times New Roman" w:hAnsi="Times New Roman" w:cs="Times New Roman"/>
                      <w:color w:val="auto"/>
                      <w:lang w:eastAsia="zh-CN"/>
                    </w:rPr>
                    <w:t>）</w:t>
                  </w:r>
                  <w:r>
                    <w:rPr>
                      <w:rFonts w:hint="default" w:ascii="Times New Roman" w:hAnsi="Times New Roman" w:cs="Times New Roman"/>
                      <w:color w:val="auto"/>
                    </w:rPr>
                    <w:t>。</w:t>
                  </w:r>
                </w:p>
                <w:p w14:paraId="3560601E">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3.重点企业（如电镀等）必须设立事故应急储存池、雨水排口设置阀门等措施。</w:t>
                  </w:r>
                </w:p>
              </w:tc>
              <w:tc>
                <w:tcPr>
                  <w:tcW w:w="871" w:type="pct"/>
                  <w:tcBorders>
                    <w:tl2br w:val="nil"/>
                    <w:tr2bl w:val="nil"/>
                  </w:tcBorders>
                  <w:vAlign w:val="center"/>
                </w:tcPr>
                <w:p w14:paraId="7C524DDE">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right="0" w:rightChars="0" w:firstLine="0" w:firstLineChars="0"/>
                    <w:jc w:val="both"/>
                    <w:textAlignment w:val="baseline"/>
                    <w:rPr>
                      <w:rFonts w:hint="eastAsia" w:ascii="Times New Roman" w:hAnsi="Times New Roman" w:eastAsia="宋体" w:cs="Times New Roman"/>
                      <w:b w:val="0"/>
                      <w:bCs w:val="0"/>
                      <w:color w:val="auto"/>
                      <w:lang w:val="en-US" w:eastAsia="zh-CN"/>
                    </w:rPr>
                  </w:pPr>
                  <w:r>
                    <w:rPr>
                      <w:rFonts w:hint="default" w:ascii="Times New Roman" w:hAnsi="Times New Roman" w:cs="Times New Roman"/>
                      <w:b w:val="0"/>
                      <w:bCs w:val="0"/>
                      <w:color w:val="auto"/>
                      <w:lang w:val="en-US" w:eastAsia="zh-CN"/>
                    </w:rPr>
                    <w:t>本项目</w:t>
                  </w:r>
                  <w:r>
                    <w:rPr>
                      <w:rFonts w:hint="eastAsia" w:ascii="Times New Roman" w:hAnsi="Times New Roman" w:cs="Times New Roman"/>
                      <w:b w:val="0"/>
                      <w:bCs w:val="0"/>
                      <w:color w:val="auto"/>
                      <w:lang w:val="en-US" w:eastAsia="zh-CN"/>
                    </w:rPr>
                    <w:t>建成后开展</w:t>
                  </w:r>
                  <w:r>
                    <w:rPr>
                      <w:rFonts w:hint="default" w:ascii="Times New Roman" w:hAnsi="Times New Roman" w:cs="Times New Roman"/>
                      <w:color w:val="auto"/>
                    </w:rPr>
                    <w:t>突发环境事件应急预案</w:t>
                  </w:r>
                  <w:r>
                    <w:rPr>
                      <w:rFonts w:hint="eastAsia" w:ascii="Times New Roman" w:hAnsi="Times New Roman" w:cs="Times New Roman"/>
                      <w:color w:val="auto"/>
                      <w:lang w:val="en-US" w:eastAsia="zh-CN"/>
                    </w:rPr>
                    <w:t>备案工作，并按要求</w:t>
                  </w:r>
                  <w:r>
                    <w:rPr>
                      <w:rFonts w:hint="default" w:ascii="Times New Roman" w:hAnsi="Times New Roman" w:cs="Times New Roman"/>
                      <w:color w:val="auto"/>
                    </w:rPr>
                    <w:t>建立环境风险事故防范措施</w:t>
                  </w:r>
                  <w:r>
                    <w:rPr>
                      <w:rFonts w:hint="eastAsia" w:ascii="Times New Roman" w:hAnsi="Times New Roman" w:cs="Times New Roman"/>
                      <w:color w:val="auto"/>
                      <w:lang w:eastAsia="zh-CN"/>
                    </w:rPr>
                    <w:t>；</w:t>
                  </w:r>
                </w:p>
                <w:p w14:paraId="67B0817D">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right="0" w:rightChars="0" w:firstLine="0" w:firstLineChars="0"/>
                    <w:jc w:val="both"/>
                    <w:textAlignment w:val="baseline"/>
                    <w:rPr>
                      <w:rFonts w:hint="default" w:ascii="Times New Roman" w:hAnsi="Times New Roman" w:eastAsia="宋体" w:cs="Times New Roman"/>
                      <w:color w:val="auto"/>
                      <w:lang w:val="en-US" w:eastAsia="zh-CN"/>
                    </w:rPr>
                  </w:pPr>
                  <w:r>
                    <w:rPr>
                      <w:rFonts w:hint="default" w:ascii="Times New Roman" w:hAnsi="Times New Roman" w:cs="Times New Roman"/>
                      <w:b w:val="0"/>
                      <w:bCs w:val="0"/>
                      <w:color w:val="auto"/>
                      <w:lang w:val="en-US" w:eastAsia="zh-CN"/>
                    </w:rPr>
                    <w:t>本项目</w:t>
                  </w:r>
                  <w:r>
                    <w:rPr>
                      <w:rFonts w:hint="eastAsia" w:ascii="Times New Roman" w:hAnsi="Times New Roman" w:cs="Times New Roman"/>
                      <w:b w:val="0"/>
                      <w:bCs w:val="0"/>
                      <w:color w:val="auto"/>
                      <w:lang w:val="en-US" w:eastAsia="zh-CN"/>
                    </w:rPr>
                    <w:t>属于</w:t>
                  </w:r>
                  <w:r>
                    <w:rPr>
                      <w:rFonts w:hint="default" w:ascii="Times New Roman" w:hAnsi="Times New Roman" w:cs="Times New Roman"/>
                      <w:b w:val="0"/>
                      <w:bCs w:val="0"/>
                      <w:color w:val="auto"/>
                      <w:lang w:val="en-US" w:eastAsia="zh-CN"/>
                    </w:rPr>
                    <w:t>3422</w:t>
                  </w:r>
                  <w:r>
                    <w:rPr>
                      <w:rFonts w:hint="eastAsia" w:ascii="Times New Roman" w:hAnsi="Times New Roman" w:cs="Times New Roman"/>
                      <w:b w:val="0"/>
                      <w:bCs w:val="0"/>
                      <w:color w:val="auto"/>
                      <w:lang w:val="en-US" w:eastAsia="zh-CN"/>
                    </w:rPr>
                    <w:t>金属成形</w:t>
                  </w:r>
                  <w:r>
                    <w:rPr>
                      <w:rFonts w:hint="default" w:ascii="Times New Roman" w:hAnsi="Times New Roman" w:cs="Times New Roman"/>
                      <w:b w:val="0"/>
                      <w:bCs w:val="0"/>
                      <w:color w:val="auto"/>
                      <w:lang w:val="en-US" w:eastAsia="zh-CN"/>
                    </w:rPr>
                    <w:t>机床制造</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C3423铸造机械制造</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C3461烘炉、熔炉及电炉制造</w:t>
                  </w:r>
                  <w:r>
                    <w:rPr>
                      <w:rFonts w:hint="default" w:ascii="Times New Roman" w:hAnsi="Times New Roman" w:eastAsia="宋体" w:cs="Times New Roman"/>
                      <w:b w:val="0"/>
                      <w:bCs w:val="0"/>
                      <w:color w:val="auto"/>
                      <w:lang w:val="en-US" w:eastAsia="zh-CN"/>
                    </w:rPr>
                    <w:t>，</w:t>
                  </w:r>
                  <w:r>
                    <w:rPr>
                      <w:rFonts w:hint="eastAsia" w:ascii="Times New Roman" w:hAnsi="Times New Roman" w:cs="Times New Roman"/>
                      <w:b w:val="0"/>
                      <w:bCs w:val="0"/>
                      <w:color w:val="auto"/>
                      <w:lang w:val="en-US" w:eastAsia="zh-CN"/>
                    </w:rPr>
                    <w:t>不涉及电镀</w:t>
                  </w:r>
                  <w:r>
                    <w:rPr>
                      <w:rFonts w:hint="default" w:ascii="Times New Roman" w:hAnsi="Times New Roman" w:cs="Times New Roman"/>
                      <w:b w:val="0"/>
                      <w:bCs w:val="0"/>
                      <w:color w:val="auto"/>
                      <w:lang w:val="en-US" w:eastAsia="zh-CN"/>
                    </w:rPr>
                    <w:t>，</w:t>
                  </w:r>
                  <w:r>
                    <w:rPr>
                      <w:rFonts w:hint="eastAsia" w:ascii="Times New Roman" w:hAnsi="Times New Roman" w:cs="Times New Roman"/>
                      <w:b w:val="0"/>
                      <w:bCs w:val="0"/>
                      <w:color w:val="auto"/>
                      <w:lang w:val="en-US" w:eastAsia="zh-CN"/>
                    </w:rPr>
                    <w:t>不属于重点企业。</w:t>
                  </w:r>
                </w:p>
              </w:tc>
              <w:tc>
                <w:tcPr>
                  <w:tcW w:w="257" w:type="pct"/>
                  <w:vMerge w:val="continue"/>
                  <w:tcBorders>
                    <w:tl2br w:val="nil"/>
                    <w:tr2bl w:val="nil"/>
                  </w:tcBorders>
                  <w:vAlign w:val="center"/>
                </w:tcPr>
                <w:p w14:paraId="78B57A6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r>
            <w:tr w14:paraId="586CB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7" w:type="pct"/>
                  <w:vMerge w:val="continue"/>
                  <w:tcBorders>
                    <w:tl2br w:val="nil"/>
                    <w:tr2bl w:val="nil"/>
                  </w:tcBorders>
                  <w:vAlign w:val="center"/>
                </w:tcPr>
                <w:p w14:paraId="43C1F5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c>
                <w:tcPr>
                  <w:tcW w:w="408" w:type="pct"/>
                  <w:tcBorders>
                    <w:tl2br w:val="nil"/>
                    <w:tr2bl w:val="nil"/>
                  </w:tcBorders>
                  <w:vAlign w:val="center"/>
                </w:tcPr>
                <w:p w14:paraId="0BB78467">
                  <w:pPr>
                    <w:pStyle w:val="37"/>
                    <w:keepNext w:val="0"/>
                    <w:keepLines w:val="0"/>
                    <w:pageBreakBefore w:val="0"/>
                    <w:widowControl w:val="0"/>
                    <w:kinsoku/>
                    <w:wordWrap/>
                    <w:overflowPunct/>
                    <w:topLinePunct w:val="0"/>
                    <w:bidi w:val="0"/>
                    <w:adjustRightInd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资源开发利用效率</w:t>
                  </w:r>
                </w:p>
              </w:tc>
              <w:tc>
                <w:tcPr>
                  <w:tcW w:w="3195" w:type="pct"/>
                  <w:tcBorders>
                    <w:tl2br w:val="nil"/>
                    <w:tr2bl w:val="nil"/>
                  </w:tcBorders>
                  <w:vAlign w:val="center"/>
                </w:tcPr>
                <w:p w14:paraId="3085593F">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1.单位工业增加值新鲜水耗</w:t>
                  </w:r>
                  <w:r>
                    <w:rPr>
                      <w:rFonts w:hint="eastAsia" w:ascii="Times New Roman" w:hAnsi="Times New Roman" w:cs="Times New Roman"/>
                      <w:color w:val="auto"/>
                      <w:lang w:eastAsia="zh-CN"/>
                    </w:rPr>
                    <w:t>（</w:t>
                  </w:r>
                  <w:r>
                    <w:rPr>
                      <w:rFonts w:hint="default" w:ascii="Times New Roman" w:hAnsi="Times New Roman" w:cs="Times New Roman"/>
                      <w:color w:val="auto"/>
                    </w:rPr>
                    <w:t>m</w:t>
                  </w:r>
                  <w:r>
                    <w:rPr>
                      <w:rFonts w:hint="default" w:ascii="Times New Roman" w:hAnsi="Times New Roman" w:cs="Times New Roman"/>
                      <w:color w:val="auto"/>
                      <w:vertAlign w:val="superscript"/>
                    </w:rPr>
                    <w:t>3</w:t>
                  </w:r>
                  <w:r>
                    <w:rPr>
                      <w:rFonts w:hint="default" w:ascii="Times New Roman" w:hAnsi="Times New Roman" w:cs="Times New Roman"/>
                      <w:color w:val="auto"/>
                    </w:rPr>
                    <w:t>/万元</w:t>
                  </w:r>
                  <w:r>
                    <w:rPr>
                      <w:rFonts w:hint="eastAsia" w:ascii="Times New Roman" w:hAnsi="Times New Roman" w:cs="Times New Roman"/>
                      <w:color w:val="auto"/>
                      <w:lang w:eastAsia="zh-CN"/>
                    </w:rPr>
                    <w:t>）</w:t>
                  </w:r>
                  <w:r>
                    <w:rPr>
                      <w:rFonts w:hint="default" w:ascii="Times New Roman" w:hAnsi="Times New Roman" w:cs="Times New Roman"/>
                      <w:color w:val="auto"/>
                    </w:rPr>
                    <w:t>≤9，单位工业增加值综合能耗</w:t>
                  </w:r>
                  <w:r>
                    <w:rPr>
                      <w:rFonts w:hint="eastAsia" w:ascii="Times New Roman" w:hAnsi="Times New Roman" w:cs="Times New Roman"/>
                      <w:color w:val="auto"/>
                      <w:lang w:eastAsia="zh-CN"/>
                    </w:rPr>
                    <w:t>（</w:t>
                  </w:r>
                  <w:r>
                    <w:rPr>
                      <w:rFonts w:hint="default" w:ascii="Times New Roman" w:hAnsi="Times New Roman" w:cs="Times New Roman"/>
                      <w:color w:val="auto"/>
                    </w:rPr>
                    <w:t>吨标煤/万元</w:t>
                  </w:r>
                  <w:r>
                    <w:rPr>
                      <w:rFonts w:hint="eastAsia" w:ascii="Times New Roman" w:hAnsi="Times New Roman" w:cs="Times New Roman"/>
                      <w:color w:val="auto"/>
                      <w:lang w:eastAsia="zh-CN"/>
                    </w:rPr>
                    <w:t>）</w:t>
                  </w:r>
                  <w:r>
                    <w:rPr>
                      <w:rFonts w:hint="default" w:ascii="Times New Roman" w:hAnsi="Times New Roman" w:cs="Times New Roman"/>
                      <w:color w:val="auto"/>
                    </w:rPr>
                    <w:t>≤0.5，单位工业用地工业增加值</w:t>
                  </w:r>
                  <w:r>
                    <w:rPr>
                      <w:rFonts w:hint="eastAsia" w:ascii="Times New Roman" w:hAnsi="Times New Roman" w:cs="Times New Roman"/>
                      <w:color w:val="auto"/>
                      <w:lang w:eastAsia="zh-CN"/>
                    </w:rPr>
                    <w:t>（</w:t>
                  </w:r>
                  <w:r>
                    <w:rPr>
                      <w:rFonts w:hint="default" w:ascii="Times New Roman" w:hAnsi="Times New Roman" w:cs="Times New Roman"/>
                      <w:color w:val="auto"/>
                    </w:rPr>
                    <w:t>亿元/km</w:t>
                  </w:r>
                  <w:r>
                    <w:rPr>
                      <w:rFonts w:hint="default" w:ascii="Times New Roman" w:hAnsi="Times New Roman" w:cs="Times New Roman"/>
                      <w:color w:val="auto"/>
                      <w:vertAlign w:val="superscript"/>
                    </w:rPr>
                    <w:t>2</w:t>
                  </w:r>
                  <w:r>
                    <w:rPr>
                      <w:rFonts w:hint="eastAsia" w:ascii="Times New Roman" w:hAnsi="Times New Roman" w:cs="Times New Roman"/>
                      <w:color w:val="auto"/>
                      <w:lang w:eastAsia="zh-CN"/>
                    </w:rPr>
                    <w:t>）</w:t>
                  </w:r>
                  <w:r>
                    <w:rPr>
                      <w:rFonts w:hint="default" w:ascii="Times New Roman" w:hAnsi="Times New Roman" w:cs="Times New Roman"/>
                      <w:color w:val="auto"/>
                    </w:rPr>
                    <w:t>≥9，单位工业增加值新鲜水耗≤8m</w:t>
                  </w:r>
                  <w:r>
                    <w:rPr>
                      <w:rFonts w:hint="default" w:ascii="Times New Roman" w:hAnsi="Times New Roman" w:cs="Times New Roman"/>
                      <w:color w:val="auto"/>
                      <w:vertAlign w:val="superscript"/>
                    </w:rPr>
                    <w:t>3</w:t>
                  </w:r>
                  <w:r>
                    <w:rPr>
                      <w:rFonts w:hint="default" w:ascii="Times New Roman" w:hAnsi="Times New Roman" w:cs="Times New Roman"/>
                      <w:color w:val="auto"/>
                    </w:rPr>
                    <w:t>/万元；</w:t>
                  </w:r>
                </w:p>
                <w:p w14:paraId="26B0FA58">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2.根据《安徽省打赢蓝天保卫战三年行动计划实施方案的通知》，新建耗煤项目实行煤炭减量替代，自2020年起园区非金属矿物制品业等涉及燃煤工业炉窑的企业应实施煤炭消费量1.5倍减量替代；</w:t>
                  </w:r>
                </w:p>
              </w:tc>
              <w:tc>
                <w:tcPr>
                  <w:tcW w:w="871" w:type="pct"/>
                  <w:tcBorders>
                    <w:tl2br w:val="nil"/>
                    <w:tr2bl w:val="nil"/>
                  </w:tcBorders>
                  <w:vAlign w:val="center"/>
                </w:tcPr>
                <w:p w14:paraId="1785DBE7">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right="0" w:rightChars="0" w:firstLine="0" w:firstLineChars="0"/>
                    <w:jc w:val="both"/>
                    <w:textAlignment w:val="baseline"/>
                    <w:rPr>
                      <w:rFonts w:hint="default" w:ascii="Times New Roman" w:hAnsi="Times New Roman" w:cs="Times New Roman"/>
                      <w:color w:val="auto"/>
                      <w:lang w:val="en-US"/>
                    </w:rPr>
                  </w:pPr>
                  <w:r>
                    <w:rPr>
                      <w:rFonts w:hint="default" w:ascii="Times New Roman" w:hAnsi="Times New Roman" w:cs="Times New Roman"/>
                      <w:b w:val="0"/>
                      <w:bCs w:val="0"/>
                      <w:color w:val="auto"/>
                      <w:lang w:val="en-US" w:eastAsia="zh-CN"/>
                    </w:rPr>
                    <w:t>本项目</w:t>
                  </w:r>
                  <w:r>
                    <w:rPr>
                      <w:rFonts w:hint="eastAsia" w:ascii="Times New Roman" w:hAnsi="Times New Roman" w:cs="Times New Roman"/>
                      <w:b w:val="0"/>
                      <w:bCs w:val="0"/>
                      <w:color w:val="auto"/>
                      <w:lang w:val="en-US" w:eastAsia="zh-CN"/>
                    </w:rPr>
                    <w:t>不涉及煤炭的使用。</w:t>
                  </w:r>
                </w:p>
              </w:tc>
              <w:tc>
                <w:tcPr>
                  <w:tcW w:w="257" w:type="pct"/>
                  <w:vMerge w:val="continue"/>
                  <w:tcBorders>
                    <w:tl2br w:val="nil"/>
                    <w:tr2bl w:val="nil"/>
                  </w:tcBorders>
                  <w:vAlign w:val="center"/>
                </w:tcPr>
                <w:p w14:paraId="5A2D8C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r>
            <w:tr w14:paraId="5FA9A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7" w:type="pct"/>
                  <w:vMerge w:val="continue"/>
                  <w:tcBorders>
                    <w:tl2br w:val="nil"/>
                    <w:tr2bl w:val="nil"/>
                  </w:tcBorders>
                  <w:vAlign w:val="center"/>
                </w:tcPr>
                <w:p w14:paraId="69DEE31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c>
                <w:tcPr>
                  <w:tcW w:w="408" w:type="pct"/>
                  <w:tcBorders>
                    <w:tl2br w:val="nil"/>
                    <w:tr2bl w:val="nil"/>
                  </w:tcBorders>
                  <w:vAlign w:val="center"/>
                </w:tcPr>
                <w:p w14:paraId="3F514A6D">
                  <w:pPr>
                    <w:pStyle w:val="37"/>
                    <w:keepNext w:val="0"/>
                    <w:keepLines w:val="0"/>
                    <w:pageBreakBefore w:val="0"/>
                    <w:widowControl w:val="0"/>
                    <w:kinsoku/>
                    <w:wordWrap/>
                    <w:overflowPunct/>
                    <w:topLinePunct w:val="0"/>
                    <w:bidi w:val="0"/>
                    <w:adjustRightInd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产业准入要求</w:t>
                  </w:r>
                </w:p>
              </w:tc>
              <w:tc>
                <w:tcPr>
                  <w:tcW w:w="3195" w:type="pct"/>
                  <w:tcBorders>
                    <w:tl2br w:val="nil"/>
                    <w:tr2bl w:val="nil"/>
                  </w:tcBorders>
                  <w:vAlign w:val="center"/>
                </w:tcPr>
                <w:p w14:paraId="250B1604">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禁止类项目、工艺、产品</w:t>
                  </w:r>
                </w:p>
                <w:p w14:paraId="7B4C66FB">
                  <w:pPr>
                    <w:pStyle w:val="37"/>
                    <w:keepNext w:val="0"/>
                    <w:keepLines w:val="0"/>
                    <w:pageBreakBefore w:val="0"/>
                    <w:widowControl w:val="0"/>
                    <w:kinsoku/>
                    <w:wordWrap/>
                    <w:overflowPunct/>
                    <w:topLinePunct w:val="0"/>
                    <w:bidi w:val="0"/>
                    <w:adjustRightInd w:val="0"/>
                    <w:snapToGrid w:val="0"/>
                    <w:spacing w:after="0"/>
                    <w:jc w:val="both"/>
                    <w:textAlignment w:val="auto"/>
                    <w:rPr>
                      <w:rFonts w:hint="eastAsia" w:ascii="Times New Roman" w:hAnsi="Times New Roman" w:eastAsia="宋体" w:cs="Times New Roman"/>
                      <w:color w:val="auto"/>
                      <w:lang w:eastAsia="zh-CN"/>
                    </w:rPr>
                  </w:pPr>
                  <w:r>
                    <w:rPr>
                      <w:rFonts w:hint="default" w:ascii="Times New Roman" w:hAnsi="Times New Roman" w:cs="Times New Roman"/>
                      <w:color w:val="auto"/>
                    </w:rPr>
                    <w:t>禁止引入国家明令禁止建设或投资的、列入《产业结构调整指导目录（2019年本）》、《外商投资产业指导目录（2017年修订）》、《市场准入负面清单草案（试点版）》等相关产业政策中禁止或淘汰类的项目</w:t>
                  </w:r>
                  <w:r>
                    <w:rPr>
                      <w:rFonts w:hint="eastAsia" w:ascii="Times New Roman" w:hAnsi="Times New Roman" w:cs="Times New Roman"/>
                      <w:color w:val="auto"/>
                      <w:lang w:eastAsia="zh-CN"/>
                    </w:rPr>
                    <w:t>；</w:t>
                  </w:r>
                </w:p>
                <w:p w14:paraId="6ACAD5F5">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禁止新引入基础化学原料、农药、涂料产品制造、合成材料制造、专用化学产品制造、炸药、火工及焰火产品制造以及原料药、制剂、兽药制造等污染较重的化工医药类项目（包括化工原料配制）；</w:t>
                  </w:r>
                </w:p>
                <w:p w14:paraId="03D2398E">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禁止引入规模效益差、能源资源消耗大、环境影响严重的企业，包括钢铁、涉及铜、铅、镍等有色金属的冶炼、水泥、印染、染整、铅酸电池、皮革鞣制、毛皮鞣制、纸浆制造、造纸、酿造等制造业项目；</w:t>
                  </w:r>
                </w:p>
                <w:p w14:paraId="1F19250A">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禁止引入专门从事贮存、运输有毒有害危险化学品的项目；</w:t>
                  </w:r>
                </w:p>
                <w:p w14:paraId="2EBA6690">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为主导产业及配套的上下游及延伸产业链项目的生产工艺、设备、污染治理技术等未达到清洁生产国内先进水平的、不符合环保相关要求的项目，禁止引入；</w:t>
                  </w:r>
                </w:p>
                <w:p w14:paraId="22979CD8">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不得采用普通粘土砂人工造型工艺和仅生产铸件毛坯铸造；</w:t>
                  </w:r>
                </w:p>
                <w:p w14:paraId="5F434332">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碳酸钙类企业禁止采用的设备及工艺：2万吨/年以下普通级碳酸钙生产线；一次性煅烧的，窑的高径比小于3的，利用系数小于0.3的、吨石灰能耗大于150公斤标煤的、无任何烟气和粉尘处理结构及设备的石灰土立窑；10蒸吨（含）以下高污染燃煤锅炉；</w:t>
                  </w:r>
                </w:p>
                <w:p w14:paraId="2EFD5919">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铸造类企业禁止采用的设备及工艺：企业不应使用国家明令淘汰的生产工艺。不应采用粘土砂干型/芯、油砂制芯、七〇砂制型/芯等落后铸造工艺；粘土砂批量铸件生产企业不应采用手工造型；水玻璃熔模精密铸造企业模壳硬化不应采用氯化铵硬化工艺；铝合金、锌合金等有色金属熔炼不应采用六氯乙烷等有毒有害的精炼剂。采用粘土砂工艺批量生产铸件的现有企业不应采用手工造型；新建熔模精密铸造项目不应采用水玻璃熔模精密铸造工艺；生产装备：企业不应使用国家明令淘汰的生产装备，如：无芯工频感应电炉、0.25吨及以上无磁轭的铝壳中频感应电炉等；铸造企业冲天炉熔化率应大于5吨/小时；新建企业不应采用燃油加热熔化炉。</w:t>
                  </w:r>
                </w:p>
                <w:p w14:paraId="51077363">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限制类项目、工艺、产品：严格控制非主导产业类项目入区。</w:t>
                  </w:r>
                </w:p>
                <w:p w14:paraId="3DB25B00">
                  <w:pPr>
                    <w:pStyle w:val="37"/>
                    <w:keepNext w:val="0"/>
                    <w:keepLines w:val="0"/>
                    <w:pageBreakBefore w:val="0"/>
                    <w:widowControl w:val="0"/>
                    <w:kinsoku/>
                    <w:wordWrap/>
                    <w:overflowPunct/>
                    <w:topLinePunct w:val="0"/>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鼓励类项目、工艺、产品：非金属新材料制造、机电装备制造、有色金属深加工其中有色金属深加工是以“阴极铜</w:t>
                  </w:r>
                  <w:r>
                    <w:rPr>
                      <w:rFonts w:hint="eastAsia" w:ascii="Times New Roman" w:hAnsi="Times New Roman" w:cs="Times New Roman"/>
                      <w:color w:val="auto"/>
                      <w:lang w:eastAsia="zh-CN"/>
                    </w:rPr>
                    <w:t>（</w:t>
                  </w:r>
                  <w:r>
                    <w:rPr>
                      <w:rFonts w:hint="default" w:ascii="Times New Roman" w:hAnsi="Times New Roman" w:cs="Times New Roman"/>
                      <w:color w:val="auto"/>
                    </w:rPr>
                    <w:t>电解铜</w:t>
                  </w:r>
                  <w:r>
                    <w:rPr>
                      <w:rFonts w:hint="eastAsia" w:ascii="Times New Roman" w:hAnsi="Times New Roman" w:cs="Times New Roman"/>
                      <w:color w:val="auto"/>
                      <w:lang w:eastAsia="zh-CN"/>
                    </w:rPr>
                    <w:t>）</w:t>
                  </w:r>
                  <w:r>
                    <w:rPr>
                      <w:rFonts w:hint="default" w:ascii="Times New Roman" w:hAnsi="Times New Roman" w:cs="Times New Roman"/>
                      <w:color w:val="auto"/>
                    </w:rPr>
                    <w:t>为原料的铜材深加工、电线电缆为主导的铜材加工基地和电子信息、新型能源、钨钼特种金属加工基地”，并明确不涉及铜、铅、镍等有色金属的冶炼。</w:t>
                  </w:r>
                </w:p>
              </w:tc>
              <w:tc>
                <w:tcPr>
                  <w:tcW w:w="871" w:type="pct"/>
                  <w:tcBorders>
                    <w:tl2br w:val="nil"/>
                    <w:tr2bl w:val="nil"/>
                  </w:tcBorders>
                  <w:vAlign w:val="center"/>
                </w:tcPr>
                <w:p w14:paraId="2767C6C2">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right="0" w:rightChars="0" w:firstLine="0" w:firstLineChars="0"/>
                    <w:jc w:val="both"/>
                    <w:textAlignment w:val="baseline"/>
                    <w:rPr>
                      <w:rFonts w:hint="default" w:ascii="Times New Roman" w:hAnsi="Times New Roman" w:cs="Times New Roman"/>
                      <w:color w:val="auto"/>
                    </w:rPr>
                  </w:pPr>
                  <w:r>
                    <w:rPr>
                      <w:rFonts w:hint="default" w:ascii="Times New Roman" w:hAnsi="Times New Roman" w:cs="Times New Roman"/>
                      <w:b w:val="0"/>
                      <w:bCs w:val="0"/>
                      <w:color w:val="auto"/>
                      <w:lang w:val="en-US" w:eastAsia="zh-CN"/>
                    </w:rPr>
                    <w:t>对照《国民经济行业分类》（GB/T4754-2017），本项目属于C3422</w:t>
                  </w:r>
                  <w:r>
                    <w:rPr>
                      <w:rFonts w:hint="eastAsia" w:ascii="Times New Roman" w:hAnsi="Times New Roman" w:cs="Times New Roman"/>
                      <w:b w:val="0"/>
                      <w:bCs w:val="0"/>
                      <w:color w:val="auto"/>
                      <w:lang w:val="en-US" w:eastAsia="zh-CN"/>
                    </w:rPr>
                    <w:t>金属成形</w:t>
                  </w:r>
                  <w:r>
                    <w:rPr>
                      <w:rFonts w:hint="default" w:ascii="Times New Roman" w:hAnsi="Times New Roman" w:cs="Times New Roman"/>
                      <w:b w:val="0"/>
                      <w:bCs w:val="0"/>
                      <w:color w:val="auto"/>
                      <w:lang w:val="en-US" w:eastAsia="zh-CN"/>
                    </w:rPr>
                    <w:t>机床制造、C3423铸造机械制造、C3461烘炉、熔炉及电炉制造</w:t>
                  </w:r>
                  <w:r>
                    <w:rPr>
                      <w:rFonts w:hint="default" w:ascii="Times New Roman" w:hAnsi="Times New Roman" w:eastAsia="宋体" w:cs="Times New Roman"/>
                      <w:b w:val="0"/>
                      <w:bCs w:val="0"/>
                      <w:color w:val="auto"/>
                      <w:lang w:eastAsia="zh-CN"/>
                    </w:rPr>
                    <w:t>，</w:t>
                  </w:r>
                  <w:r>
                    <w:rPr>
                      <w:rFonts w:hint="default" w:ascii="Times New Roman" w:hAnsi="Times New Roman" w:cs="Times New Roman"/>
                      <w:b w:val="0"/>
                      <w:bCs w:val="0"/>
                      <w:color w:val="auto"/>
                      <w:lang w:val="en-US" w:eastAsia="zh-CN"/>
                    </w:rPr>
                    <w:t>不属于</w:t>
                  </w:r>
                  <w:r>
                    <w:rPr>
                      <w:rFonts w:hint="eastAsia" w:ascii="Times New Roman" w:hAnsi="Times New Roman" w:cs="Times New Roman"/>
                      <w:b w:val="0"/>
                      <w:bCs w:val="0"/>
                      <w:color w:val="auto"/>
                      <w:lang w:val="en-US" w:eastAsia="zh-CN"/>
                    </w:rPr>
                    <w:t>《产业结构调整指导目录（2024年本）》、《</w:t>
                  </w:r>
                  <w:r>
                    <w:rPr>
                      <w:rFonts w:hint="default" w:ascii="Times New Roman" w:hAnsi="Times New Roman" w:cs="Times New Roman"/>
                      <w:b w:val="0"/>
                      <w:bCs w:val="0"/>
                      <w:color w:val="auto"/>
                      <w:lang w:val="en-US" w:eastAsia="zh-CN"/>
                    </w:rPr>
                    <w:t>外商投资产业指导目录（2017年修订）</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市场准入负面清单草案（试点版）》等相关产业政策中禁止或淘汰类的项目</w:t>
                  </w:r>
                  <w:r>
                    <w:rPr>
                      <w:rFonts w:hint="default" w:ascii="Times New Roman" w:hAnsi="Times New Roman" w:eastAsia="宋体" w:cs="Times New Roman"/>
                      <w:b w:val="0"/>
                      <w:bCs w:val="0"/>
                      <w:color w:val="auto"/>
                      <w:lang w:eastAsia="zh-CN"/>
                    </w:rPr>
                    <w:t>。</w:t>
                  </w:r>
                </w:p>
              </w:tc>
              <w:tc>
                <w:tcPr>
                  <w:tcW w:w="257" w:type="pct"/>
                  <w:vMerge w:val="continue"/>
                  <w:tcBorders>
                    <w:tl2br w:val="nil"/>
                    <w:tr2bl w:val="nil"/>
                  </w:tcBorders>
                  <w:vAlign w:val="center"/>
                </w:tcPr>
                <w:p w14:paraId="40D17D4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r>
          </w:tbl>
          <w:p w14:paraId="22ECD6A3">
            <w:pPr>
              <w:numPr>
                <w:ilvl w:val="0"/>
                <w:numId w:val="2"/>
              </w:numPr>
              <w:ind w:firstLine="420"/>
              <w:rPr>
                <w:color w:val="auto"/>
                <w:sz w:val="24"/>
                <w:szCs w:val="24"/>
              </w:rPr>
            </w:pPr>
            <w:r>
              <w:rPr>
                <w:rFonts w:hint="eastAsia"/>
                <w:color w:val="auto"/>
                <w:sz w:val="24"/>
                <w:szCs w:val="24"/>
              </w:rPr>
              <w:t>与《安徽“三线一单”管控要求》相符性分析，</w:t>
            </w:r>
            <w:r>
              <w:rPr>
                <w:rFonts w:hint="eastAsia"/>
                <w:color w:val="auto"/>
                <w:sz w:val="24"/>
                <w:szCs w:val="24"/>
                <w:lang w:eastAsia="zh-CN"/>
              </w:rPr>
              <w:t>本项目</w:t>
            </w:r>
            <w:r>
              <w:rPr>
                <w:rFonts w:hint="eastAsia"/>
                <w:color w:val="auto"/>
                <w:sz w:val="24"/>
                <w:szCs w:val="24"/>
              </w:rPr>
              <w:t>管控单元编号为ZH34172320007，为重点管控单元</w:t>
            </w:r>
            <w:r>
              <w:rPr>
                <w:rFonts w:hint="eastAsia"/>
                <w:color w:val="auto"/>
                <w:sz w:val="24"/>
                <w:szCs w:val="24"/>
                <w:lang w:val="en-US" w:eastAsia="zh-CN"/>
              </w:rPr>
              <w:t>7</w:t>
            </w:r>
            <w:r>
              <w:rPr>
                <w:rFonts w:hint="eastAsia"/>
                <w:color w:val="auto"/>
                <w:sz w:val="24"/>
                <w:szCs w:val="24"/>
              </w:rPr>
              <w:t>；见下图，具体管控单元要求分析见下表</w:t>
            </w:r>
          </w:p>
          <w:p w14:paraId="00A5FD59">
            <w:pPr>
              <w:pStyle w:val="38"/>
              <w:spacing w:before="0" w:after="0" w:line="240" w:lineRule="auto"/>
              <w:ind w:right="0" w:firstLine="0" w:firstLineChars="0"/>
              <w:rPr>
                <w:rFonts w:hint="eastAsia" w:ascii="宋体" w:hAnsi="宋体" w:cs="宋体"/>
                <w:bCs/>
                <w:color w:val="auto"/>
                <w:szCs w:val="21"/>
                <w:lang w:bidi="ar"/>
              </w:rPr>
            </w:pPr>
            <w:r>
              <w:rPr>
                <w:color w:val="auto"/>
                <w:sz w:val="21"/>
              </w:rPr>
              <mc:AlternateContent>
                <mc:Choice Requires="wps">
                  <w:drawing>
                    <wp:anchor distT="0" distB="0" distL="114300" distR="114300" simplePos="0" relativeHeight="251667456" behindDoc="0" locked="0" layoutInCell="1" allowOverlap="1">
                      <wp:simplePos x="0" y="0"/>
                      <wp:positionH relativeFrom="column">
                        <wp:posOffset>4656455</wp:posOffset>
                      </wp:positionH>
                      <wp:positionV relativeFrom="paragraph">
                        <wp:posOffset>1722755</wp:posOffset>
                      </wp:positionV>
                      <wp:extent cx="1312545" cy="325120"/>
                      <wp:effectExtent l="9525" t="9525" r="11430" b="408305"/>
                      <wp:wrapNone/>
                      <wp:docPr id="35" name="矩形标注 35"/>
                      <wp:cNvGraphicFramePr/>
                      <a:graphic xmlns:a="http://schemas.openxmlformats.org/drawingml/2006/main">
                        <a:graphicData uri="http://schemas.microsoft.com/office/word/2010/wordprocessingShape">
                          <wps:wsp>
                            <wps:cNvSpPr/>
                            <wps:spPr>
                              <a:xfrm>
                                <a:off x="0" y="0"/>
                                <a:ext cx="1312545" cy="325120"/>
                              </a:xfrm>
                              <a:prstGeom prst="wedgeRectCallout">
                                <a:avLst>
                                  <a:gd name="adj1" fmla="val -34724"/>
                                  <a:gd name="adj2" fmla="val 171875"/>
                                </a:avLst>
                              </a:prstGeom>
                              <a:noFill/>
                              <a:ln w="19050">
                                <a:solidFill>
                                  <a:schemeClr val="tx1"/>
                                </a:solidFill>
                                <a:prstDash val="solid"/>
                              </a:ln>
                            </wps:spPr>
                            <wps:style>
                              <a:lnRef idx="2">
                                <a:schemeClr val="accent1">
                                  <a:lumMod val="75000"/>
                                </a:schemeClr>
                              </a:lnRef>
                              <a:fillRef idx="1">
                                <a:schemeClr val="accent1"/>
                              </a:fillRef>
                              <a:effectRef idx="0">
                                <a:srgbClr val="FFFFFF"/>
                              </a:effectRef>
                              <a:fontRef idx="minor">
                                <a:schemeClr val="lt1"/>
                              </a:fontRef>
                            </wps:style>
                            <wps:txbx>
                              <w:txbxContent>
                                <w:p w14:paraId="7A9F84FB">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eastAsiaTheme="minorEastAsia"/>
                                      <w:b/>
                                      <w:bCs/>
                                      <w:color w:val="FF0000"/>
                                      <w:sz w:val="24"/>
                                      <w:szCs w:val="32"/>
                                      <w:lang w:val="en-US" w:eastAsia="zh-CN"/>
                                    </w:rPr>
                                  </w:pPr>
                                  <w:r>
                                    <w:rPr>
                                      <w:rFonts w:hint="eastAsia"/>
                                      <w:b/>
                                      <w:bCs/>
                                      <w:color w:val="000000" w:themeColor="text1"/>
                                      <w:sz w:val="24"/>
                                      <w:szCs w:val="32"/>
                                      <w:lang w:val="en-US" w:eastAsia="zh-CN"/>
                                      <w14:textFill>
                                        <w14:solidFill>
                                          <w14:schemeClr w14:val="tx1"/>
                                        </w14:solidFill>
                                      </w14:textFill>
                                    </w:rPr>
                                    <w:t>本项目所在位置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366.65pt;margin-top:135.65pt;height:25.6pt;width:103.35pt;z-index:251667456;v-text-anchor:middle;mso-width-relative:page;mso-height-relative:page;" filled="f" stroked="t" coordsize="21600,21600" o:gfxdata="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OryN7zcAAAACwEAAA8AAAAAAAAAAQAgAAAAIgAAAGRycy9kb3ducmV2LnhtbFBL&#10;AQIUABQAAAAIAIdO4kCQwkPLnQIAACYFAAAOAAAAAAAAAAEAIAAAACsBAABkcnMvZTJvRG9jLnht&#10;bFBLBQYAAAAABgAGAFkBAAA6BgAAAAA=&#10;" adj="3300,47925">
                      <v:fill on="f" focussize="0,0"/>
                      <v:stroke weight="1.5pt" color="#000000 [3213]" joinstyle="round"/>
                      <v:imagedata o:title=""/>
                      <o:lock v:ext="edit" aspectratio="f"/>
                      <v:textbox>
                        <w:txbxContent>
                          <w:p w14:paraId="7A9F84FB">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eastAsiaTheme="minorEastAsia"/>
                                <w:b/>
                                <w:bCs/>
                                <w:color w:val="FF0000"/>
                                <w:sz w:val="24"/>
                                <w:szCs w:val="32"/>
                                <w:lang w:val="en-US" w:eastAsia="zh-CN"/>
                              </w:rPr>
                            </w:pPr>
                            <w:r>
                              <w:rPr>
                                <w:rFonts w:hint="eastAsia"/>
                                <w:b/>
                                <w:bCs/>
                                <w:color w:val="000000" w:themeColor="text1"/>
                                <w:sz w:val="24"/>
                                <w:szCs w:val="32"/>
                                <w:lang w:val="en-US" w:eastAsia="zh-CN"/>
                                <w14:textFill>
                                  <w14:solidFill>
                                    <w14:schemeClr w14:val="tx1"/>
                                  </w14:solidFill>
                                </w14:textFill>
                              </w:rPr>
                              <w:t>本项目所在位置</w:t>
                            </w:r>
                          </w:p>
                        </w:txbxContent>
                      </v:textbox>
                    </v:shape>
                  </w:pict>
                </mc:Fallback>
              </mc:AlternateContent>
            </w:r>
            <w:r>
              <w:rPr>
                <w:color w:val="auto"/>
              </w:rPr>
              <w:drawing>
                <wp:anchor distT="0" distB="0" distL="114300" distR="114300" simplePos="0" relativeHeight="251666432" behindDoc="0" locked="0" layoutInCell="1" allowOverlap="1">
                  <wp:simplePos x="0" y="0"/>
                  <wp:positionH relativeFrom="column">
                    <wp:posOffset>79375</wp:posOffset>
                  </wp:positionH>
                  <wp:positionV relativeFrom="paragraph">
                    <wp:posOffset>114300</wp:posOffset>
                  </wp:positionV>
                  <wp:extent cx="8297545" cy="3998595"/>
                  <wp:effectExtent l="0" t="0" r="8255" b="1905"/>
                  <wp:wrapTopAndBottom/>
                  <wp:docPr id="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5"/>
                          <pic:cNvPicPr>
                            <a:picLocks noChangeAspect="1"/>
                          </pic:cNvPicPr>
                        </pic:nvPicPr>
                        <pic:blipFill>
                          <a:blip r:embed="rId12"/>
                          <a:stretch>
                            <a:fillRect/>
                          </a:stretch>
                        </pic:blipFill>
                        <pic:spPr>
                          <a:xfrm>
                            <a:off x="0" y="0"/>
                            <a:ext cx="8297545" cy="3998595"/>
                          </a:xfrm>
                          <a:prstGeom prst="rect">
                            <a:avLst/>
                          </a:prstGeom>
                          <a:noFill/>
                          <a:ln>
                            <a:noFill/>
                          </a:ln>
                        </pic:spPr>
                      </pic:pic>
                    </a:graphicData>
                  </a:graphic>
                </wp:anchor>
              </w:drawing>
            </w:r>
            <w:r>
              <w:rPr>
                <w:rFonts w:eastAsiaTheme="minorEastAsia"/>
                <w:bCs/>
                <w:color w:val="auto"/>
                <w:szCs w:val="21"/>
              </w:rPr>
              <w:t>图1-</w:t>
            </w:r>
            <w:r>
              <w:rPr>
                <w:rFonts w:hint="eastAsia" w:eastAsiaTheme="minorEastAsia"/>
                <w:bCs/>
                <w:color w:val="auto"/>
                <w:szCs w:val="21"/>
                <w:lang w:val="en-US" w:eastAsia="zh-CN"/>
              </w:rPr>
              <w:t>1</w:t>
            </w:r>
            <w:r>
              <w:rPr>
                <w:rFonts w:eastAsiaTheme="minorEastAsia"/>
                <w:bCs/>
                <w:color w:val="auto"/>
                <w:szCs w:val="21"/>
              </w:rPr>
              <w:t xml:space="preserve"> </w:t>
            </w:r>
            <w:r>
              <w:rPr>
                <w:rFonts w:hint="eastAsia" w:eastAsiaTheme="minorEastAsia"/>
                <w:bCs/>
                <w:color w:val="auto"/>
                <w:szCs w:val="21"/>
              </w:rPr>
              <w:t xml:space="preserve"> </w:t>
            </w:r>
            <w:r>
              <w:rPr>
                <w:rFonts w:hint="eastAsia" w:eastAsiaTheme="minorEastAsia"/>
                <w:bCs/>
                <w:color w:val="auto"/>
                <w:szCs w:val="21"/>
                <w:lang w:eastAsia="zh-CN"/>
              </w:rPr>
              <w:t>本项目</w:t>
            </w:r>
            <w:r>
              <w:rPr>
                <w:rFonts w:eastAsiaTheme="minorEastAsia"/>
                <w:bCs/>
                <w:color w:val="auto"/>
                <w:szCs w:val="21"/>
              </w:rPr>
              <w:t>与安徽“三线一单”相对位置图</w:t>
            </w:r>
          </w:p>
          <w:p w14:paraId="06ED29A4">
            <w:pPr>
              <w:pStyle w:val="38"/>
              <w:spacing w:before="0" w:after="0" w:line="240" w:lineRule="auto"/>
              <w:ind w:right="0" w:firstLine="0" w:firstLineChars="0"/>
              <w:rPr>
                <w:rFonts w:hint="eastAsia" w:ascii="宋体" w:hAnsi="宋体" w:cs="宋体"/>
                <w:bCs/>
                <w:color w:val="auto"/>
                <w:szCs w:val="21"/>
                <w:lang w:bidi="ar"/>
              </w:rPr>
            </w:pPr>
          </w:p>
          <w:p w14:paraId="395C93E3">
            <w:pPr>
              <w:pStyle w:val="38"/>
              <w:spacing w:before="0" w:after="0" w:line="240" w:lineRule="auto"/>
              <w:ind w:right="0" w:firstLine="0" w:firstLineChars="0"/>
              <w:rPr>
                <w:rFonts w:hint="eastAsia" w:ascii="宋体" w:hAnsi="宋体" w:cs="宋体"/>
                <w:bCs/>
                <w:color w:val="auto"/>
                <w:szCs w:val="21"/>
                <w:lang w:bidi="ar"/>
              </w:rPr>
            </w:pPr>
            <w:r>
              <w:rPr>
                <w:rFonts w:hint="eastAsia" w:ascii="宋体" w:hAnsi="宋体" w:cs="宋体"/>
                <w:bCs/>
                <w:color w:val="auto"/>
                <w:szCs w:val="21"/>
                <w:lang w:bidi="ar"/>
              </w:rPr>
              <w:t>表</w:t>
            </w:r>
            <w:r>
              <w:rPr>
                <w:bCs/>
                <w:color w:val="auto"/>
                <w:szCs w:val="21"/>
                <w:lang w:bidi="ar"/>
              </w:rPr>
              <w:t>1-</w:t>
            </w:r>
            <w:r>
              <w:rPr>
                <w:rFonts w:hint="eastAsia"/>
                <w:bCs/>
                <w:color w:val="auto"/>
                <w:szCs w:val="21"/>
                <w:lang w:val="en-US" w:eastAsia="zh-CN" w:bidi="ar"/>
              </w:rPr>
              <w:t xml:space="preserve">6 </w:t>
            </w:r>
            <w:r>
              <w:rPr>
                <w:rFonts w:hint="eastAsia"/>
                <w:bCs/>
                <w:color w:val="auto"/>
                <w:szCs w:val="21"/>
                <w:lang w:bidi="ar"/>
              </w:rPr>
              <w:t xml:space="preserve"> </w:t>
            </w:r>
            <w:r>
              <w:rPr>
                <w:rFonts w:hint="eastAsia" w:ascii="宋体" w:hAnsi="宋体" w:cs="宋体"/>
                <w:bCs/>
                <w:color w:val="auto"/>
                <w:szCs w:val="21"/>
                <w:lang w:bidi="ar"/>
              </w:rPr>
              <w:t>项目所在地管控要求一览表</w:t>
            </w:r>
          </w:p>
          <w:tbl>
            <w:tblPr>
              <w:tblStyle w:val="86"/>
              <w:tblW w:w="1330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8"/>
              <w:gridCol w:w="698"/>
              <w:gridCol w:w="595"/>
              <w:gridCol w:w="8528"/>
              <w:gridCol w:w="1814"/>
              <w:gridCol w:w="685"/>
            </w:tblGrid>
            <w:tr w14:paraId="776C9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jc w:val="center"/>
              </w:trPr>
              <w:tc>
                <w:tcPr>
                  <w:tcW w:w="371" w:type="pct"/>
                  <w:vMerge w:val="restart"/>
                  <w:tcBorders>
                    <w:tl2br w:val="nil"/>
                    <w:tr2bl w:val="nil"/>
                  </w:tcBorders>
                  <w:noWrap w:val="0"/>
                  <w:vAlign w:val="center"/>
                </w:tcPr>
                <w:p w14:paraId="08F0863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环境管控单元编码</w:t>
                  </w:r>
                </w:p>
              </w:tc>
              <w:tc>
                <w:tcPr>
                  <w:tcW w:w="262" w:type="pct"/>
                  <w:vMerge w:val="restart"/>
                  <w:tcBorders>
                    <w:tl2br w:val="nil"/>
                    <w:tr2bl w:val="nil"/>
                  </w:tcBorders>
                  <w:noWrap w:val="0"/>
                  <w:vAlign w:val="center"/>
                </w:tcPr>
                <w:p w14:paraId="0FE5E80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环境管控单元分类</w:t>
                  </w:r>
                </w:p>
              </w:tc>
              <w:tc>
                <w:tcPr>
                  <w:tcW w:w="223" w:type="pct"/>
                  <w:vMerge w:val="restart"/>
                  <w:tcBorders>
                    <w:tl2br w:val="nil"/>
                    <w:tr2bl w:val="nil"/>
                  </w:tcBorders>
                  <w:noWrap w:val="0"/>
                  <w:vAlign w:val="center"/>
                </w:tcPr>
                <w:p w14:paraId="7DA9967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管控类别</w:t>
                  </w:r>
                </w:p>
              </w:tc>
              <w:tc>
                <w:tcPr>
                  <w:tcW w:w="3204" w:type="pct"/>
                  <w:vMerge w:val="restart"/>
                  <w:tcBorders>
                    <w:tl2br w:val="nil"/>
                    <w:tr2bl w:val="nil"/>
                  </w:tcBorders>
                  <w:noWrap w:val="0"/>
                  <w:vAlign w:val="center"/>
                </w:tcPr>
                <w:p w14:paraId="53B24F6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管控要求（节选）</w:t>
                  </w:r>
                </w:p>
              </w:tc>
              <w:tc>
                <w:tcPr>
                  <w:tcW w:w="681" w:type="pct"/>
                  <w:vMerge w:val="restart"/>
                  <w:tcBorders>
                    <w:tl2br w:val="nil"/>
                    <w:tr2bl w:val="nil"/>
                  </w:tcBorders>
                  <w:noWrap w:val="0"/>
                  <w:vAlign w:val="center"/>
                </w:tcPr>
                <w:p w14:paraId="364A1C2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本项目情况</w:t>
                  </w:r>
                </w:p>
              </w:tc>
              <w:tc>
                <w:tcPr>
                  <w:tcW w:w="257" w:type="pct"/>
                  <w:vMerge w:val="restart"/>
                  <w:tcBorders>
                    <w:tl2br w:val="nil"/>
                    <w:tr2bl w:val="nil"/>
                  </w:tcBorders>
                  <w:noWrap w:val="0"/>
                  <w:vAlign w:val="center"/>
                </w:tcPr>
                <w:p w14:paraId="3E2288E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符合性</w:t>
                  </w:r>
                </w:p>
              </w:tc>
            </w:tr>
            <w:tr w14:paraId="2D7AC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371" w:type="pct"/>
                  <w:vMerge w:val="continue"/>
                  <w:tcBorders>
                    <w:tl2br w:val="nil"/>
                    <w:tr2bl w:val="nil"/>
                  </w:tcBorders>
                  <w:noWrap w:val="0"/>
                  <w:vAlign w:val="center"/>
                </w:tcPr>
                <w:p w14:paraId="29F8310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c>
                <w:tcPr>
                  <w:tcW w:w="262" w:type="pct"/>
                  <w:vMerge w:val="continue"/>
                  <w:tcBorders>
                    <w:tl2br w:val="nil"/>
                    <w:tr2bl w:val="nil"/>
                  </w:tcBorders>
                  <w:noWrap w:val="0"/>
                  <w:vAlign w:val="center"/>
                </w:tcPr>
                <w:p w14:paraId="2EF594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c>
                <w:tcPr>
                  <w:tcW w:w="223" w:type="pct"/>
                  <w:vMerge w:val="continue"/>
                  <w:tcBorders>
                    <w:tl2br w:val="nil"/>
                    <w:tr2bl w:val="nil"/>
                  </w:tcBorders>
                  <w:noWrap w:val="0"/>
                  <w:vAlign w:val="center"/>
                </w:tcPr>
                <w:p w14:paraId="6D5FA64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c>
                <w:tcPr>
                  <w:tcW w:w="3204" w:type="pct"/>
                  <w:vMerge w:val="continue"/>
                  <w:tcBorders>
                    <w:tl2br w:val="nil"/>
                    <w:tr2bl w:val="nil"/>
                  </w:tcBorders>
                  <w:noWrap w:val="0"/>
                  <w:vAlign w:val="center"/>
                </w:tcPr>
                <w:p w14:paraId="05259E3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c>
                <w:tcPr>
                  <w:tcW w:w="681" w:type="pct"/>
                  <w:vMerge w:val="continue"/>
                  <w:tcBorders>
                    <w:tl2br w:val="nil"/>
                    <w:tr2bl w:val="nil"/>
                  </w:tcBorders>
                  <w:noWrap w:val="0"/>
                  <w:vAlign w:val="center"/>
                </w:tcPr>
                <w:p w14:paraId="768F89F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c>
                <w:tcPr>
                  <w:tcW w:w="257" w:type="pct"/>
                  <w:vMerge w:val="continue"/>
                  <w:tcBorders>
                    <w:tl2br w:val="nil"/>
                    <w:tr2bl w:val="nil"/>
                  </w:tcBorders>
                  <w:noWrap w:val="0"/>
                  <w:vAlign w:val="center"/>
                </w:tcPr>
                <w:p w14:paraId="4CE8954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r>
            <w:tr w14:paraId="6E0DE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371" w:type="pct"/>
                  <w:vMerge w:val="restart"/>
                  <w:tcBorders>
                    <w:tl2br w:val="nil"/>
                    <w:tr2bl w:val="nil"/>
                  </w:tcBorders>
                  <w:noWrap w:val="0"/>
                  <w:vAlign w:val="center"/>
                </w:tcPr>
                <w:p w14:paraId="1594AE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ZH34172320007</w:t>
                  </w:r>
                </w:p>
              </w:tc>
              <w:tc>
                <w:tcPr>
                  <w:tcW w:w="262" w:type="pct"/>
                  <w:vMerge w:val="restart"/>
                  <w:tcBorders>
                    <w:tl2br w:val="nil"/>
                    <w:tr2bl w:val="nil"/>
                  </w:tcBorders>
                  <w:noWrap w:val="0"/>
                  <w:vAlign w:val="center"/>
                </w:tcPr>
                <w:p w14:paraId="598252F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重点管控单元</w:t>
                  </w:r>
                </w:p>
              </w:tc>
              <w:tc>
                <w:tcPr>
                  <w:tcW w:w="223" w:type="pct"/>
                  <w:tcBorders>
                    <w:tl2br w:val="nil"/>
                    <w:tr2bl w:val="nil"/>
                  </w:tcBorders>
                  <w:noWrap w:val="0"/>
                  <w:vAlign w:val="center"/>
                </w:tcPr>
                <w:p w14:paraId="622CDA9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空间布局约束</w:t>
                  </w:r>
                </w:p>
              </w:tc>
              <w:tc>
                <w:tcPr>
                  <w:tcW w:w="3204" w:type="pct"/>
                  <w:tcBorders>
                    <w:tl2br w:val="nil"/>
                    <w:tr2bl w:val="nil"/>
                  </w:tcBorders>
                  <w:noWrap w:val="0"/>
                  <w:vAlign w:val="center"/>
                </w:tcPr>
                <w:p w14:paraId="3A6D5F89">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1.严格城市规划蓝线管理，城市规划区范围内应保留一定比例的水域面积，现有水域面积不得减少。新建项目一律不得违规占用水域。</w:t>
                  </w:r>
                </w:p>
                <w:p w14:paraId="67B3BA0F">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3.坚持以水定城、以水定地、以水定人、以水定产，严格控制缺水地区、水污染严重地区和敏感区域高耗水、高污染行业发展，鼓励推动高耗水企业向水资源条件允许的工业园区集中。</w:t>
                  </w:r>
                </w:p>
                <w:p w14:paraId="2D11F471">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4.引导石化、化工、钢铁、建材、有色金属等重点行业合理布局，提高化工、有色金属、农副食品加工、印染、制革、原料药制造、电镀等行业集聚水平。</w:t>
                  </w:r>
                </w:p>
                <w:p w14:paraId="05C83651">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8.推动污染企业退出。城市建成区内现有钢铁、有色金属、造纸、印染、原料药制造、化工等污染较重的企业应有序搬迁改造或依法关闭。</w:t>
                  </w:r>
                </w:p>
                <w:p w14:paraId="09221A3F">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9.严格水域岸线用途管制，土地开发利用应按照有关法律法规和技术标准要求，留足河道、湖泊的管理和保护范围，非法挤占的应限期退出。</w:t>
                  </w:r>
                </w:p>
                <w:p w14:paraId="2C2624E7">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10.国家禁止新建不符合国家产业政策的小型造纸、制革、印染、染料、炼焦、炼硫、炼砷、炼汞、炼油、电镀、农药、石棉、水泥、玻璃、钢铁、火电以及其他严重污染水环境的生产项目。</w:t>
                  </w:r>
                </w:p>
                <w:p w14:paraId="5F325823">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1.在城市城区及其近郊禁止新建、扩建钢铁、有色、石化、水泥、化工等重污染企业。</w:t>
                  </w:r>
                </w:p>
                <w:p w14:paraId="4D99BFE6">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2.禁止新建燃料类煤气发生炉（园区现有企业统一建设的清洁煤制气中心除外）。</w:t>
                  </w:r>
                </w:p>
                <w:p w14:paraId="1110163C">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3.严禁新增钢铁、焦化、电解铝、铸造、水泥和平板玻璃等产能；严格执行钢铁、水泥、平板玻璃等行业产能置换实施办法。</w:t>
                  </w:r>
                </w:p>
                <w:p w14:paraId="766BF18B">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4.严格执行国家关于“两高”产业准入目录和产能总量控制政策措施。严禁新增钢铁、焦化、电解铝、铸造、水泥和平板玻璃等产能；新、改、扩建涉及大宗物料运输的建设项目，原则上不得采用公路运输。</w:t>
                  </w:r>
                </w:p>
                <w:p w14:paraId="0A8B60C2">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10禁止建设生产和使用高挥发性有机物含量涂料、油墨、胶粘剂、清洗剂等项目。</w:t>
                  </w:r>
                </w:p>
                <w:p w14:paraId="513DF459">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13在城市规划区内禁止新建、扩建大气污染严重的建设项目。</w:t>
                  </w:r>
                </w:p>
                <w:p w14:paraId="04432D6A">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28重点区域钢铁、水泥、焦化、石化、化工、有色等行业，二氧化硫、氮氧化物、颗粒物、挥发性有机物（VOCs）排放全面执行大气污染物特别排放限值。</w:t>
                  </w:r>
                </w:p>
                <w:p w14:paraId="1756509E">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29加大工业涂装、包装印刷等行业低挥发性有机物含量原辅材料替代力度，严格执行涂料、油墨、胶粘剂、清洗剂挥发性有机物含量限值标准，确保生产、销售、进口、使用符合标准的产品。</w:t>
                  </w:r>
                </w:p>
                <w:p w14:paraId="5FAC0A69">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 xml:space="preserve">41对以煤、石油焦、渣油、重油等为燃料的工业炉窑，加快使用清洁低碳能源以及利用工厂余热、电厂热力等进行替代。重点区域禁止掺烧高硫石 油焦（硫含量大于3%）。玻璃行业全面禁止掺烧高硫石油焦。 </w:t>
                  </w:r>
                </w:p>
                <w:p w14:paraId="1F89353A">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42重点区域取缔燃煤热风炉，基本淘汰热电联产供热管网覆盖范围内的燃煤加热、烘干炉（窑）。加快推动铸造（10吨/小时及以下）、岩棉等行业冲天炉改为电炉。</w:t>
                  </w:r>
                </w:p>
                <w:p w14:paraId="6420891D">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45企业应当全面推进清洁生产，优先采用能源和原材料利用效率高、污染物排放量少的清洁生产技术、工艺和设备，淘汰严重污染大气环境质量的产品、落后工艺和落后设备，减少大气污染物的产生和排放。</w:t>
                  </w:r>
                </w:p>
              </w:tc>
              <w:tc>
                <w:tcPr>
                  <w:tcW w:w="681" w:type="pct"/>
                  <w:tcBorders>
                    <w:tl2br w:val="nil"/>
                    <w:tr2bl w:val="nil"/>
                  </w:tcBorders>
                  <w:noWrap w:val="0"/>
                  <w:vAlign w:val="center"/>
                </w:tcPr>
                <w:p w14:paraId="614E8563">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eastAsia" w:ascii="Times New Roman" w:hAnsi="Times New Roman" w:cs="Times New Roman"/>
                      <w:color w:val="auto"/>
                      <w:lang w:val="en-US" w:eastAsia="zh-CN"/>
                    </w:rPr>
                  </w:pPr>
                  <w:r>
                    <w:rPr>
                      <w:rFonts w:hint="default" w:ascii="Times New Roman" w:hAnsi="Times New Roman" w:cs="Times New Roman"/>
                      <w:color w:val="auto"/>
                    </w:rPr>
                    <w:t>本项目属于通用设备制造业 34 金属加工机械制造，</w:t>
                  </w:r>
                  <w:r>
                    <w:rPr>
                      <w:rFonts w:hint="eastAsia" w:ascii="Times New Roman" w:hAnsi="Times New Roman" w:cs="Times New Roman"/>
                      <w:color w:val="auto"/>
                      <w:lang w:val="en-US" w:eastAsia="zh-CN"/>
                    </w:rPr>
                    <w:t>不属于石化、化工、钢铁、建材、有色金属行业；</w:t>
                  </w:r>
                </w:p>
                <w:p w14:paraId="4B21C14B">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eastAsia" w:ascii="Times New Roman" w:hAnsi="Times New Roman" w:cs="Times New Roman"/>
                      <w:color w:val="auto"/>
                      <w:lang w:eastAsia="zh-CN"/>
                    </w:rPr>
                  </w:pPr>
                  <w:r>
                    <w:rPr>
                      <w:rFonts w:hint="eastAsia" w:ascii="Times New Roman" w:hAnsi="Times New Roman" w:cs="Times New Roman"/>
                      <w:color w:val="auto"/>
                      <w:lang w:val="en-US" w:eastAsia="zh-CN"/>
                    </w:rPr>
                    <w:t>项目</w:t>
                  </w:r>
                  <w:r>
                    <w:rPr>
                      <w:rFonts w:hint="default" w:ascii="Times New Roman" w:hAnsi="Times New Roman" w:cs="Times New Roman"/>
                      <w:color w:val="auto"/>
                    </w:rPr>
                    <w:t>位于安徽青阳经济开发区东河园，</w:t>
                  </w:r>
                  <w:r>
                    <w:rPr>
                      <w:rFonts w:hint="eastAsia" w:ascii="Times New Roman" w:hAnsi="Times New Roman" w:cs="Times New Roman"/>
                      <w:color w:val="auto"/>
                      <w:lang w:val="en-US" w:eastAsia="zh-CN"/>
                    </w:rPr>
                    <w:t>属于</w:t>
                  </w:r>
                  <w:r>
                    <w:rPr>
                      <w:rFonts w:hint="default" w:ascii="Times New Roman" w:hAnsi="Times New Roman" w:cs="Times New Roman"/>
                      <w:color w:val="auto"/>
                    </w:rPr>
                    <w:t>青阳经济开发区</w:t>
                  </w:r>
                  <w:r>
                    <w:rPr>
                      <w:rFonts w:hint="eastAsia" w:ascii="Times New Roman" w:hAnsi="Times New Roman" w:cs="Times New Roman"/>
                      <w:color w:val="auto"/>
                      <w:lang w:val="en-US" w:eastAsia="zh-CN"/>
                    </w:rPr>
                    <w:t>规划范围，</w:t>
                  </w:r>
                  <w:r>
                    <w:rPr>
                      <w:rFonts w:hint="default" w:ascii="Times New Roman" w:hAnsi="Times New Roman" w:cs="Times New Roman"/>
                      <w:color w:val="auto"/>
                    </w:rPr>
                    <w:t>建设用地为工业用地</w:t>
                  </w:r>
                  <w:r>
                    <w:rPr>
                      <w:rFonts w:hint="eastAsia" w:ascii="Times New Roman" w:hAnsi="Times New Roman" w:cs="Times New Roman"/>
                      <w:color w:val="auto"/>
                      <w:lang w:eastAsia="zh-CN"/>
                    </w:rPr>
                    <w:t>；</w:t>
                  </w:r>
                </w:p>
                <w:p w14:paraId="2FFE1670">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本项目使用的涂料为水性涂料，根据其VOC检测报告，本项目使用的水性丙烯酸面漆中挥发性有机物含量为31g/L，符合《低挥发性有机化合物含量涂料产品技术要求》（GB/T38597-2020）表1水性涂料中VOC含量的要求。</w:t>
                  </w:r>
                </w:p>
                <w:p w14:paraId="2AFAE7EC">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lang w:val="en-US" w:eastAsia="zh-CN"/>
                    </w:rPr>
                  </w:pPr>
                  <w:r>
                    <w:rPr>
                      <w:rFonts w:hint="default" w:ascii="Times New Roman" w:hAnsi="Times New Roman" w:cs="Times New Roman"/>
                      <w:color w:val="auto"/>
                    </w:rPr>
                    <w:t>本项目</w:t>
                  </w:r>
                  <w:r>
                    <w:rPr>
                      <w:rFonts w:hint="eastAsia" w:ascii="Times New Roman" w:hAnsi="Times New Roman" w:cs="Times New Roman"/>
                      <w:color w:val="auto"/>
                      <w:lang w:eastAsia="zh-CN"/>
                    </w:rPr>
                    <w:t>水性丙烯酸面漆喷漆</w:t>
                  </w:r>
                  <w:r>
                    <w:rPr>
                      <w:rFonts w:hint="default" w:ascii="Times New Roman" w:hAnsi="Times New Roman" w:cs="Times New Roman"/>
                      <w:color w:val="auto"/>
                    </w:rPr>
                    <w:t>产生的颗粒物（漆雾）和有机废气粉尘先经干式漆雾过滤器处理再经两级活性炭吸附装置处理后</w:t>
                  </w:r>
                  <w:r>
                    <w:rPr>
                      <w:rFonts w:hint="eastAsia" w:ascii="Times New Roman" w:hAnsi="Times New Roman" w:cs="Times New Roman"/>
                      <w:color w:val="auto"/>
                      <w:lang w:val="en-US" w:eastAsia="zh-CN"/>
                    </w:rPr>
                    <w:t>达标</w:t>
                  </w:r>
                  <w:r>
                    <w:rPr>
                      <w:rFonts w:hint="default" w:ascii="Times New Roman" w:hAnsi="Times New Roman" w:cs="Times New Roman"/>
                      <w:color w:val="auto"/>
                    </w:rPr>
                    <w:t>排放</w:t>
                  </w:r>
                  <w:r>
                    <w:rPr>
                      <w:rFonts w:hint="eastAsia" w:ascii="Times New Roman" w:hAnsi="Times New Roman" w:cs="Times New Roman"/>
                      <w:color w:val="auto"/>
                      <w:lang w:eastAsia="zh-CN"/>
                    </w:rPr>
                    <w:t>；</w:t>
                  </w:r>
                  <w:r>
                    <w:rPr>
                      <w:rFonts w:hint="default" w:ascii="Times New Roman" w:hAnsi="Times New Roman" w:cs="Times New Roman"/>
                      <w:color w:val="auto"/>
                    </w:rPr>
                    <w:t>晾干产生的有机废气经</w:t>
                  </w:r>
                  <w:r>
                    <w:rPr>
                      <w:rFonts w:hint="eastAsia" w:ascii="Times New Roman" w:hAnsi="Times New Roman" w:cs="Times New Roman"/>
                      <w:color w:val="auto"/>
                      <w:lang w:eastAsia="zh-CN"/>
                    </w:rPr>
                    <w:t>晾干房</w:t>
                  </w:r>
                  <w:r>
                    <w:rPr>
                      <w:rFonts w:hint="default" w:ascii="Times New Roman" w:hAnsi="Times New Roman" w:cs="Times New Roman"/>
                      <w:color w:val="auto"/>
                    </w:rPr>
                    <w:t>密闭负压收集</w:t>
                  </w:r>
                  <w:r>
                    <w:rPr>
                      <w:rFonts w:hint="eastAsia" w:ascii="Times New Roman" w:hAnsi="Times New Roman" w:cs="Times New Roman"/>
                      <w:color w:val="auto"/>
                      <w:lang w:eastAsia="zh-CN"/>
                    </w:rPr>
                    <w:t>与喷漆废气合并进入</w:t>
                  </w:r>
                  <w:r>
                    <w:rPr>
                      <w:rFonts w:hint="default" w:ascii="Times New Roman" w:hAnsi="Times New Roman" w:cs="Times New Roman"/>
                      <w:color w:val="auto"/>
                    </w:rPr>
                    <w:t>两级活性炭吸附装置处理后</w:t>
                  </w:r>
                  <w:r>
                    <w:rPr>
                      <w:rFonts w:hint="eastAsia" w:ascii="Times New Roman" w:hAnsi="Times New Roman" w:cs="Times New Roman"/>
                      <w:color w:val="auto"/>
                      <w:lang w:val="en-US" w:eastAsia="zh-CN"/>
                    </w:rPr>
                    <w:t>达标</w:t>
                  </w:r>
                  <w:r>
                    <w:rPr>
                      <w:rFonts w:hint="default" w:ascii="Times New Roman" w:hAnsi="Times New Roman" w:cs="Times New Roman"/>
                      <w:color w:val="auto"/>
                    </w:rPr>
                    <w:t>排放。</w:t>
                  </w:r>
                </w:p>
              </w:tc>
              <w:tc>
                <w:tcPr>
                  <w:tcW w:w="257" w:type="pct"/>
                  <w:tcBorders>
                    <w:tl2br w:val="nil"/>
                    <w:tr2bl w:val="nil"/>
                  </w:tcBorders>
                  <w:noWrap w:val="0"/>
                  <w:vAlign w:val="center"/>
                </w:tcPr>
                <w:p w14:paraId="0EB14F9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符合</w:t>
                  </w:r>
                </w:p>
              </w:tc>
            </w:tr>
            <w:tr w14:paraId="0C6A1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3" w:hRule="atLeast"/>
                <w:jc w:val="center"/>
              </w:trPr>
              <w:tc>
                <w:tcPr>
                  <w:tcW w:w="371" w:type="pct"/>
                  <w:vMerge w:val="continue"/>
                  <w:tcBorders>
                    <w:tl2br w:val="nil"/>
                    <w:tr2bl w:val="nil"/>
                  </w:tcBorders>
                  <w:noWrap w:val="0"/>
                  <w:vAlign w:val="center"/>
                </w:tcPr>
                <w:p w14:paraId="3F24C8B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c>
                <w:tcPr>
                  <w:tcW w:w="262" w:type="pct"/>
                  <w:vMerge w:val="continue"/>
                  <w:tcBorders>
                    <w:tl2br w:val="nil"/>
                    <w:tr2bl w:val="nil"/>
                  </w:tcBorders>
                  <w:noWrap w:val="0"/>
                  <w:vAlign w:val="center"/>
                </w:tcPr>
                <w:p w14:paraId="0131FC2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c>
                <w:tcPr>
                  <w:tcW w:w="223" w:type="pct"/>
                  <w:tcBorders>
                    <w:tl2br w:val="nil"/>
                    <w:tr2bl w:val="nil"/>
                  </w:tcBorders>
                  <w:noWrap w:val="0"/>
                  <w:vAlign w:val="center"/>
                </w:tcPr>
                <w:p w14:paraId="3E30DBB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污染物排放管控</w:t>
                  </w:r>
                </w:p>
              </w:tc>
              <w:tc>
                <w:tcPr>
                  <w:tcW w:w="3204" w:type="pct"/>
                  <w:tcBorders>
                    <w:tl2br w:val="nil"/>
                    <w:tr2bl w:val="nil"/>
                  </w:tcBorders>
                  <w:noWrap w:val="0"/>
                  <w:vAlign w:val="center"/>
                </w:tcPr>
                <w:p w14:paraId="18D7D5D5">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企业事业单位和其他生产经营者超过污染物排放标准或者超过重点污染物排放总量控制指标排放污染物的，县级以上人民政府环境保护主管部门可以责令其采取限制生产、停产整治等措施；情节严重的，报经有批准权的人民政府批准，责令停业、关闭。</w:t>
                  </w:r>
                </w:p>
                <w:p w14:paraId="79F75B41">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5实施技术、工艺、设备等生态化、循环化改造，加快布局分散的企业向园区集中，按要求设置生态隔离带，建设相应的防护工程。</w:t>
                  </w:r>
                </w:p>
                <w:p w14:paraId="3DCED9D1">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6所有排污单位必须依法实现全面达标排放。逐一排查工业企业排污情况，达标企业应采取措施确保稳定达标；对超标和超总量的企业予以“黄牌”警示，一律限制生产或停产整治；对整治仍不能达到要求且情节严重的企业予以“红牌”处罚，一律停业、关闭。</w:t>
                  </w:r>
                </w:p>
                <w:p w14:paraId="2E8659EA">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7开展经济技术开发区、高新技术产业开发区、出口加工区等工业集聚区水污染治理设施排查和污染治理，全面推行工业集聚区企业废水量、水污染物纳管总量双控制度。集聚区内工业废水必须经预处理达到集中处理要求，方可进入污水集中处理设施。</w:t>
                  </w:r>
                </w:p>
                <w:p w14:paraId="07B00209">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4新建、改建、扩建排放重点大气污染物的项目不符合总量控制要求的，不得通过环境影响评价。</w:t>
                  </w:r>
                </w:p>
                <w:p w14:paraId="776FEE85">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6对以煤、石油焦、渣油、重油等为燃料的工业炉窑，加快使用清洁低碳能源以及利用工厂余热、电厂热力等进行替代。</w:t>
                  </w:r>
                </w:p>
                <w:p w14:paraId="5D2C938A">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9全面推动挥发性有机物纳入排污许可管理。禁止建设生产和使用高挥发性有机物含量涂料、油墨、胶粘剂、清洗剂等项目。加快推进石化、化工、涂装、医药、包装印刷和油品储运销等重点行业挥发性有机物深度治理，全面提升废气收集率、治理设施同步运行率和去除率，提高水性、高固体分、无溶剂、粉末、辐射固化等低挥发性有机物含量产品的比重。加大工业涂装、包装印刷等行业低挥发性有机物含量原辅材料替代力度，严格执行涂料、油墨、胶粘剂、清洗剂挥发性有机物含量限值标准，确保生产、销售、进口、使用符合标准的产品。到2025年，溶剂型工业涂料、油墨使用比例分别降低20个、10个百分点。溶剂型胶粘剂使用量降低20%。</w:t>
                  </w:r>
                </w:p>
                <w:p w14:paraId="0EADDC3D">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10实行重点排放源排放浓度与去除效率双重控制。车间或生产设施收集排放的废气，VOCs初始排放速率大于等于2千克/小时的，应加大控制力度，除确保排放浓度稳定达标外，还应实行去除效率控制，去除效率不低于80%；采用的原辅材料符合国家有关低VOCs含量产品规定的除外，有行业排放标准的按其相关规定执行。</w:t>
                  </w:r>
                </w:p>
                <w:p w14:paraId="2B3D79CD">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11使用粉末、水性、高固体分、辐射固化等低VOCs含量的涂料替代溶剂型涂料。汽车制造底漆大力推广使用水性涂料，乘用车中涂、色漆大力推广使用高固体分或水性涂料，加快客车、货车等中涂、色漆改造。钢制集装箱制造在箱内、箱外、木地板涂装等工序大力推广使用水性涂料，在确保防腐蚀功能的前提下，加快推进特种集装箱采用水性涂料。木质家具制造大力推广使用水性、辐射固化、粉末等涂料和水性胶粘剂；金属家具制造大力推广使用粉末涂料；软体家具制造大力推广使用水性胶粘剂。工程机械制造大力推广使用水性、粉末和高固体分涂料。电子产品制造推广使用粉末、水性、辐射固化等涂料。</w:t>
                  </w:r>
                </w:p>
              </w:tc>
              <w:tc>
                <w:tcPr>
                  <w:tcW w:w="681" w:type="pct"/>
                  <w:tcBorders>
                    <w:tl2br w:val="nil"/>
                    <w:tr2bl w:val="nil"/>
                  </w:tcBorders>
                  <w:noWrap w:val="0"/>
                  <w:vAlign w:val="center"/>
                </w:tcPr>
                <w:p w14:paraId="14DEC8E0">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eastAsia" w:ascii="Times New Roman" w:hAnsi="Times New Roman" w:cs="Times New Roman"/>
                      <w:color w:val="auto"/>
                      <w:lang w:val="en-US" w:eastAsia="zh-CN"/>
                    </w:rPr>
                  </w:pPr>
                  <w:r>
                    <w:rPr>
                      <w:rFonts w:hint="default" w:ascii="Times New Roman" w:hAnsi="Times New Roman" w:cs="Times New Roman"/>
                      <w:color w:val="auto"/>
                    </w:rPr>
                    <w:t>本项目运营期主要为空压系统冷凝水和生活污水，生活污水经化粪池预处理后与空压系统冷凝水经厂区污水总排口排入市政污水管网排入青阳县污水处理厂深度处理，尾水最终排入青通河</w:t>
                  </w:r>
                  <w:r>
                    <w:rPr>
                      <w:rFonts w:hint="eastAsia" w:ascii="Times New Roman" w:hAnsi="Times New Roman" w:cs="Times New Roman"/>
                      <w:color w:val="auto"/>
                      <w:lang w:val="en-US" w:eastAsia="zh-CN"/>
                    </w:rPr>
                    <w:t>。</w:t>
                  </w:r>
                </w:p>
                <w:p w14:paraId="3CD05670">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rPr>
                    <w:t>本项目使用的涂料为水性涂料，根据其VOC检测报告，本项目使用的水性丙烯酸面漆中挥发性有机物含量为31g/L，符合《低挥发性有机化合物含量涂料产品技术要求》（GB/T38597-2020）表1水性涂料中VOC含量的要求。</w:t>
                  </w:r>
                </w:p>
              </w:tc>
              <w:tc>
                <w:tcPr>
                  <w:tcW w:w="257" w:type="pct"/>
                  <w:tcBorders>
                    <w:tl2br w:val="nil"/>
                    <w:tr2bl w:val="nil"/>
                  </w:tcBorders>
                  <w:noWrap w:val="0"/>
                  <w:vAlign w:val="center"/>
                </w:tcPr>
                <w:p w14:paraId="6DA45A6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符合</w:t>
                  </w:r>
                </w:p>
              </w:tc>
            </w:tr>
            <w:tr w14:paraId="6D23F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5" w:hRule="atLeast"/>
                <w:jc w:val="center"/>
              </w:trPr>
              <w:tc>
                <w:tcPr>
                  <w:tcW w:w="371" w:type="pct"/>
                  <w:vMerge w:val="continue"/>
                  <w:tcBorders>
                    <w:tl2br w:val="nil"/>
                    <w:tr2bl w:val="nil"/>
                  </w:tcBorders>
                  <w:noWrap w:val="0"/>
                  <w:vAlign w:val="center"/>
                </w:tcPr>
                <w:p w14:paraId="5AB0D1C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c>
                <w:tcPr>
                  <w:tcW w:w="262" w:type="pct"/>
                  <w:vMerge w:val="continue"/>
                  <w:tcBorders>
                    <w:tl2br w:val="nil"/>
                    <w:tr2bl w:val="nil"/>
                  </w:tcBorders>
                  <w:noWrap w:val="0"/>
                  <w:vAlign w:val="center"/>
                </w:tcPr>
                <w:p w14:paraId="736AE3D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c>
                <w:tcPr>
                  <w:tcW w:w="223" w:type="pct"/>
                  <w:tcBorders>
                    <w:tl2br w:val="nil"/>
                    <w:tr2bl w:val="nil"/>
                  </w:tcBorders>
                  <w:noWrap w:val="0"/>
                  <w:vAlign w:val="center"/>
                </w:tcPr>
                <w:p w14:paraId="281D0D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资源开发效率要求</w:t>
                  </w:r>
                </w:p>
              </w:tc>
              <w:tc>
                <w:tcPr>
                  <w:tcW w:w="3204" w:type="pct"/>
                  <w:tcBorders>
                    <w:tl2br w:val="nil"/>
                    <w:tr2bl w:val="nil"/>
                  </w:tcBorders>
                  <w:noWrap w:val="0"/>
                  <w:vAlign w:val="center"/>
                </w:tcPr>
                <w:p w14:paraId="305F05EE">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坚持集中式与分布式建设并举，因地制宜建设集中式光伏发电项目，推动整县（市、区）屋顶分布式光伏发电试点工作。坚持集中式和分散式相结合，有序推进皖北平原连片风电项目建设，稳妥推进皖西南地区集中式风电项目建设，鼓励分散式风电商业模式创新。大力推进风光储一体化建设。加快建设一批抽水蓄能电站，打造千万千瓦级绿色储能基地。多元高效利用生物质能，推进农林生物质热电联产项目新建和供热改造，合理规划城镇生活垃圾焚烧发电项目，统筹布局生物燃料乙醇项目，适度发展先进生物质液体燃料。到2025年，非化石能源占能源消费总量比重达到15.5%以上。</w:t>
                  </w:r>
                </w:p>
                <w:p w14:paraId="4AE6BBCD">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2推动煤电行业实施节能降耗改造、供热改造和灵活性改造“三改联动”。加快供热管网建设，淘汰管网覆盖范围内的燃煤锅炉和散煤。到2025年，火电平均供电煤耗降至295克标煤/千瓦时，散煤基本清零。</w:t>
                  </w:r>
                </w:p>
                <w:p w14:paraId="28C5D889">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3实施“煤改气”和“以电代煤”。在陶瓷、玻璃、铸造等行业积极推进天然气替代煤气化工程，有序实施燃煤设施煤改气。结合区域和行业用能特点，积极推进工业生产、建筑供暖供冷、交通运输、农业生产、居民生活五大领域实施“以电代煤”，着力提高电能占终端能源消费比重。</w:t>
                  </w:r>
                </w:p>
                <w:p w14:paraId="6906D798">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2在禁燃区内的企业事业单位和其他生产经营者，应当在规定的期限内停止使用高污染燃料，改用天然气、液化石油气、电能或者其他清洁能源。</w:t>
                  </w:r>
                </w:p>
              </w:tc>
              <w:tc>
                <w:tcPr>
                  <w:tcW w:w="681" w:type="pct"/>
                  <w:tcBorders>
                    <w:tl2br w:val="nil"/>
                    <w:tr2bl w:val="nil"/>
                  </w:tcBorders>
                  <w:noWrap w:val="0"/>
                  <w:vAlign w:val="center"/>
                </w:tcPr>
                <w:p w14:paraId="34D113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rPr>
                    <w:t>本项目</w:t>
                  </w:r>
                  <w:r>
                    <w:rPr>
                      <w:rFonts w:hint="eastAsia" w:ascii="Times New Roman" w:hAnsi="Times New Roman" w:cs="Times New Roman"/>
                      <w:color w:val="auto"/>
                      <w:lang w:val="en-US" w:eastAsia="zh-CN"/>
                    </w:rPr>
                    <w:t>不涉及天然气。液化石油气的使用</w:t>
                  </w:r>
                  <w:r>
                    <w:rPr>
                      <w:rFonts w:hint="default" w:ascii="Times New Roman" w:hAnsi="Times New Roman" w:cs="Times New Roman"/>
                      <w:color w:val="auto"/>
                      <w:lang w:eastAsia="zh-CN"/>
                    </w:rPr>
                    <w:t>。</w:t>
                  </w:r>
                </w:p>
              </w:tc>
              <w:tc>
                <w:tcPr>
                  <w:tcW w:w="257" w:type="pct"/>
                  <w:tcBorders>
                    <w:tl2br w:val="nil"/>
                    <w:tr2bl w:val="nil"/>
                  </w:tcBorders>
                  <w:noWrap w:val="0"/>
                  <w:vAlign w:val="center"/>
                </w:tcPr>
                <w:p w14:paraId="08BF9D1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符合</w:t>
                  </w:r>
                </w:p>
              </w:tc>
            </w:tr>
          </w:tbl>
          <w:p w14:paraId="6369CDF8">
            <w:pPr>
              <w:bidi w:val="0"/>
              <w:rPr>
                <w:rFonts w:hint="eastAsia" w:eastAsiaTheme="minorEastAsia"/>
                <w:color w:val="auto"/>
                <w:kern w:val="0"/>
                <w:sz w:val="24"/>
                <w:szCs w:val="24"/>
                <w:lang w:val="en-US" w:eastAsia="zh-CN"/>
              </w:rPr>
            </w:pPr>
            <w:r>
              <w:rPr>
                <w:rFonts w:eastAsiaTheme="minorEastAsia"/>
                <w:color w:val="auto"/>
                <w:kern w:val="0"/>
                <w:sz w:val="24"/>
                <w:szCs w:val="24"/>
              </w:rPr>
              <w:t>综上，</w:t>
            </w:r>
            <w:r>
              <w:rPr>
                <w:rFonts w:hint="eastAsia" w:eastAsiaTheme="minorEastAsia"/>
                <w:color w:val="auto"/>
                <w:kern w:val="0"/>
                <w:sz w:val="24"/>
                <w:szCs w:val="24"/>
                <w:lang w:eastAsia="zh-CN"/>
              </w:rPr>
              <w:t>本项目</w:t>
            </w:r>
            <w:r>
              <w:rPr>
                <w:rFonts w:eastAsiaTheme="minorEastAsia"/>
                <w:color w:val="auto"/>
                <w:kern w:val="0"/>
                <w:sz w:val="24"/>
                <w:szCs w:val="24"/>
              </w:rPr>
              <w:t>建设不会触及生态红线，满足自然资源利用上线，因此</w:t>
            </w:r>
            <w:r>
              <w:rPr>
                <w:rFonts w:hint="eastAsia" w:eastAsiaTheme="minorEastAsia"/>
                <w:color w:val="auto"/>
                <w:kern w:val="0"/>
                <w:sz w:val="24"/>
                <w:szCs w:val="24"/>
                <w:lang w:eastAsia="zh-CN"/>
              </w:rPr>
              <w:t>本项目</w:t>
            </w:r>
            <w:r>
              <w:rPr>
                <w:rFonts w:eastAsiaTheme="minorEastAsia"/>
                <w:color w:val="auto"/>
                <w:kern w:val="0"/>
                <w:sz w:val="24"/>
                <w:szCs w:val="24"/>
              </w:rPr>
              <w:t>的建设符合“三线一单”的要求。</w:t>
            </w:r>
          </w:p>
        </w:tc>
      </w:tr>
    </w:tbl>
    <w:p w14:paraId="3D69F94E">
      <w:pPr>
        <w:pStyle w:val="42"/>
        <w:rPr>
          <w:rFonts w:hint="eastAsia"/>
          <w:color w:val="auto"/>
          <w:lang w:val="en-US" w:eastAsia="zh-CN"/>
        </w:rPr>
        <w:sectPr>
          <w:pgSz w:w="16838" w:h="11905" w:orient="landscape"/>
          <w:pgMar w:top="1531" w:right="1701" w:bottom="1531" w:left="1701" w:header="1134" w:footer="1020" w:gutter="0"/>
          <w:pgBorders>
            <w:top w:val="none" w:sz="0" w:space="0"/>
            <w:left w:val="none" w:sz="0" w:space="0"/>
            <w:bottom w:val="none" w:sz="0" w:space="0"/>
            <w:right w:val="none" w:sz="0" w:space="0"/>
          </w:pgBorders>
          <w:pgNumType w:fmt="decimal"/>
          <w:cols w:space="720" w:num="1"/>
          <w:rtlGutter w:val="0"/>
          <w:docGrid w:linePitch="312" w:charSpace="0"/>
        </w:sectPr>
      </w:pPr>
    </w:p>
    <w:tbl>
      <w:tblPr>
        <w:tblStyle w:val="32"/>
        <w:tblW w:w="95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99"/>
        <w:gridCol w:w="8303"/>
      </w:tblGrid>
      <w:tr w14:paraId="13D00B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944" w:hRule="atLeast"/>
          <w:jc w:val="center"/>
        </w:trPr>
        <w:tc>
          <w:tcPr>
            <w:tcW w:w="1199" w:type="dxa"/>
            <w:tcBorders>
              <w:tl2br w:val="nil"/>
              <w:tr2bl w:val="nil"/>
            </w:tcBorders>
            <w:vAlign w:val="center"/>
          </w:tcPr>
          <w:p w14:paraId="304F4263">
            <w:pPr>
              <w:pStyle w:val="11"/>
              <w:keepNext w:val="0"/>
              <w:keepLines w:val="0"/>
              <w:pageBreakBefore w:val="0"/>
              <w:widowControl w:val="0"/>
              <w:kinsoku/>
              <w:wordWrap/>
              <w:overflowPunct/>
              <w:topLinePunct w:val="0"/>
              <w:bidi w:val="0"/>
              <w:adjustRightInd w:val="0"/>
              <w:snapToGrid w:val="0"/>
              <w:spacing w:line="240" w:lineRule="auto"/>
              <w:ind w:left="0" w:leftChars="0" w:right="113" w:rightChars="0" w:firstLine="0" w:firstLineChars="0"/>
              <w:jc w:val="center"/>
              <w:textAlignment w:val="auto"/>
              <w:rPr>
                <w:rFonts w:hint="eastAsia"/>
                <w:color w:val="auto"/>
                <w:vertAlign w:val="baseline"/>
                <w:lang w:val="en-US" w:eastAsia="zh-CN"/>
              </w:rPr>
            </w:pPr>
            <w:r>
              <w:rPr>
                <w:rFonts w:hint="default" w:ascii="Times New Roman" w:hAnsi="Times New Roman" w:cs="Times New Roman"/>
                <w:color w:val="auto"/>
                <w:sz w:val="21"/>
                <w:szCs w:val="21"/>
              </w:rPr>
              <w:t>其他符合性分析</w:t>
            </w:r>
          </w:p>
        </w:tc>
        <w:tc>
          <w:tcPr>
            <w:tcW w:w="8303" w:type="dxa"/>
            <w:tcBorders>
              <w:tl2br w:val="nil"/>
              <w:tr2bl w:val="nil"/>
            </w:tcBorders>
            <w:vAlign w:val="top"/>
          </w:tcPr>
          <w:p w14:paraId="07C40BF0">
            <w:pPr>
              <w:autoSpaceDE w:val="0"/>
              <w:autoSpaceDN w:val="0"/>
              <w:adjustRightInd w:val="0"/>
              <w:snapToGrid w:val="0"/>
              <w:spacing w:line="360" w:lineRule="auto"/>
              <w:ind w:left="0" w:leftChars="0" w:firstLine="0" w:firstLineChars="0"/>
              <w:jc w:val="both"/>
              <w:rPr>
                <w:rFonts w:hint="default" w:ascii="Times New Roman" w:hAnsi="Times New Roman" w:cs="Times New Roman"/>
                <w:b/>
                <w:bCs/>
                <w:color w:val="auto"/>
                <w:lang w:val="en-US" w:eastAsia="zh-CN"/>
              </w:rPr>
            </w:pPr>
            <w:r>
              <w:rPr>
                <w:rFonts w:hint="eastAsia" w:cs="Times New Roman"/>
                <w:b/>
                <w:bCs/>
                <w:color w:val="auto"/>
                <w:sz w:val="24"/>
                <w:szCs w:val="24"/>
                <w:lang w:val="en-US" w:eastAsia="zh-CN"/>
              </w:rPr>
              <w:t xml:space="preserve">1.7 </w:t>
            </w:r>
            <w:r>
              <w:rPr>
                <w:rFonts w:hint="default" w:ascii="Times New Roman" w:hAnsi="Times New Roman" w:cs="Times New Roman"/>
                <w:b/>
                <w:bCs/>
                <w:color w:val="auto"/>
                <w:lang w:val="en-US" w:eastAsia="zh-CN"/>
              </w:rPr>
              <w:t>相关生态环境保护政策符合性分析</w:t>
            </w:r>
          </w:p>
          <w:p w14:paraId="3F1E04BF">
            <w:pPr>
              <w:pStyle w:val="38"/>
              <w:bidi w:val="0"/>
              <w:jc w:val="center"/>
              <w:rPr>
                <w:rFonts w:hint="default" w:ascii="Times New Roman" w:hAnsi="Times New Roman" w:eastAsia="宋体" w:cs="Times New Roman"/>
                <w:b/>
                <w:bCs/>
                <w:color w:val="auto"/>
                <w:sz w:val="21"/>
                <w:szCs w:val="21"/>
                <w:lang w:bidi="en-US"/>
              </w:rPr>
            </w:pPr>
            <w:r>
              <w:rPr>
                <w:rFonts w:hint="default" w:ascii="Times New Roman" w:hAnsi="Times New Roman" w:eastAsia="宋体" w:cs="Times New Roman"/>
                <w:b/>
                <w:bCs/>
                <w:color w:val="auto"/>
                <w:sz w:val="21"/>
                <w:szCs w:val="21"/>
                <w:lang w:bidi="en-US"/>
              </w:rPr>
              <w:t>表</w:t>
            </w:r>
            <w:r>
              <w:rPr>
                <w:rFonts w:hint="default" w:ascii="Times New Roman" w:hAnsi="Times New Roman" w:eastAsia="宋体" w:cs="Times New Roman"/>
                <w:b/>
                <w:bCs/>
                <w:color w:val="auto"/>
                <w:sz w:val="21"/>
                <w:szCs w:val="21"/>
                <w:lang w:val="en-US" w:eastAsia="zh-CN" w:bidi="en-US"/>
              </w:rPr>
              <w:t>1-</w:t>
            </w:r>
            <w:r>
              <w:rPr>
                <w:rFonts w:hint="eastAsia" w:cs="Times New Roman"/>
                <w:b/>
                <w:bCs/>
                <w:color w:val="auto"/>
                <w:sz w:val="21"/>
                <w:szCs w:val="21"/>
                <w:lang w:val="en-US" w:eastAsia="zh-CN" w:bidi="en-US"/>
              </w:rPr>
              <w:t>7</w:t>
            </w:r>
            <w:r>
              <w:rPr>
                <w:rFonts w:hint="default" w:ascii="Times New Roman" w:hAnsi="Times New Roman" w:eastAsia="宋体" w:cs="Times New Roman"/>
                <w:b/>
                <w:bCs/>
                <w:color w:val="auto"/>
                <w:sz w:val="21"/>
                <w:szCs w:val="21"/>
                <w:lang w:val="en-US" w:eastAsia="zh-CN" w:bidi="en-US"/>
              </w:rPr>
              <w:t xml:space="preserve"> </w:t>
            </w:r>
            <w:r>
              <w:rPr>
                <w:rFonts w:hint="default" w:ascii="Times New Roman" w:hAnsi="Times New Roman" w:cs="Times New Roman"/>
                <w:b/>
                <w:bCs/>
                <w:color w:val="auto"/>
                <w:sz w:val="21"/>
                <w:szCs w:val="21"/>
                <w:lang w:val="en-US" w:eastAsia="zh-CN" w:bidi="en-US"/>
              </w:rPr>
              <w:t xml:space="preserve"> </w:t>
            </w:r>
            <w:r>
              <w:rPr>
                <w:rFonts w:hint="default" w:ascii="Times New Roman" w:hAnsi="Times New Roman" w:eastAsia="宋体" w:cs="Times New Roman"/>
                <w:b/>
                <w:bCs/>
                <w:color w:val="auto"/>
                <w:sz w:val="21"/>
                <w:szCs w:val="21"/>
                <w:lang w:bidi="en-US"/>
              </w:rPr>
              <w:t>与相关生态环境保护政策的符合性分析</w:t>
            </w:r>
          </w:p>
          <w:tbl>
            <w:tblPr>
              <w:tblStyle w:val="31"/>
              <w:tblW w:w="809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63"/>
              <w:gridCol w:w="3778"/>
              <w:gridCol w:w="2481"/>
              <w:gridCol w:w="670"/>
            </w:tblGrid>
            <w:tr w14:paraId="2E488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0" w:hRule="atLeast"/>
                <w:tblHeader/>
                <w:jc w:val="center"/>
              </w:trPr>
              <w:tc>
                <w:tcPr>
                  <w:tcW w:w="1163" w:type="dxa"/>
                  <w:tcBorders>
                    <w:tl2br w:val="nil"/>
                    <w:tr2bl w:val="nil"/>
                  </w:tcBorders>
                  <w:vAlign w:val="center"/>
                </w:tcPr>
                <w:p w14:paraId="3AB2B661">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政策名称</w:t>
                  </w:r>
                </w:p>
              </w:tc>
              <w:tc>
                <w:tcPr>
                  <w:tcW w:w="3778" w:type="dxa"/>
                  <w:tcBorders>
                    <w:tl2br w:val="nil"/>
                    <w:tr2bl w:val="nil"/>
                  </w:tcBorders>
                  <w:vAlign w:val="center"/>
                </w:tcPr>
                <w:p w14:paraId="0BF0C5DC">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相关要求</w:t>
                  </w:r>
                </w:p>
              </w:tc>
              <w:tc>
                <w:tcPr>
                  <w:tcW w:w="2481" w:type="dxa"/>
                  <w:tcBorders>
                    <w:tl2br w:val="nil"/>
                    <w:tr2bl w:val="nil"/>
                  </w:tcBorders>
                  <w:vAlign w:val="center"/>
                </w:tcPr>
                <w:p w14:paraId="7243E250">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项目情况</w:t>
                  </w:r>
                </w:p>
              </w:tc>
              <w:tc>
                <w:tcPr>
                  <w:tcW w:w="670" w:type="dxa"/>
                  <w:tcBorders>
                    <w:tl2br w:val="nil"/>
                    <w:tr2bl w:val="nil"/>
                  </w:tcBorders>
                  <w:vAlign w:val="center"/>
                </w:tcPr>
                <w:p w14:paraId="7F00A730">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相符性</w:t>
                  </w:r>
                </w:p>
              </w:tc>
            </w:tr>
            <w:tr w14:paraId="6BA09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65" w:hRule="atLeast"/>
                <w:jc w:val="center"/>
              </w:trPr>
              <w:tc>
                <w:tcPr>
                  <w:tcW w:w="1163" w:type="dxa"/>
                  <w:vMerge w:val="restart"/>
                  <w:tcBorders>
                    <w:tl2br w:val="nil"/>
                    <w:tr2bl w:val="nil"/>
                  </w:tcBorders>
                  <w:vAlign w:val="center"/>
                </w:tcPr>
                <w:p w14:paraId="664FC110">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《中华人民共和国长江保护法》</w:t>
                  </w:r>
                </w:p>
              </w:tc>
              <w:tc>
                <w:tcPr>
                  <w:tcW w:w="3778" w:type="dxa"/>
                  <w:tcBorders>
                    <w:tl2br w:val="nil"/>
                    <w:tr2bl w:val="nil"/>
                  </w:tcBorders>
                  <w:vAlign w:val="center"/>
                </w:tcPr>
                <w:p w14:paraId="41AD96E6">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2481" w:type="dxa"/>
                  <w:tcBorders>
                    <w:tl2br w:val="nil"/>
                    <w:tr2bl w:val="nil"/>
                  </w:tcBorders>
                  <w:vAlign w:val="center"/>
                </w:tcPr>
                <w:p w14:paraId="7ABE5ADF">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w:t>
                  </w:r>
                  <w:r>
                    <w:rPr>
                      <w:rFonts w:hint="eastAsia" w:ascii="Times New Roman" w:hAnsi="Times New Roman" w:cs="Times New Roman"/>
                      <w:b w:val="0"/>
                      <w:bCs w:val="0"/>
                      <w:color w:val="auto"/>
                      <w:lang w:val="en-US" w:eastAsia="zh-CN"/>
                    </w:rPr>
                    <w:t>属于</w:t>
                  </w:r>
                  <w:r>
                    <w:rPr>
                      <w:rFonts w:hint="default" w:ascii="Times New Roman" w:hAnsi="Times New Roman" w:cs="Times New Roman"/>
                      <w:b w:val="0"/>
                      <w:bCs w:val="0"/>
                      <w:color w:val="auto"/>
                      <w:lang w:eastAsia="zh-CN"/>
                    </w:rPr>
                    <w:t>C3422</w:t>
                  </w:r>
                  <w:r>
                    <w:rPr>
                      <w:rFonts w:hint="eastAsia" w:ascii="Times New Roman" w:hAnsi="Times New Roman" w:cs="Times New Roman"/>
                      <w:b w:val="0"/>
                      <w:bCs w:val="0"/>
                      <w:color w:val="auto"/>
                      <w:lang w:eastAsia="zh-CN"/>
                    </w:rPr>
                    <w:t>金属成形</w:t>
                  </w:r>
                  <w:r>
                    <w:rPr>
                      <w:rFonts w:hint="default" w:ascii="Times New Roman" w:hAnsi="Times New Roman" w:cs="Times New Roman"/>
                      <w:b w:val="0"/>
                      <w:bCs w:val="0"/>
                      <w:color w:val="auto"/>
                      <w:lang w:eastAsia="zh-CN"/>
                    </w:rPr>
                    <w:t>机床制造</w:t>
                  </w:r>
                  <w:r>
                    <w:rPr>
                      <w:rFonts w:hint="eastAsia" w:ascii="Times New Roman" w:hAnsi="Times New Roman" w:cs="Times New Roman"/>
                      <w:b w:val="0"/>
                      <w:bCs w:val="0"/>
                      <w:color w:val="auto"/>
                      <w:lang w:eastAsia="zh-CN"/>
                    </w:rPr>
                    <w:t>、</w:t>
                  </w:r>
                  <w:r>
                    <w:rPr>
                      <w:rFonts w:hint="default" w:ascii="Times New Roman" w:hAnsi="Times New Roman" w:cs="Times New Roman"/>
                      <w:b w:val="0"/>
                      <w:bCs w:val="0"/>
                      <w:color w:val="auto"/>
                      <w:lang w:eastAsia="zh-CN"/>
                    </w:rPr>
                    <w:t>C3423铸造机械制造</w:t>
                  </w:r>
                  <w:r>
                    <w:rPr>
                      <w:rFonts w:hint="eastAsia" w:ascii="Times New Roman" w:hAnsi="Times New Roman" w:cs="Times New Roman"/>
                      <w:b w:val="0"/>
                      <w:bCs w:val="0"/>
                      <w:color w:val="auto"/>
                      <w:lang w:eastAsia="zh-CN"/>
                    </w:rPr>
                    <w:t>、</w:t>
                  </w:r>
                  <w:r>
                    <w:rPr>
                      <w:rFonts w:hint="default" w:ascii="Times New Roman" w:hAnsi="Times New Roman" w:cs="Times New Roman"/>
                      <w:b w:val="0"/>
                      <w:bCs w:val="0"/>
                      <w:color w:val="auto"/>
                      <w:lang w:eastAsia="zh-CN"/>
                    </w:rPr>
                    <w:t>C3461烘炉、熔炉及电炉制</w:t>
                  </w:r>
                  <w:r>
                    <w:rPr>
                      <w:rFonts w:hint="eastAsia" w:ascii="Times New Roman" w:hAnsi="Times New Roman" w:cs="Times New Roman"/>
                      <w:b w:val="0"/>
                      <w:bCs w:val="0"/>
                      <w:color w:val="auto"/>
                      <w:lang w:val="en-US" w:eastAsia="zh-CN"/>
                    </w:rPr>
                    <w:t>造</w:t>
                  </w:r>
                  <w:r>
                    <w:rPr>
                      <w:rFonts w:hint="default" w:ascii="Times New Roman" w:hAnsi="Times New Roman" w:cs="Times New Roman"/>
                      <w:b w:val="0"/>
                      <w:bCs w:val="0"/>
                      <w:color w:val="auto"/>
                      <w:lang w:val="en-US" w:eastAsia="zh-CN"/>
                    </w:rPr>
                    <w:t>，选址位</w:t>
                  </w:r>
                  <w:r>
                    <w:rPr>
                      <w:rFonts w:hint="eastAsia" w:ascii="Times New Roman" w:hAnsi="Times New Roman" w:cs="Times New Roman"/>
                      <w:b w:val="0"/>
                      <w:bCs w:val="0"/>
                      <w:color w:val="auto"/>
                      <w:lang w:val="en-US" w:eastAsia="zh-CN"/>
                    </w:rPr>
                    <w:t>于安徽省池州市青阳县经济开发区东河园区安徽赛王仓储有限公司厂区内空置厂房</w:t>
                  </w:r>
                  <w:r>
                    <w:rPr>
                      <w:rFonts w:hint="default" w:ascii="Times New Roman" w:hAnsi="Times New Roman" w:cs="Times New Roman"/>
                      <w:b w:val="0"/>
                      <w:bCs w:val="0"/>
                      <w:color w:val="auto"/>
                      <w:lang w:val="en-US" w:eastAsia="zh-CN"/>
                    </w:rPr>
                    <w:t>，本项目距离长江</w:t>
                  </w:r>
                  <w:r>
                    <w:rPr>
                      <w:rFonts w:hint="eastAsia" w:ascii="Times New Roman" w:hAnsi="Times New Roman" w:cs="Times New Roman"/>
                      <w:b w:val="0"/>
                      <w:bCs w:val="0"/>
                      <w:color w:val="auto"/>
                      <w:lang w:val="en-US" w:eastAsia="zh-CN"/>
                    </w:rPr>
                    <w:t>干流</w:t>
                  </w:r>
                  <w:r>
                    <w:rPr>
                      <w:rFonts w:hint="default" w:ascii="Times New Roman" w:hAnsi="Times New Roman" w:cs="Times New Roman"/>
                      <w:b w:val="0"/>
                      <w:bCs w:val="0"/>
                      <w:color w:val="auto"/>
                      <w:lang w:val="en-US" w:eastAsia="zh-CN"/>
                    </w:rPr>
                    <w:t>直线距离约</w:t>
                  </w:r>
                  <w:r>
                    <w:rPr>
                      <w:rFonts w:hint="eastAsia" w:ascii="Times New Roman" w:hAnsi="Times New Roman" w:cs="Times New Roman"/>
                      <w:b w:val="0"/>
                      <w:bCs w:val="0"/>
                      <w:color w:val="auto"/>
                      <w:lang w:val="en-US" w:eastAsia="zh-CN"/>
                    </w:rPr>
                    <w:t>23k</w:t>
                  </w:r>
                  <w:r>
                    <w:rPr>
                      <w:rFonts w:hint="default" w:ascii="Times New Roman" w:hAnsi="Times New Roman" w:cs="Times New Roman"/>
                      <w:b w:val="0"/>
                      <w:bCs w:val="0"/>
                      <w:color w:val="auto"/>
                      <w:lang w:val="en-US" w:eastAsia="zh-CN"/>
                    </w:rPr>
                    <w:t>m，</w:t>
                  </w:r>
                  <w:r>
                    <w:rPr>
                      <w:rFonts w:hint="eastAsia" w:ascii="Times New Roman" w:hAnsi="Times New Roman" w:cs="Times New Roman"/>
                      <w:b w:val="0"/>
                      <w:bCs w:val="0"/>
                      <w:color w:val="auto"/>
                      <w:lang w:val="en-US" w:eastAsia="zh-CN"/>
                    </w:rPr>
                    <w:t>距离长江二级支流青通河直线距离约为3.2km，</w:t>
                  </w:r>
                  <w:r>
                    <w:rPr>
                      <w:rFonts w:hint="default" w:ascii="Times New Roman" w:hAnsi="Times New Roman" w:cs="Times New Roman"/>
                      <w:b w:val="0"/>
                      <w:bCs w:val="0"/>
                      <w:color w:val="auto"/>
                      <w:lang w:val="en-US" w:eastAsia="zh-CN"/>
                    </w:rPr>
                    <w:t>本项目不属于长江干支流岸线1公里范围内。</w:t>
                  </w:r>
                </w:p>
              </w:tc>
              <w:tc>
                <w:tcPr>
                  <w:tcW w:w="670" w:type="dxa"/>
                  <w:tcBorders>
                    <w:tl2br w:val="nil"/>
                    <w:tr2bl w:val="nil"/>
                  </w:tcBorders>
                  <w:vAlign w:val="center"/>
                </w:tcPr>
                <w:p w14:paraId="3AF1D90B">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69391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65" w:hRule="atLeast"/>
                <w:jc w:val="center"/>
              </w:trPr>
              <w:tc>
                <w:tcPr>
                  <w:tcW w:w="1163" w:type="dxa"/>
                  <w:vMerge w:val="continue"/>
                  <w:tcBorders>
                    <w:tl2br w:val="nil"/>
                    <w:tr2bl w:val="nil"/>
                  </w:tcBorders>
                  <w:vAlign w:val="center"/>
                </w:tcPr>
                <w:p w14:paraId="4E462926">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6FD70FD7">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长江流域县级以上地方人民政府应当推动钢铁、石油、化工、有色金属、建材、船舶等产业升级改造，提升技术装备水平；推动造纸、制革、电镀、印染、有色金属、农药、氮肥、焦化、原料药制造等企业实施清洁化改造。企业应当通过技术创新减少资源消耗和污染排放。</w:t>
                  </w:r>
                </w:p>
              </w:tc>
              <w:tc>
                <w:tcPr>
                  <w:tcW w:w="2481" w:type="dxa"/>
                  <w:tcBorders>
                    <w:tl2br w:val="nil"/>
                    <w:tr2bl w:val="nil"/>
                  </w:tcBorders>
                  <w:vAlign w:val="center"/>
                </w:tcPr>
                <w:p w14:paraId="4B89D57C">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w:t>
                  </w:r>
                  <w:r>
                    <w:rPr>
                      <w:rFonts w:hint="eastAsia" w:ascii="Times New Roman" w:hAnsi="Times New Roman" w:cs="Times New Roman"/>
                      <w:b w:val="0"/>
                      <w:bCs w:val="0"/>
                      <w:color w:val="auto"/>
                      <w:lang w:val="en-US" w:eastAsia="zh-CN"/>
                    </w:rPr>
                    <w:t>属于</w:t>
                  </w:r>
                  <w:r>
                    <w:rPr>
                      <w:rFonts w:hint="default" w:ascii="Times New Roman" w:hAnsi="Times New Roman" w:cs="Times New Roman"/>
                      <w:b w:val="0"/>
                      <w:bCs w:val="0"/>
                      <w:color w:val="auto"/>
                      <w:lang w:eastAsia="zh-CN"/>
                    </w:rPr>
                    <w:t>C3422</w:t>
                  </w:r>
                  <w:r>
                    <w:rPr>
                      <w:rFonts w:hint="eastAsia" w:ascii="Times New Roman" w:hAnsi="Times New Roman" w:cs="Times New Roman"/>
                      <w:b w:val="0"/>
                      <w:bCs w:val="0"/>
                      <w:color w:val="auto"/>
                      <w:lang w:eastAsia="zh-CN"/>
                    </w:rPr>
                    <w:t>金属成形</w:t>
                  </w:r>
                  <w:r>
                    <w:rPr>
                      <w:rFonts w:hint="default" w:ascii="Times New Roman" w:hAnsi="Times New Roman" w:cs="Times New Roman"/>
                      <w:b w:val="0"/>
                      <w:bCs w:val="0"/>
                      <w:color w:val="auto"/>
                      <w:lang w:eastAsia="zh-CN"/>
                    </w:rPr>
                    <w:t>机床制造</w:t>
                  </w:r>
                  <w:r>
                    <w:rPr>
                      <w:rFonts w:hint="eastAsia" w:ascii="Times New Roman" w:hAnsi="Times New Roman" w:cs="Times New Roman"/>
                      <w:b w:val="0"/>
                      <w:bCs w:val="0"/>
                      <w:color w:val="auto"/>
                      <w:lang w:eastAsia="zh-CN"/>
                    </w:rPr>
                    <w:t>、</w:t>
                  </w:r>
                  <w:r>
                    <w:rPr>
                      <w:rFonts w:hint="default" w:ascii="Times New Roman" w:hAnsi="Times New Roman" w:cs="Times New Roman"/>
                      <w:b w:val="0"/>
                      <w:bCs w:val="0"/>
                      <w:color w:val="auto"/>
                      <w:lang w:eastAsia="zh-CN"/>
                    </w:rPr>
                    <w:t>C3423铸造机械制造</w:t>
                  </w:r>
                  <w:r>
                    <w:rPr>
                      <w:rFonts w:hint="eastAsia" w:ascii="Times New Roman" w:hAnsi="Times New Roman" w:cs="Times New Roman"/>
                      <w:b w:val="0"/>
                      <w:bCs w:val="0"/>
                      <w:color w:val="auto"/>
                      <w:lang w:eastAsia="zh-CN"/>
                    </w:rPr>
                    <w:t>、</w:t>
                  </w:r>
                  <w:r>
                    <w:rPr>
                      <w:rFonts w:hint="default" w:ascii="Times New Roman" w:hAnsi="Times New Roman" w:cs="Times New Roman"/>
                      <w:b w:val="0"/>
                      <w:bCs w:val="0"/>
                      <w:color w:val="auto"/>
                      <w:lang w:eastAsia="zh-CN"/>
                    </w:rPr>
                    <w:t>C3461烘炉、熔炉及电炉制</w:t>
                  </w:r>
                  <w:r>
                    <w:rPr>
                      <w:rFonts w:hint="eastAsia" w:ascii="Times New Roman" w:hAnsi="Times New Roman" w:cs="Times New Roman"/>
                      <w:b w:val="0"/>
                      <w:bCs w:val="0"/>
                      <w:color w:val="auto"/>
                      <w:lang w:val="en-US" w:eastAsia="zh-CN"/>
                    </w:rPr>
                    <w:t>造</w:t>
                  </w:r>
                  <w:r>
                    <w:rPr>
                      <w:rFonts w:hint="default" w:ascii="Times New Roman" w:hAnsi="Times New Roman" w:cs="Times New Roman"/>
                      <w:b w:val="0"/>
                      <w:bCs w:val="0"/>
                      <w:color w:val="auto"/>
                      <w:lang w:val="en-US" w:eastAsia="zh-CN"/>
                    </w:rPr>
                    <w:t>，本项目实施过程中将采取可行的污染防治措施，减少污染物的排放。</w:t>
                  </w:r>
                </w:p>
              </w:tc>
              <w:tc>
                <w:tcPr>
                  <w:tcW w:w="670" w:type="dxa"/>
                  <w:tcBorders>
                    <w:tl2br w:val="nil"/>
                    <w:tr2bl w:val="nil"/>
                  </w:tcBorders>
                  <w:vAlign w:val="center"/>
                </w:tcPr>
                <w:p w14:paraId="7D173AB5">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1B12B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0" w:hRule="atLeast"/>
                <w:jc w:val="center"/>
              </w:trPr>
              <w:tc>
                <w:tcPr>
                  <w:tcW w:w="1163" w:type="dxa"/>
                  <w:vMerge w:val="restart"/>
                  <w:tcBorders>
                    <w:tl2br w:val="nil"/>
                    <w:tr2bl w:val="nil"/>
                  </w:tcBorders>
                  <w:vAlign w:val="center"/>
                </w:tcPr>
                <w:p w14:paraId="32BBED06">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《长江经济带生态环境保护规划》</w:t>
                  </w:r>
                </w:p>
              </w:tc>
              <w:tc>
                <w:tcPr>
                  <w:tcW w:w="3778" w:type="dxa"/>
                  <w:tcBorders>
                    <w:tl2br w:val="nil"/>
                    <w:tr2bl w:val="nil"/>
                  </w:tcBorders>
                  <w:vAlign w:val="center"/>
                </w:tcPr>
                <w:p w14:paraId="13113A6A">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严格控制高耗水行业发展。以供给侧结构性改革为契机，倒逼钢铁、造纸、纺织、火电等高耗水行业化解过剩产能，严禁新增产能。加强高耗水行业用水定额管理，严格控制高耗水项目建设。</w:t>
                  </w:r>
                </w:p>
              </w:tc>
              <w:tc>
                <w:tcPr>
                  <w:tcW w:w="2481" w:type="dxa"/>
                  <w:tcBorders>
                    <w:tl2br w:val="nil"/>
                    <w:tr2bl w:val="nil"/>
                  </w:tcBorders>
                  <w:vAlign w:val="center"/>
                </w:tcPr>
                <w:p w14:paraId="7B07ABBF">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本项目不属于高耗水项目。</w:t>
                  </w:r>
                </w:p>
              </w:tc>
              <w:tc>
                <w:tcPr>
                  <w:tcW w:w="670" w:type="dxa"/>
                  <w:tcBorders>
                    <w:tl2br w:val="nil"/>
                    <w:tr2bl w:val="nil"/>
                  </w:tcBorders>
                  <w:vAlign w:val="center"/>
                </w:tcPr>
                <w:p w14:paraId="0257AF3E">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4AE5B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48" w:hRule="atLeast"/>
                <w:jc w:val="center"/>
              </w:trPr>
              <w:tc>
                <w:tcPr>
                  <w:tcW w:w="1163" w:type="dxa"/>
                  <w:vMerge w:val="continue"/>
                  <w:tcBorders>
                    <w:tl2br w:val="nil"/>
                    <w:tr2bl w:val="nil"/>
                  </w:tcBorders>
                  <w:vAlign w:val="center"/>
                </w:tcPr>
                <w:p w14:paraId="50CCAFB6">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57249ABC">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实施有毒有害物质全过程监管。全面调查长江经济带危险废物产生、贮存、利用和处置情况，摸清危险废物底数和风险点位。开展专项整治行动，严厉打击危险废物非法转运。</w:t>
                  </w:r>
                </w:p>
              </w:tc>
              <w:tc>
                <w:tcPr>
                  <w:tcW w:w="2481" w:type="dxa"/>
                  <w:tcBorders>
                    <w:tl2br w:val="nil"/>
                    <w:tr2bl w:val="nil"/>
                  </w:tcBorders>
                  <w:vAlign w:val="center"/>
                </w:tcPr>
                <w:p w14:paraId="62C494AB">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本报告要求</w:t>
                  </w:r>
                  <w:r>
                    <w:rPr>
                      <w:rFonts w:hint="eastAsia" w:ascii="Times New Roman" w:hAnsi="Times New Roman" w:cs="Times New Roman"/>
                      <w:b w:val="0"/>
                      <w:bCs w:val="0"/>
                      <w:color w:val="auto"/>
                      <w:lang w:val="en-US" w:eastAsia="zh-CN"/>
                    </w:rPr>
                    <w:t>对辅料库、危废暂存间设置集液槽等收集设施并进行重点防渗</w:t>
                  </w:r>
                  <w:r>
                    <w:rPr>
                      <w:rFonts w:hint="default" w:ascii="Times New Roman" w:hAnsi="Times New Roman" w:cs="Times New Roman"/>
                      <w:b w:val="0"/>
                      <w:bCs w:val="0"/>
                      <w:color w:val="auto"/>
                      <w:lang w:val="en-US" w:eastAsia="zh-CN"/>
                    </w:rPr>
                    <w:t>，及时对危险废物进行清运，将产生的危废交由有资质单位处理。</w:t>
                  </w:r>
                </w:p>
              </w:tc>
              <w:tc>
                <w:tcPr>
                  <w:tcW w:w="670" w:type="dxa"/>
                  <w:tcBorders>
                    <w:tl2br w:val="nil"/>
                    <w:tr2bl w:val="nil"/>
                  </w:tcBorders>
                  <w:vAlign w:val="center"/>
                </w:tcPr>
                <w:p w14:paraId="39107C31">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6FF06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06" w:hRule="atLeast"/>
                <w:jc w:val="center"/>
              </w:trPr>
              <w:tc>
                <w:tcPr>
                  <w:tcW w:w="1163" w:type="dxa"/>
                  <w:vMerge w:val="restart"/>
                  <w:tcBorders>
                    <w:tl2br w:val="nil"/>
                    <w:tr2bl w:val="nil"/>
                  </w:tcBorders>
                  <w:vAlign w:val="center"/>
                </w:tcPr>
                <w:p w14:paraId="6EBDF698">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《挥发性有机物无组织排放控制标准》（GB37822-2019）</w:t>
                  </w:r>
                </w:p>
              </w:tc>
              <w:tc>
                <w:tcPr>
                  <w:tcW w:w="3778" w:type="dxa"/>
                  <w:tcBorders>
                    <w:tl2br w:val="nil"/>
                    <w:tr2bl w:val="nil"/>
                  </w:tcBorders>
                  <w:vAlign w:val="center"/>
                </w:tcPr>
                <w:p w14:paraId="7D63F543">
                  <w:pPr>
                    <w:pStyle w:val="37"/>
                    <w:keepNext w:val="0"/>
                    <w:keepLines w:val="0"/>
                    <w:pageBreakBefore w:val="0"/>
                    <w:widowControl w:val="0"/>
                    <w:kinsoku/>
                    <w:wordWrap/>
                    <w:topLinePunct w:val="0"/>
                    <w:bidi w:val="0"/>
                    <w:adjustRightInd w:val="0"/>
                    <w:snapToGrid w:val="0"/>
                    <w:spacing w:after="0"/>
                    <w:ind w:left="0" w:leftChars="0" w:firstLine="0" w:firstLineChars="0"/>
                    <w:jc w:val="both"/>
                    <w:rPr>
                      <w:rFonts w:hint="default" w:ascii="Times New Roman" w:hAnsi="Times New Roman" w:cs="Times New Roman"/>
                      <w:b w:val="0"/>
                      <w:bCs w:val="0"/>
                      <w:color w:val="auto"/>
                      <w:lang w:val="en-US" w:eastAsia="zh-CN"/>
                    </w:rPr>
                  </w:pPr>
                  <w:r>
                    <w:rPr>
                      <w:rFonts w:hint="default" w:ascii="Times New Roman" w:hAnsi="Times New Roman" w:eastAsia="宋体" w:cs="Times New Roman"/>
                      <w:b w:val="0"/>
                      <w:bCs w:val="0"/>
                      <w:color w:val="auto"/>
                    </w:rPr>
                    <w:t>VOCs物料应储存于密闭容器、包装袋、储罐、储库、料仓中。盛装VOCs物料的容器或包装袋应存放于室内，或存放于设置有雨棚、遮阳和防渗设施的专用场地。盛装VOCs物料的容器或包装袋在非取用状态时应加盖、封口，保持密闭。</w:t>
                  </w:r>
                </w:p>
              </w:tc>
              <w:tc>
                <w:tcPr>
                  <w:tcW w:w="2481" w:type="dxa"/>
                  <w:tcBorders>
                    <w:tl2br w:val="nil"/>
                    <w:tr2bl w:val="nil"/>
                  </w:tcBorders>
                  <w:vAlign w:val="center"/>
                </w:tcPr>
                <w:p w14:paraId="15FE5C8A">
                  <w:pPr>
                    <w:pStyle w:val="37"/>
                    <w:keepNext w:val="0"/>
                    <w:keepLines w:val="0"/>
                    <w:pageBreakBefore w:val="0"/>
                    <w:widowControl w:val="0"/>
                    <w:kinsoku/>
                    <w:wordWrap/>
                    <w:topLinePunct w:val="0"/>
                    <w:bidi w:val="0"/>
                    <w:adjustRightInd w:val="0"/>
                    <w:snapToGrid w:val="0"/>
                    <w:spacing w:after="0"/>
                    <w:ind w:left="0" w:leftChars="0" w:firstLine="0" w:firstLineChars="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eastAsia="zh-CN"/>
                    </w:rPr>
                    <w:t>本项目</w:t>
                  </w:r>
                  <w:r>
                    <w:rPr>
                      <w:rFonts w:hint="eastAsia" w:ascii="Times New Roman" w:hAnsi="Times New Roman" w:cs="Times New Roman"/>
                      <w:b w:val="0"/>
                      <w:bCs w:val="0"/>
                      <w:color w:val="auto"/>
                      <w:lang w:val="en-US" w:eastAsia="zh-CN"/>
                    </w:rPr>
                    <w:t>水性丙烯酸面漆</w:t>
                  </w:r>
                  <w:r>
                    <w:rPr>
                      <w:rFonts w:hint="default" w:ascii="Times New Roman" w:hAnsi="Times New Roman" w:eastAsia="宋体" w:cs="Times New Roman"/>
                      <w:b w:val="0"/>
                      <w:bCs w:val="0"/>
                      <w:color w:val="auto"/>
                    </w:rPr>
                    <w:t>含VOCs</w:t>
                  </w:r>
                  <w:r>
                    <w:rPr>
                      <w:rFonts w:hint="eastAsia" w:ascii="Times New Roman" w:hAnsi="Times New Roman" w:cs="Times New Roman"/>
                      <w:b w:val="0"/>
                      <w:bCs w:val="0"/>
                      <w:color w:val="auto"/>
                      <w:lang w:eastAsia="zh-CN"/>
                    </w:rPr>
                    <w:t>，</w:t>
                  </w:r>
                  <w:r>
                    <w:rPr>
                      <w:rFonts w:hint="eastAsia" w:ascii="Times New Roman" w:hAnsi="Times New Roman" w:cs="Times New Roman"/>
                      <w:b w:val="0"/>
                      <w:bCs w:val="0"/>
                      <w:color w:val="auto"/>
                      <w:lang w:val="en-US" w:eastAsia="zh-CN"/>
                    </w:rPr>
                    <w:t>储存时</w:t>
                  </w:r>
                  <w:r>
                    <w:rPr>
                      <w:rFonts w:hint="default" w:ascii="Times New Roman" w:hAnsi="Times New Roman" w:eastAsia="宋体" w:cs="Times New Roman"/>
                      <w:b w:val="0"/>
                      <w:bCs w:val="0"/>
                      <w:color w:val="auto"/>
                    </w:rPr>
                    <w:t>桶装密闭储存在</w:t>
                  </w:r>
                  <w:r>
                    <w:rPr>
                      <w:rFonts w:hint="default" w:ascii="Times New Roman" w:hAnsi="Times New Roman" w:cs="Times New Roman"/>
                      <w:b w:val="0"/>
                      <w:bCs w:val="0"/>
                      <w:color w:val="auto"/>
                      <w:lang w:val="en-US" w:eastAsia="zh-CN"/>
                    </w:rPr>
                    <w:t>辅料</w:t>
                  </w:r>
                  <w:r>
                    <w:rPr>
                      <w:rFonts w:hint="eastAsia"/>
                      <w:color w:val="auto"/>
                      <w:lang w:eastAsia="zh-CN"/>
                    </w:rPr>
                    <w:t>库</w:t>
                  </w:r>
                  <w:r>
                    <w:rPr>
                      <w:rFonts w:hint="eastAsia" w:ascii="Times New Roman" w:hAnsi="Times New Roman" w:eastAsia="宋体" w:cs="Times New Roman"/>
                      <w:b w:val="0"/>
                      <w:bCs w:val="0"/>
                      <w:color w:val="auto"/>
                      <w:lang w:val="en-US" w:eastAsia="zh-CN"/>
                    </w:rPr>
                    <w:t>，</w:t>
                  </w:r>
                  <w:r>
                    <w:rPr>
                      <w:rFonts w:hint="default" w:ascii="Times New Roman" w:hAnsi="Times New Roman" w:eastAsia="宋体" w:cs="Times New Roman"/>
                      <w:b w:val="0"/>
                      <w:bCs w:val="0"/>
                      <w:color w:val="auto"/>
                    </w:rPr>
                    <w:t>在非取用状态时料桶</w:t>
                  </w:r>
                  <w:r>
                    <w:rPr>
                      <w:rFonts w:hint="default" w:ascii="Times New Roman" w:hAnsi="Times New Roman" w:cs="Times New Roman"/>
                      <w:b w:val="0"/>
                      <w:bCs w:val="0"/>
                      <w:color w:val="auto"/>
                      <w:lang w:val="en-US" w:eastAsia="zh-CN"/>
                    </w:rPr>
                    <w:t>均</w:t>
                  </w:r>
                  <w:r>
                    <w:rPr>
                      <w:rFonts w:hint="default" w:ascii="Times New Roman" w:hAnsi="Times New Roman" w:eastAsia="宋体" w:cs="Times New Roman"/>
                      <w:b w:val="0"/>
                      <w:bCs w:val="0"/>
                      <w:color w:val="auto"/>
                    </w:rPr>
                    <w:t>保持封口。</w:t>
                  </w:r>
                </w:p>
              </w:tc>
              <w:tc>
                <w:tcPr>
                  <w:tcW w:w="670" w:type="dxa"/>
                  <w:tcBorders>
                    <w:tl2br w:val="nil"/>
                    <w:tr2bl w:val="nil"/>
                  </w:tcBorders>
                  <w:vAlign w:val="center"/>
                </w:tcPr>
                <w:p w14:paraId="03E889FE">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eastAsia="zh-CN"/>
                    </w:rPr>
                  </w:pPr>
                  <w:r>
                    <w:rPr>
                      <w:rFonts w:hint="default" w:ascii="Times New Roman" w:hAnsi="Times New Roman" w:cs="Times New Roman"/>
                      <w:b w:val="0"/>
                      <w:bCs w:val="0"/>
                      <w:color w:val="auto"/>
                      <w:lang w:val="en-US" w:eastAsia="zh-CN"/>
                    </w:rPr>
                    <w:t>符合</w:t>
                  </w:r>
                </w:p>
              </w:tc>
            </w:tr>
            <w:tr w14:paraId="35A28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63" w:type="dxa"/>
                  <w:vMerge w:val="continue"/>
                  <w:tcBorders>
                    <w:tl2br w:val="nil"/>
                    <w:tr2bl w:val="nil"/>
                  </w:tcBorders>
                  <w:vAlign w:val="center"/>
                </w:tcPr>
                <w:p w14:paraId="4D3236FE">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6FE4EAFB">
                  <w:pPr>
                    <w:pStyle w:val="37"/>
                    <w:keepNext w:val="0"/>
                    <w:keepLines w:val="0"/>
                    <w:pageBreakBefore w:val="0"/>
                    <w:widowControl w:val="0"/>
                    <w:kinsoku/>
                    <w:wordWrap/>
                    <w:topLinePunct w:val="0"/>
                    <w:bidi w:val="0"/>
                    <w:adjustRightInd w:val="0"/>
                    <w:snapToGrid w:val="0"/>
                    <w:spacing w:after="0"/>
                    <w:ind w:left="0" w:leftChars="0" w:firstLine="0" w:firstLineChars="0"/>
                    <w:jc w:val="both"/>
                    <w:rPr>
                      <w:rFonts w:hint="default" w:ascii="Times New Roman" w:hAnsi="Times New Roman" w:cs="Times New Roman"/>
                      <w:b w:val="0"/>
                      <w:bCs w:val="0"/>
                      <w:color w:val="auto"/>
                      <w:lang w:val="en-US" w:eastAsia="zh-CN"/>
                    </w:rPr>
                  </w:pPr>
                  <w:r>
                    <w:rPr>
                      <w:rFonts w:hint="default" w:ascii="Times New Roman" w:hAnsi="Times New Roman" w:eastAsia="宋体" w:cs="Times New Roman"/>
                      <w:b w:val="0"/>
                      <w:bCs w:val="0"/>
                      <w:color w:val="auto"/>
                    </w:rPr>
                    <w:t>液态VOCs物料应采用密闭管道输送。采用非管道输送方式转移液态VOCs物料时，应</w:t>
                  </w:r>
                  <w:r>
                    <w:rPr>
                      <w:rFonts w:hint="default" w:ascii="Times New Roman" w:hAnsi="Times New Roman" w:cs="Times New Roman"/>
                      <w:b w:val="0"/>
                      <w:bCs w:val="0"/>
                      <w:color w:val="auto"/>
                      <w:lang w:val="en-US" w:eastAsia="zh-CN"/>
                    </w:rPr>
                    <w:t>采</w:t>
                  </w:r>
                  <w:r>
                    <w:rPr>
                      <w:rFonts w:hint="default" w:ascii="Times New Roman" w:hAnsi="Times New Roman" w:eastAsia="宋体" w:cs="Times New Roman"/>
                      <w:b w:val="0"/>
                      <w:bCs w:val="0"/>
                      <w:color w:val="auto"/>
                    </w:rPr>
                    <w:t>用密闭容器、罐车。</w:t>
                  </w:r>
                </w:p>
              </w:tc>
              <w:tc>
                <w:tcPr>
                  <w:tcW w:w="2481" w:type="dxa"/>
                  <w:tcBorders>
                    <w:tl2br w:val="nil"/>
                    <w:tr2bl w:val="nil"/>
                  </w:tcBorders>
                  <w:vAlign w:val="center"/>
                </w:tcPr>
                <w:p w14:paraId="76ABEDBE">
                  <w:pPr>
                    <w:pStyle w:val="37"/>
                    <w:keepNext w:val="0"/>
                    <w:keepLines w:val="0"/>
                    <w:pageBreakBefore w:val="0"/>
                    <w:widowControl w:val="0"/>
                    <w:kinsoku/>
                    <w:wordWrap/>
                    <w:topLinePunct w:val="0"/>
                    <w:bidi w:val="0"/>
                    <w:adjustRightInd w:val="0"/>
                    <w:snapToGrid w:val="0"/>
                    <w:spacing w:after="0"/>
                    <w:ind w:left="0" w:leftChars="0" w:firstLine="0" w:firstLineChars="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eastAsia="zh-CN"/>
                    </w:rPr>
                    <w:t>本项目</w:t>
                  </w:r>
                  <w:r>
                    <w:rPr>
                      <w:rFonts w:hint="default" w:ascii="Times New Roman" w:hAnsi="Times New Roman" w:eastAsia="宋体" w:cs="Times New Roman"/>
                      <w:b w:val="0"/>
                      <w:bCs w:val="0"/>
                      <w:color w:val="auto"/>
                      <w:lang w:val="en-US" w:eastAsia="zh-CN"/>
                    </w:rPr>
                    <w:t>使用的</w:t>
                  </w:r>
                  <w:r>
                    <w:rPr>
                      <w:rFonts w:hint="default" w:ascii="Times New Roman" w:hAnsi="Times New Roman" w:eastAsia="宋体" w:cs="Times New Roman"/>
                      <w:b w:val="0"/>
                      <w:bCs w:val="0"/>
                      <w:color w:val="auto"/>
                    </w:rPr>
                    <w:t>液态VOCs物料</w:t>
                  </w:r>
                  <w:r>
                    <w:rPr>
                      <w:rFonts w:hint="default" w:ascii="Times New Roman" w:hAnsi="Times New Roman" w:eastAsia="宋体" w:cs="Times New Roman"/>
                      <w:b w:val="0"/>
                      <w:bCs w:val="0"/>
                      <w:color w:val="auto"/>
                      <w:lang w:val="en-US" w:eastAsia="zh-CN"/>
                    </w:rPr>
                    <w:t>使用</w:t>
                  </w:r>
                  <w:r>
                    <w:rPr>
                      <w:rFonts w:hint="default" w:ascii="Times New Roman" w:hAnsi="Times New Roman" w:eastAsia="宋体" w:cs="Times New Roman"/>
                      <w:b w:val="0"/>
                      <w:bCs w:val="0"/>
                      <w:color w:val="auto"/>
                    </w:rPr>
                    <w:t>桶装转移，且在非取用状态时料桶保持封口。</w:t>
                  </w:r>
                </w:p>
              </w:tc>
              <w:tc>
                <w:tcPr>
                  <w:tcW w:w="670" w:type="dxa"/>
                  <w:tcBorders>
                    <w:tl2br w:val="nil"/>
                    <w:tr2bl w:val="nil"/>
                  </w:tcBorders>
                  <w:vAlign w:val="center"/>
                </w:tcPr>
                <w:p w14:paraId="300C503E">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eastAsia="zh-CN"/>
                    </w:rPr>
                  </w:pPr>
                  <w:r>
                    <w:rPr>
                      <w:rFonts w:hint="default" w:ascii="Times New Roman" w:hAnsi="Times New Roman" w:cs="Times New Roman"/>
                      <w:b w:val="0"/>
                      <w:bCs w:val="0"/>
                      <w:color w:val="auto"/>
                      <w:lang w:val="en-US" w:eastAsia="zh-CN"/>
                    </w:rPr>
                    <w:t>符合</w:t>
                  </w:r>
                </w:p>
              </w:tc>
            </w:tr>
            <w:tr w14:paraId="3D711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3" w:hRule="atLeast"/>
                <w:jc w:val="center"/>
              </w:trPr>
              <w:tc>
                <w:tcPr>
                  <w:tcW w:w="1163" w:type="dxa"/>
                  <w:vMerge w:val="restart"/>
                  <w:tcBorders>
                    <w:tl2br w:val="nil"/>
                    <w:tr2bl w:val="nil"/>
                  </w:tcBorders>
                  <w:vAlign w:val="center"/>
                </w:tcPr>
                <w:p w14:paraId="5CDD6B8E">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《安徽省打赢蓝天保卫战三年行动计划实施方案》</w:t>
                  </w:r>
                </w:p>
              </w:tc>
              <w:tc>
                <w:tcPr>
                  <w:tcW w:w="3778" w:type="dxa"/>
                  <w:tcBorders>
                    <w:tl2br w:val="nil"/>
                    <w:tr2bl w:val="nil"/>
                  </w:tcBorders>
                  <w:vAlign w:val="center"/>
                </w:tcPr>
                <w:p w14:paraId="389A724E">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开展工业炉窑治理专项行动：鼓励工业炉窑使用电、天然气等清洁能源或由周边热电厂供热。</w:t>
                  </w:r>
                </w:p>
              </w:tc>
              <w:tc>
                <w:tcPr>
                  <w:tcW w:w="2481" w:type="dxa"/>
                  <w:tcBorders>
                    <w:tl2br w:val="nil"/>
                    <w:tr2bl w:val="nil"/>
                  </w:tcBorders>
                  <w:vAlign w:val="center"/>
                </w:tcPr>
                <w:p w14:paraId="3BA91F2C">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本项目均采用电能，属于清洁能源，符合相关能源使用要求。</w:t>
                  </w:r>
                </w:p>
              </w:tc>
              <w:tc>
                <w:tcPr>
                  <w:tcW w:w="670" w:type="dxa"/>
                  <w:tcBorders>
                    <w:tl2br w:val="nil"/>
                    <w:tr2bl w:val="nil"/>
                  </w:tcBorders>
                  <w:vAlign w:val="center"/>
                </w:tcPr>
                <w:p w14:paraId="07660F68">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3E483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65" w:hRule="atLeast"/>
                <w:jc w:val="center"/>
              </w:trPr>
              <w:tc>
                <w:tcPr>
                  <w:tcW w:w="1163" w:type="dxa"/>
                  <w:vMerge w:val="continue"/>
                  <w:tcBorders>
                    <w:tl2br w:val="nil"/>
                    <w:tr2bl w:val="nil"/>
                  </w:tcBorders>
                  <w:vAlign w:val="center"/>
                </w:tcPr>
                <w:p w14:paraId="1C6F841E">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3035600F">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严控“两高”行业产能。严格执行国家关于“两高”产业准入目录和产能总量控制政策措施。严禁新增钢铁、焦化、电解铝、铸造、水泥和平板玻璃等产能；严格执行钢铁、水泥、平板玻璃等行业产能置换实施办法；新、改、扩建涉及大宗物料运输的建设项目，原则上不得采用公路运输。</w:t>
                  </w:r>
                </w:p>
              </w:tc>
              <w:tc>
                <w:tcPr>
                  <w:tcW w:w="2481" w:type="dxa"/>
                  <w:tcBorders>
                    <w:tl2br w:val="nil"/>
                    <w:tr2bl w:val="nil"/>
                  </w:tcBorders>
                  <w:vAlign w:val="center"/>
                </w:tcPr>
                <w:p w14:paraId="3E37CD47">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本项目不涉及钢铁、焦化、电解铝、铸造、水泥和平板玻璃等产能，且不涉及大宗物料的运输。</w:t>
                  </w:r>
                </w:p>
              </w:tc>
              <w:tc>
                <w:tcPr>
                  <w:tcW w:w="670" w:type="dxa"/>
                  <w:tcBorders>
                    <w:tl2br w:val="nil"/>
                    <w:tr2bl w:val="nil"/>
                  </w:tcBorders>
                  <w:vAlign w:val="center"/>
                </w:tcPr>
                <w:p w14:paraId="5D9A2DE4">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02237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37" w:hRule="atLeast"/>
                <w:jc w:val="center"/>
              </w:trPr>
              <w:tc>
                <w:tcPr>
                  <w:tcW w:w="1163" w:type="dxa"/>
                  <w:vMerge w:val="continue"/>
                  <w:tcBorders>
                    <w:tl2br w:val="nil"/>
                    <w:tr2bl w:val="nil"/>
                  </w:tcBorders>
                  <w:vAlign w:val="center"/>
                </w:tcPr>
                <w:p w14:paraId="4556C7EB">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4369AD0A">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推进重点行业污染治理升级改造。二氧化硫、氮氧化物、颗粒物、挥发性有机物（VOCs）全面执行大气污染物特别排放限值。推动实施钢铁等行业超低排放改造，城市建成区内焦炉实施炉体加罩封闭，并对废气进行收集处理。强化工业企业无组织排放管控。开展钢铁、建材、有色、火电、焦化、铸造等重点行业及燃煤锅炉无组织排放排查，建立管理台账，对物料（含废渣）运输、装卸、储存、转移和工艺过程等无组织排放实施深度治理。</w:t>
                  </w:r>
                </w:p>
              </w:tc>
              <w:tc>
                <w:tcPr>
                  <w:tcW w:w="2481" w:type="dxa"/>
                  <w:tcBorders>
                    <w:tl2br w:val="nil"/>
                    <w:tr2bl w:val="nil"/>
                  </w:tcBorders>
                  <w:vAlign w:val="center"/>
                </w:tcPr>
                <w:p w14:paraId="35774B73">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本项目产生的挥发性有机物经处理后均能达标排放。项目加强生产过程中无组织废气排放的管理和控制，建立管理台账，对物料运输、储存、转移和工艺等无组织排放实施深度治理。</w:t>
                  </w:r>
                </w:p>
              </w:tc>
              <w:tc>
                <w:tcPr>
                  <w:tcW w:w="670" w:type="dxa"/>
                  <w:tcBorders>
                    <w:tl2br w:val="nil"/>
                    <w:tr2bl w:val="nil"/>
                  </w:tcBorders>
                  <w:vAlign w:val="center"/>
                </w:tcPr>
                <w:p w14:paraId="0D524E1C">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76C97F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90" w:hRule="atLeast"/>
                <w:jc w:val="center"/>
              </w:trPr>
              <w:tc>
                <w:tcPr>
                  <w:tcW w:w="1163" w:type="dxa"/>
                  <w:vMerge w:val="continue"/>
                  <w:tcBorders>
                    <w:tl2br w:val="nil"/>
                    <w:tr2bl w:val="nil"/>
                  </w:tcBorders>
                  <w:vAlign w:val="center"/>
                </w:tcPr>
                <w:p w14:paraId="6A94F8F6">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21CE8234">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实施VOCs专项整治行动。禁止建设生产和使用高VOCs含量的溶剂型涂料、油墨、胶粘剂等项目。</w:t>
                  </w:r>
                </w:p>
              </w:tc>
              <w:tc>
                <w:tcPr>
                  <w:tcW w:w="2481" w:type="dxa"/>
                  <w:tcBorders>
                    <w:tl2br w:val="nil"/>
                    <w:tr2bl w:val="nil"/>
                  </w:tcBorders>
                  <w:vAlign w:val="center"/>
                </w:tcPr>
                <w:p w14:paraId="2C0F716F">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本项目VOCs产生环节主要为</w:t>
                  </w:r>
                  <w:r>
                    <w:rPr>
                      <w:rFonts w:hint="eastAsia" w:ascii="Times New Roman" w:hAnsi="Times New Roman" w:cs="Times New Roman"/>
                      <w:b w:val="0"/>
                      <w:bCs w:val="0"/>
                      <w:color w:val="auto"/>
                      <w:lang w:val="en-US" w:eastAsia="zh-CN"/>
                    </w:rPr>
                    <w:t>面漆喷涂和晾干工序</w:t>
                  </w:r>
                  <w:r>
                    <w:rPr>
                      <w:rFonts w:hint="default" w:ascii="Times New Roman" w:hAnsi="Times New Roman" w:cs="Times New Roman"/>
                      <w:b w:val="0"/>
                      <w:bCs w:val="0"/>
                      <w:color w:val="auto"/>
                      <w:lang w:val="en-US" w:eastAsia="zh-CN"/>
                    </w:rPr>
                    <w:t>，使用的</w:t>
                  </w:r>
                  <w:r>
                    <w:rPr>
                      <w:rFonts w:hint="eastAsia" w:ascii="Times New Roman" w:hAnsi="Times New Roman" w:cs="Times New Roman"/>
                      <w:b w:val="0"/>
                      <w:bCs w:val="0"/>
                      <w:color w:val="auto"/>
                      <w:lang w:val="en-US" w:eastAsia="zh-CN"/>
                    </w:rPr>
                    <w:t>含voc的</w:t>
                  </w:r>
                  <w:r>
                    <w:rPr>
                      <w:rFonts w:hint="default" w:ascii="Times New Roman" w:hAnsi="Times New Roman" w:cs="Times New Roman"/>
                      <w:b w:val="0"/>
                      <w:bCs w:val="0"/>
                      <w:color w:val="auto"/>
                      <w:lang w:val="en-US" w:eastAsia="zh-CN"/>
                    </w:rPr>
                    <w:t>辅料</w:t>
                  </w:r>
                  <w:r>
                    <w:rPr>
                      <w:rFonts w:hint="eastAsia" w:ascii="Times New Roman" w:hAnsi="Times New Roman" w:cs="Times New Roman"/>
                      <w:b w:val="0"/>
                      <w:bCs w:val="0"/>
                      <w:color w:val="auto"/>
                      <w:lang w:val="en-US" w:eastAsia="zh-CN"/>
                    </w:rPr>
                    <w:t>为水性丙烯酸面漆</w:t>
                  </w:r>
                  <w:r>
                    <w:rPr>
                      <w:rFonts w:hint="default" w:ascii="Times New Roman" w:hAnsi="Times New Roman" w:cs="Times New Roman"/>
                      <w:b w:val="0"/>
                      <w:bCs w:val="0"/>
                      <w:color w:val="auto"/>
                      <w:lang w:val="en-US" w:eastAsia="zh-CN"/>
                    </w:rPr>
                    <w:t>，</w:t>
                  </w:r>
                  <w:r>
                    <w:rPr>
                      <w:rFonts w:hint="eastAsia" w:ascii="Times New Roman" w:hAnsi="Times New Roman" w:cs="Times New Roman"/>
                      <w:b w:val="0"/>
                      <w:bCs w:val="0"/>
                      <w:color w:val="auto"/>
                      <w:lang w:val="en-US" w:eastAsia="zh-CN"/>
                    </w:rPr>
                    <w:t>其</w:t>
                  </w:r>
                  <w:r>
                    <w:rPr>
                      <w:rFonts w:hint="default" w:ascii="Times New Roman" w:hAnsi="Times New Roman" w:cs="Times New Roman"/>
                      <w:b w:val="0"/>
                      <w:bCs w:val="0"/>
                      <w:color w:val="auto"/>
                      <w:lang w:val="en-US" w:eastAsia="zh-CN"/>
                    </w:rPr>
                    <w:t>挥发性有机物含量为31g/L，符合《低挥发性有机化合物含量涂料产品技术要求》（GB/T38597-2020）表1水性涂料中VOC含量的要求</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不涉及</w:t>
                  </w:r>
                  <w:r>
                    <w:rPr>
                      <w:rFonts w:hint="eastAsia" w:ascii="Times New Roman" w:hAnsi="Times New Roman" w:cs="Times New Roman"/>
                      <w:b w:val="0"/>
                      <w:bCs w:val="0"/>
                      <w:color w:val="auto"/>
                      <w:lang w:val="en-US" w:eastAsia="zh-CN"/>
                    </w:rPr>
                    <w:t>高</w:t>
                  </w:r>
                  <w:r>
                    <w:rPr>
                      <w:rFonts w:hint="default" w:ascii="Times New Roman" w:hAnsi="Times New Roman" w:cs="Times New Roman"/>
                      <w:b w:val="0"/>
                      <w:bCs w:val="0"/>
                      <w:color w:val="auto"/>
                      <w:lang w:val="en-US" w:eastAsia="zh-CN"/>
                    </w:rPr>
                    <w:t>VOCs溶剂型涂料的使用。</w:t>
                  </w:r>
                </w:p>
              </w:tc>
              <w:tc>
                <w:tcPr>
                  <w:tcW w:w="670" w:type="dxa"/>
                  <w:tcBorders>
                    <w:tl2br w:val="nil"/>
                    <w:tr2bl w:val="nil"/>
                  </w:tcBorders>
                  <w:vAlign w:val="center"/>
                </w:tcPr>
                <w:p w14:paraId="5E742E17">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2C959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63" w:type="dxa"/>
                  <w:vMerge w:val="continue"/>
                  <w:tcBorders>
                    <w:tl2br w:val="nil"/>
                    <w:tr2bl w:val="nil"/>
                  </w:tcBorders>
                  <w:vAlign w:val="center"/>
                </w:tcPr>
                <w:p w14:paraId="7F649AED">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51AC8DDC">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实施“煤改气”和“以电代煤”。在落实气源、保障民生的前提下，在陶瓷、玻璃、铸造等行业积极推进天然气替代煤气化工程，有序实施燃煤设施煤改气。</w:t>
                  </w:r>
                </w:p>
              </w:tc>
              <w:tc>
                <w:tcPr>
                  <w:tcW w:w="2481" w:type="dxa"/>
                  <w:tcBorders>
                    <w:tl2br w:val="nil"/>
                    <w:tr2bl w:val="nil"/>
                  </w:tcBorders>
                  <w:vAlign w:val="center"/>
                </w:tcPr>
                <w:p w14:paraId="52A60E4F">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本项目不涉及煤气的使用。</w:t>
                  </w:r>
                </w:p>
              </w:tc>
              <w:tc>
                <w:tcPr>
                  <w:tcW w:w="670" w:type="dxa"/>
                  <w:tcBorders>
                    <w:tl2br w:val="nil"/>
                    <w:tr2bl w:val="nil"/>
                  </w:tcBorders>
                  <w:vAlign w:val="center"/>
                </w:tcPr>
                <w:p w14:paraId="7FE8137A">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2B53C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63" w:type="dxa"/>
                  <w:vMerge w:val="restart"/>
                  <w:tcBorders>
                    <w:tl2br w:val="nil"/>
                    <w:tr2bl w:val="nil"/>
                  </w:tcBorders>
                  <w:vAlign w:val="center"/>
                </w:tcPr>
                <w:p w14:paraId="0A4CD448">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《关于全面打造水清岸绿产业优美丽长江（安</w:t>
                  </w:r>
                </w:p>
                <w:p w14:paraId="6A73F44F">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徽）经济带的实施意见（升级版）》</w:t>
                  </w:r>
                </w:p>
              </w:tc>
              <w:tc>
                <w:tcPr>
                  <w:tcW w:w="3778" w:type="dxa"/>
                  <w:tcBorders>
                    <w:tl2br w:val="nil"/>
                    <w:tr2bl w:val="nil"/>
                  </w:tcBorders>
                  <w:vAlign w:val="center"/>
                </w:tcPr>
                <w:p w14:paraId="0C845ECA">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严控5公里范围内新建重化工重污染项目。长江干流岸线5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2481" w:type="dxa"/>
                  <w:tcBorders>
                    <w:tl2br w:val="nil"/>
                    <w:tr2bl w:val="nil"/>
                  </w:tcBorders>
                  <w:vAlign w:val="center"/>
                </w:tcPr>
                <w:p w14:paraId="3DF515B4">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本项目距离长江</w:t>
                  </w:r>
                  <w:r>
                    <w:rPr>
                      <w:rFonts w:hint="eastAsia" w:ascii="Times New Roman" w:hAnsi="Times New Roman" w:cs="Times New Roman"/>
                      <w:b w:val="0"/>
                      <w:bCs w:val="0"/>
                      <w:color w:val="auto"/>
                      <w:lang w:val="en-US" w:eastAsia="zh-CN"/>
                    </w:rPr>
                    <w:t>约23k</w:t>
                  </w:r>
                  <w:r>
                    <w:rPr>
                      <w:rFonts w:hint="default" w:ascii="Times New Roman" w:hAnsi="Times New Roman" w:cs="Times New Roman"/>
                      <w:b w:val="0"/>
                      <w:bCs w:val="0"/>
                      <w:color w:val="auto"/>
                      <w:lang w:val="en-US" w:eastAsia="zh-CN"/>
                    </w:rPr>
                    <w:t>m，</w:t>
                  </w:r>
                  <w:r>
                    <w:rPr>
                      <w:rFonts w:hint="eastAsia" w:ascii="Times New Roman" w:hAnsi="Times New Roman" w:cs="Times New Roman"/>
                      <w:b w:val="0"/>
                      <w:bCs w:val="0"/>
                      <w:color w:val="auto"/>
                      <w:lang w:val="en-US" w:eastAsia="zh-CN"/>
                    </w:rPr>
                    <w:t>且项目</w:t>
                  </w:r>
                  <w:r>
                    <w:rPr>
                      <w:rFonts w:hint="default" w:ascii="Times New Roman" w:hAnsi="Times New Roman" w:cs="Times New Roman"/>
                      <w:b w:val="0"/>
                      <w:bCs w:val="0"/>
                      <w:color w:val="auto"/>
                      <w:lang w:val="en-US" w:eastAsia="zh-CN"/>
                    </w:rPr>
                    <w:t>不属于化工项目，故满足“严禁5公里范围内新建项目，实施严格的化工项目市场准入制度，严格控制新建石油化工和煤化工等项目”的相关要求。</w:t>
                  </w:r>
                </w:p>
              </w:tc>
              <w:tc>
                <w:tcPr>
                  <w:tcW w:w="670" w:type="dxa"/>
                  <w:tcBorders>
                    <w:tl2br w:val="nil"/>
                    <w:tr2bl w:val="nil"/>
                  </w:tcBorders>
                  <w:vAlign w:val="center"/>
                </w:tcPr>
                <w:p w14:paraId="564399FA">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64EAE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63" w:type="dxa"/>
                  <w:vMerge w:val="continue"/>
                  <w:tcBorders>
                    <w:tl2br w:val="nil"/>
                    <w:tr2bl w:val="nil"/>
                  </w:tcBorders>
                  <w:vAlign w:val="center"/>
                </w:tcPr>
                <w:p w14:paraId="0E3E66E2">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2168EEBE">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严管15公里范围内新建项目。长江干流岸线15公里范围内，严把各类项目准入门槛，严格执行环境保护标准，把主要污染物和重点重金属排放总量控制目标作为新</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改、扩）建项目环评审批的前置条件，禁止建设没有环境容量和减排总量项目。在岸线开发、河段利用、区域活动和产业发展等方面，严格执行《长江经济带发展负面清单指南（试行）</w:t>
                  </w:r>
                  <w:r>
                    <w:rPr>
                      <w:rFonts w:hint="eastAsia" w:ascii="Times New Roman" w:hAnsi="Times New Roman" w:cs="Times New Roman"/>
                      <w:b w:val="0"/>
                      <w:bCs w:val="0"/>
                      <w:color w:val="auto"/>
                      <w:lang w:val="en-US" w:eastAsia="zh-CN"/>
                    </w:rPr>
                    <w:t>》和</w:t>
                  </w:r>
                  <w:r>
                    <w:rPr>
                      <w:rFonts w:hint="default" w:ascii="Times New Roman" w:hAnsi="Times New Roman" w:cs="Times New Roman"/>
                      <w:b w:val="0"/>
                      <w:bCs w:val="0"/>
                      <w:color w:val="auto"/>
                      <w:lang w:val="en-US" w:eastAsia="zh-CN"/>
                    </w:rPr>
                    <w:t>《安徽省长江经济带发展负面清单实施细则</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试行</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》。实施备案、环评、安评、能评等并联审批，未落实生态环保、安全生产、能源节约要求的，一律不得开工建设。</w:t>
                  </w:r>
                </w:p>
              </w:tc>
              <w:tc>
                <w:tcPr>
                  <w:tcW w:w="2481" w:type="dxa"/>
                  <w:tcBorders>
                    <w:tl2br w:val="nil"/>
                    <w:tr2bl w:val="nil"/>
                  </w:tcBorders>
                  <w:vAlign w:val="center"/>
                </w:tcPr>
                <w:p w14:paraId="5977B40C">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本项目为</w:t>
                  </w:r>
                  <w:r>
                    <w:rPr>
                      <w:rFonts w:hint="eastAsia" w:ascii="Times New Roman" w:hAnsi="Times New Roman" w:cs="Times New Roman"/>
                      <w:b w:val="0"/>
                      <w:bCs w:val="0"/>
                      <w:color w:val="auto"/>
                      <w:lang w:val="en-US" w:eastAsia="zh-CN"/>
                    </w:rPr>
                    <w:t>C3422金属成形机床制造、C3423铸造机械制造、C3461烘炉、熔炉及电炉制造</w:t>
                  </w:r>
                  <w:r>
                    <w:rPr>
                      <w:rFonts w:hint="default" w:ascii="Times New Roman" w:hAnsi="Times New Roman" w:cs="Times New Roman"/>
                      <w:b w:val="0"/>
                      <w:bCs w:val="0"/>
                      <w:color w:val="auto"/>
                      <w:lang w:val="en-US" w:eastAsia="zh-CN"/>
                    </w:rPr>
                    <w:t>，本项目运营期废水为员工生活产生的生活污水，经厂区已建化粪池预处理后由厂区污水总排口进入</w:t>
                  </w:r>
                  <w:r>
                    <w:rPr>
                      <w:rFonts w:hint="eastAsia" w:ascii="Times New Roman" w:hAnsi="Times New Roman" w:cs="Times New Roman"/>
                      <w:b w:val="0"/>
                      <w:bCs w:val="0"/>
                      <w:color w:val="auto"/>
                      <w:lang w:val="en-US" w:eastAsia="zh-CN"/>
                    </w:rPr>
                    <w:t>市政</w:t>
                  </w:r>
                  <w:r>
                    <w:rPr>
                      <w:rFonts w:hint="default" w:ascii="Times New Roman" w:hAnsi="Times New Roman" w:cs="Times New Roman"/>
                      <w:b w:val="0"/>
                      <w:bCs w:val="0"/>
                      <w:color w:val="auto"/>
                      <w:lang w:val="en-US" w:eastAsia="zh-CN"/>
                    </w:rPr>
                    <w:t>污水管网，排入</w:t>
                  </w:r>
                  <w:r>
                    <w:rPr>
                      <w:rFonts w:hint="eastAsia" w:ascii="Times New Roman" w:hAnsi="Times New Roman" w:cs="Times New Roman"/>
                      <w:b w:val="0"/>
                      <w:bCs w:val="0"/>
                      <w:color w:val="auto"/>
                      <w:lang w:val="en-US" w:eastAsia="zh-CN"/>
                    </w:rPr>
                    <w:t>青阳县</w:t>
                  </w:r>
                  <w:r>
                    <w:rPr>
                      <w:rFonts w:hint="default" w:ascii="Times New Roman" w:hAnsi="Times New Roman" w:cs="Times New Roman"/>
                      <w:b w:val="0"/>
                      <w:bCs w:val="0"/>
                      <w:color w:val="auto"/>
                      <w:lang w:val="en-US" w:eastAsia="zh-CN"/>
                    </w:rPr>
                    <w:t>污水处理厂处理。本项目运营期</w:t>
                  </w:r>
                  <w:r>
                    <w:rPr>
                      <w:rFonts w:hint="eastAsia" w:ascii="Times New Roman" w:hAnsi="Times New Roman" w:cs="Times New Roman"/>
                      <w:b w:val="0"/>
                      <w:bCs w:val="0"/>
                      <w:color w:val="auto"/>
                      <w:lang w:val="en-US" w:eastAsia="zh-CN"/>
                    </w:rPr>
                    <w:t>激光切割粉尘通过下吸式集气罩收集后经一套布袋除尘器处理后由一根不低于15m排气筒（DA001）排放；锯床下料切割废气通过移动式袋式除尘器收集处理后通过车间无组织排放；焊接产生的颗粒物经移动式烟尘净化器处理后通过车间无组织排放；水性丙烯酸面漆喷漆产生的颗粒物（漆雾）和有机废气粉尘经喷漆房密闭负压收集先经干式漆雾过滤器处理再经两级活性炭吸附装置处理后由一根不低于15m排气筒（DA002）排放；晾干产生的有机废气经晾干房密闭负压收集后与喷漆废气合并进入两级活性炭吸附装置处理后由一根不低于15m排气筒（DA002）排放</w:t>
                  </w:r>
                  <w:r>
                    <w:rPr>
                      <w:rFonts w:hint="default" w:ascii="Times New Roman" w:hAnsi="Times New Roman" w:cs="Times New Roman"/>
                      <w:b w:val="0"/>
                      <w:bCs w:val="0"/>
                      <w:color w:val="auto"/>
                      <w:highlight w:val="none"/>
                      <w:lang w:val="en-US" w:eastAsia="zh-CN"/>
                    </w:rPr>
                    <w:t>。</w:t>
                  </w:r>
                  <w:r>
                    <w:rPr>
                      <w:rFonts w:hint="default" w:ascii="Times New Roman" w:hAnsi="Times New Roman" w:cs="Times New Roman"/>
                      <w:b w:val="0"/>
                      <w:bCs w:val="0"/>
                      <w:color w:val="auto"/>
                      <w:lang w:val="en-US" w:eastAsia="zh-CN"/>
                    </w:rPr>
                    <w:t>固废分类暂存，定期委托相应有资质单位处理处置，故本项目产生的废气、废水、废渣、噪声均提出了合理、可靠的污染防治措施，能确保项目后期长期稳定运行。</w:t>
                  </w:r>
                </w:p>
              </w:tc>
              <w:tc>
                <w:tcPr>
                  <w:tcW w:w="670" w:type="dxa"/>
                  <w:tcBorders>
                    <w:tl2br w:val="nil"/>
                    <w:tr2bl w:val="nil"/>
                  </w:tcBorders>
                  <w:vAlign w:val="center"/>
                </w:tcPr>
                <w:p w14:paraId="7F9FC05B">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77698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74" w:hRule="atLeast"/>
                <w:jc w:val="center"/>
              </w:trPr>
              <w:tc>
                <w:tcPr>
                  <w:tcW w:w="1163" w:type="dxa"/>
                  <w:vMerge w:val="continue"/>
                  <w:tcBorders>
                    <w:tl2br w:val="nil"/>
                    <w:tr2bl w:val="nil"/>
                  </w:tcBorders>
                  <w:vAlign w:val="center"/>
                </w:tcPr>
                <w:p w14:paraId="7809B284">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0DE1BC1A">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加快实施工业源VOCs污染防治：推广使用高固体分、粉末涂料；积极采用自动喷涂、静电喷涂等先进的涂装技术。加强有机废气收集与治理，有机废气收集率不低于80%，其中卷材行业加强烘烤废气收集，有机废气的收集效率达到90%以上，配套建设燃烧等治理设施，实现达标排放。</w:t>
                  </w:r>
                </w:p>
              </w:tc>
              <w:tc>
                <w:tcPr>
                  <w:tcW w:w="2481" w:type="dxa"/>
                  <w:tcBorders>
                    <w:tl2br w:val="nil"/>
                    <w:tr2bl w:val="nil"/>
                  </w:tcBorders>
                  <w:vAlign w:val="center"/>
                </w:tcPr>
                <w:p w14:paraId="12872723">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w:t>
                  </w:r>
                  <w:r>
                    <w:rPr>
                      <w:rFonts w:hint="eastAsia" w:ascii="Times New Roman" w:hAnsi="Times New Roman" w:cs="Times New Roman"/>
                      <w:b w:val="0"/>
                      <w:bCs w:val="0"/>
                      <w:color w:val="auto"/>
                      <w:lang w:val="en-US" w:eastAsia="zh-CN"/>
                    </w:rPr>
                    <w:t>使用的</w:t>
                  </w:r>
                  <w:r>
                    <w:rPr>
                      <w:rFonts w:hint="default" w:ascii="Times New Roman" w:hAnsi="Times New Roman" w:cs="Times New Roman"/>
                      <w:b w:val="0"/>
                      <w:bCs w:val="0"/>
                      <w:color w:val="auto"/>
                      <w:lang w:val="en-US" w:eastAsia="zh-CN"/>
                    </w:rPr>
                    <w:t>涂料</w:t>
                  </w:r>
                  <w:r>
                    <w:rPr>
                      <w:rFonts w:hint="eastAsia" w:ascii="Times New Roman" w:hAnsi="Times New Roman" w:cs="Times New Roman"/>
                      <w:b w:val="0"/>
                      <w:bCs w:val="0"/>
                      <w:color w:val="auto"/>
                      <w:lang w:val="en-US" w:eastAsia="zh-CN"/>
                    </w:rPr>
                    <w:t>为水性涂料，根据其VOC检测报告，本项目使用的水性丙烯酸面漆中挥发性有机物含量为31g/L，符合《低挥发性有机化合物含量涂料产品技术要求》（GB/T38597-2020）表1水性涂料中VOC含量的要求</w:t>
                  </w:r>
                  <w:r>
                    <w:rPr>
                      <w:rFonts w:hint="default" w:ascii="Times New Roman" w:hAnsi="Times New Roman" w:cs="Times New Roman"/>
                      <w:b w:val="0"/>
                      <w:bCs w:val="0"/>
                      <w:color w:val="auto"/>
                      <w:lang w:val="en-US" w:eastAsia="zh-CN"/>
                    </w:rPr>
                    <w:t>。</w:t>
                  </w:r>
                  <w:r>
                    <w:rPr>
                      <w:rFonts w:hint="eastAsia" w:ascii="Times New Roman" w:hAnsi="Times New Roman" w:cs="Times New Roman"/>
                      <w:b w:val="0"/>
                      <w:bCs w:val="0"/>
                      <w:color w:val="auto"/>
                      <w:lang w:val="en-US" w:eastAsia="zh-CN"/>
                    </w:rPr>
                    <w:t>且本项目水性丙烯酸面漆喷漆产生的颗粒物（漆雾）和有机废气粉尘经喷漆房密闭负压收集先经干式漆雾过滤器处理再经两级活性炭吸附装置处理后由一根不低于15m排气筒（DA002）排放；晾干产生的有机废气经晾干房密闭负压收集后与喷漆废气合并进入两级活性炭吸附装置处理后由一根不低于15m排气筒（DA002）排放，</w:t>
                  </w:r>
                  <w:r>
                    <w:rPr>
                      <w:rFonts w:hint="default" w:ascii="Times New Roman" w:hAnsi="Times New Roman" w:cs="Times New Roman"/>
                      <w:b w:val="0"/>
                      <w:bCs w:val="0"/>
                      <w:color w:val="auto"/>
                      <w:lang w:val="en-US" w:eastAsia="zh-CN"/>
                    </w:rPr>
                    <w:t>有机废气的收集效率达到9</w:t>
                  </w:r>
                  <w:r>
                    <w:rPr>
                      <w:rFonts w:hint="eastAsia" w:ascii="Times New Roman" w:hAnsi="Times New Roman" w:cs="Times New Roman"/>
                      <w:b w:val="0"/>
                      <w:bCs w:val="0"/>
                      <w:color w:val="auto"/>
                      <w:lang w:val="en-US" w:eastAsia="zh-CN"/>
                    </w:rPr>
                    <w:t>9%。</w:t>
                  </w:r>
                </w:p>
              </w:tc>
              <w:tc>
                <w:tcPr>
                  <w:tcW w:w="670" w:type="dxa"/>
                  <w:tcBorders>
                    <w:tl2br w:val="nil"/>
                    <w:tr2bl w:val="nil"/>
                  </w:tcBorders>
                  <w:vAlign w:val="center"/>
                </w:tcPr>
                <w:p w14:paraId="40FB88B9">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2DC79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48" w:hRule="atLeast"/>
                <w:jc w:val="center"/>
              </w:trPr>
              <w:tc>
                <w:tcPr>
                  <w:tcW w:w="1163" w:type="dxa"/>
                  <w:vMerge w:val="restart"/>
                  <w:tcBorders>
                    <w:tl2br w:val="nil"/>
                    <w:tr2bl w:val="nil"/>
                  </w:tcBorders>
                  <w:vAlign w:val="center"/>
                </w:tcPr>
                <w:p w14:paraId="3C7CC188">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《安徽省挥发性有机物污染整治工作方案》</w:t>
                  </w:r>
                </w:p>
              </w:tc>
              <w:tc>
                <w:tcPr>
                  <w:tcW w:w="3778" w:type="dxa"/>
                  <w:tcBorders>
                    <w:tl2br w:val="nil"/>
                    <w:tr2bl w:val="nil"/>
                  </w:tcBorders>
                  <w:vAlign w:val="center"/>
                </w:tcPr>
                <w:p w14:paraId="32DF8936">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在城市建成区、自然保护区、水源保护区、风景名胜区、森林公园、重要湿地、生态敏感区和其他重要生态功能区实行强制性保护，禁止新建VOCs高污染企业。</w:t>
                  </w:r>
                </w:p>
              </w:tc>
              <w:tc>
                <w:tcPr>
                  <w:tcW w:w="2481" w:type="dxa"/>
                  <w:vMerge w:val="restart"/>
                  <w:tcBorders>
                    <w:tl2br w:val="nil"/>
                    <w:tr2bl w:val="nil"/>
                  </w:tcBorders>
                  <w:vAlign w:val="center"/>
                </w:tcPr>
                <w:p w14:paraId="22A1E6DE">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本项目选址位于安徽省池州市青阳县经济开发区东河园区；项目在设计上合理布置生产布局，有机废气产生工序中能做到收集，收集有机废气经两级活性炭吸附处理后外排；物料运输采用密闭吨桶进行封闭运输。</w:t>
                  </w:r>
                </w:p>
              </w:tc>
              <w:tc>
                <w:tcPr>
                  <w:tcW w:w="670" w:type="dxa"/>
                  <w:vMerge w:val="restart"/>
                  <w:tcBorders>
                    <w:tl2br w:val="nil"/>
                    <w:tr2bl w:val="nil"/>
                  </w:tcBorders>
                  <w:vAlign w:val="center"/>
                </w:tcPr>
                <w:p w14:paraId="510BF291">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70539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1163" w:type="dxa"/>
                  <w:vMerge w:val="continue"/>
                  <w:tcBorders>
                    <w:tl2br w:val="nil"/>
                    <w:tr2bl w:val="nil"/>
                  </w:tcBorders>
                  <w:vAlign w:val="center"/>
                </w:tcPr>
                <w:p w14:paraId="01ADBF4B">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12B2BE97">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严格各类产业园区设立和布局，各类产业园区必须履行规划环评，通过规划环评和项目环评联动，促进产业布局调整优化。</w:t>
                  </w:r>
                </w:p>
              </w:tc>
              <w:tc>
                <w:tcPr>
                  <w:tcW w:w="2481" w:type="dxa"/>
                  <w:vMerge w:val="continue"/>
                  <w:tcBorders>
                    <w:tl2br w:val="nil"/>
                    <w:tr2bl w:val="nil"/>
                  </w:tcBorders>
                  <w:vAlign w:val="center"/>
                </w:tcPr>
                <w:p w14:paraId="2A0A1E12">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p>
              </w:tc>
              <w:tc>
                <w:tcPr>
                  <w:tcW w:w="670" w:type="dxa"/>
                  <w:vMerge w:val="continue"/>
                  <w:tcBorders>
                    <w:tl2br w:val="nil"/>
                    <w:tr2bl w:val="nil"/>
                  </w:tcBorders>
                  <w:vAlign w:val="center"/>
                </w:tcPr>
                <w:p w14:paraId="6DB11C43">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r>
            <w:tr w14:paraId="4FB62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3" w:hRule="atLeast"/>
                <w:jc w:val="center"/>
              </w:trPr>
              <w:tc>
                <w:tcPr>
                  <w:tcW w:w="1163" w:type="dxa"/>
                  <w:vMerge w:val="continue"/>
                  <w:tcBorders>
                    <w:tl2br w:val="nil"/>
                    <w:tr2bl w:val="nil"/>
                  </w:tcBorders>
                  <w:vAlign w:val="center"/>
                </w:tcPr>
                <w:p w14:paraId="2C512FF3">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2077392B">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将控制挥发性有机物排放列入建设项目环境影响评价重要内容，严格环境准入，严控“两高”行业新增产能。</w:t>
                  </w:r>
                </w:p>
              </w:tc>
              <w:tc>
                <w:tcPr>
                  <w:tcW w:w="2481" w:type="dxa"/>
                  <w:vMerge w:val="continue"/>
                  <w:tcBorders>
                    <w:tl2br w:val="nil"/>
                    <w:tr2bl w:val="nil"/>
                  </w:tcBorders>
                  <w:vAlign w:val="center"/>
                </w:tcPr>
                <w:p w14:paraId="60802F5F">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p>
              </w:tc>
              <w:tc>
                <w:tcPr>
                  <w:tcW w:w="670" w:type="dxa"/>
                  <w:vMerge w:val="continue"/>
                  <w:tcBorders>
                    <w:tl2br w:val="nil"/>
                    <w:tr2bl w:val="nil"/>
                  </w:tcBorders>
                  <w:vAlign w:val="center"/>
                </w:tcPr>
                <w:p w14:paraId="6BEDEDFA">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r>
            <w:tr w14:paraId="6294F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63" w:type="dxa"/>
                  <w:vMerge w:val="continue"/>
                  <w:tcBorders>
                    <w:tl2br w:val="nil"/>
                    <w:tr2bl w:val="nil"/>
                  </w:tcBorders>
                  <w:vAlign w:val="center"/>
                </w:tcPr>
                <w:p w14:paraId="753E70D4">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0F7ECF1E">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新建、迁建VOCs排放量大的企业应入工业园区并符合规划要求，必须建设挥发性有机物污染治理设施，安装废气收集、回收或净化装置，原则上总净化效率不得低于90%。建立VOCs排放总量控制制度。</w:t>
                  </w:r>
                </w:p>
              </w:tc>
              <w:tc>
                <w:tcPr>
                  <w:tcW w:w="2481" w:type="dxa"/>
                  <w:vMerge w:val="continue"/>
                  <w:tcBorders>
                    <w:tl2br w:val="nil"/>
                    <w:tr2bl w:val="nil"/>
                  </w:tcBorders>
                  <w:vAlign w:val="center"/>
                </w:tcPr>
                <w:p w14:paraId="7F1769BB">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p>
              </w:tc>
              <w:tc>
                <w:tcPr>
                  <w:tcW w:w="670" w:type="dxa"/>
                  <w:vMerge w:val="continue"/>
                  <w:tcBorders>
                    <w:tl2br w:val="nil"/>
                    <w:tr2bl w:val="nil"/>
                  </w:tcBorders>
                  <w:vAlign w:val="center"/>
                </w:tcPr>
                <w:p w14:paraId="731556A8">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r>
            <w:tr w14:paraId="4E9B5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3" w:hRule="atLeast"/>
                <w:jc w:val="center"/>
              </w:trPr>
              <w:tc>
                <w:tcPr>
                  <w:tcW w:w="1163" w:type="dxa"/>
                  <w:vMerge w:val="continue"/>
                  <w:tcBorders>
                    <w:tl2br w:val="nil"/>
                    <w:tr2bl w:val="nil"/>
                  </w:tcBorders>
                  <w:vAlign w:val="center"/>
                </w:tcPr>
                <w:p w14:paraId="54FE6CE0">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6D402B86">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加强企业内部管理，明确VOCs处理装置管理和监控方案，提升现场管理水平，确保VOCs处理装置长期有效运行。加强基础工作，建立完善的“一厂一档”，与VOCs排放相关原辅料、溶剂使用、产品生产及输出、废气处理、污染物排放、在线监控等信息应进行跟踪记录，以满足企业VOCs实际及潜在排放量查证需要，确保企业VOCs处理装置运行效果。</w:t>
                  </w:r>
                </w:p>
              </w:tc>
              <w:tc>
                <w:tcPr>
                  <w:tcW w:w="2481" w:type="dxa"/>
                  <w:vMerge w:val="continue"/>
                  <w:tcBorders>
                    <w:tl2br w:val="nil"/>
                    <w:tr2bl w:val="nil"/>
                  </w:tcBorders>
                  <w:vAlign w:val="center"/>
                </w:tcPr>
                <w:p w14:paraId="6A1C23CD">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p>
              </w:tc>
              <w:tc>
                <w:tcPr>
                  <w:tcW w:w="670" w:type="dxa"/>
                  <w:vMerge w:val="continue"/>
                  <w:tcBorders>
                    <w:tl2br w:val="nil"/>
                    <w:tr2bl w:val="nil"/>
                  </w:tcBorders>
                  <w:vAlign w:val="center"/>
                </w:tcPr>
                <w:p w14:paraId="612647F6">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p>
              </w:tc>
            </w:tr>
            <w:tr w14:paraId="6D1FA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63" w:type="dxa"/>
                  <w:vMerge w:val="restart"/>
                  <w:tcBorders>
                    <w:tl2br w:val="nil"/>
                    <w:tr2bl w:val="nil"/>
                  </w:tcBorders>
                  <w:vAlign w:val="center"/>
                </w:tcPr>
                <w:p w14:paraId="2852650C">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《安徽省“十四五”生态环境保护规划》皖环发</w:t>
                  </w:r>
                  <w:r>
                    <w:rPr>
                      <w:rFonts w:hint="eastAsia" w:ascii="Times New Roman" w:hAnsi="Times New Roman" w:cs="Times New Roman"/>
                      <w:b w:val="0"/>
                      <w:bCs w:val="0"/>
                      <w:color w:val="auto"/>
                      <w:lang w:val="en-US" w:eastAsia="zh-CN"/>
                    </w:rPr>
                    <w:t>〔2022〕8号</w:t>
                  </w:r>
                </w:p>
              </w:tc>
              <w:tc>
                <w:tcPr>
                  <w:tcW w:w="3778" w:type="dxa"/>
                  <w:tcBorders>
                    <w:tl2br w:val="nil"/>
                    <w:tr2bl w:val="nil"/>
                  </w:tcBorders>
                  <w:vAlign w:val="center"/>
                </w:tcPr>
                <w:p w14:paraId="69B5ED2D">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三、全面推动绿色转型发展。深入推进生态省建设，坚持绿色发展导向，持续推动</w:t>
                  </w:r>
                  <w:r>
                    <w:rPr>
                      <w:rFonts w:hint="eastAsia" w:ascii="Times New Roman" w:hAnsi="Times New Roman" w:cs="Times New Roman"/>
                      <w:b w:val="0"/>
                      <w:bCs w:val="0"/>
                      <w:color w:val="auto"/>
                      <w:lang w:val="en-US" w:eastAsia="zh-CN"/>
                    </w:rPr>
                    <w:t>产业结构、能源结构、交通运输结构</w:t>
                  </w:r>
                  <w:r>
                    <w:rPr>
                      <w:rFonts w:hint="default" w:ascii="Times New Roman" w:hAnsi="Times New Roman" w:cs="Times New Roman"/>
                      <w:b w:val="0"/>
                      <w:bCs w:val="0"/>
                      <w:color w:val="auto"/>
                      <w:lang w:val="en-US" w:eastAsia="zh-CN"/>
                    </w:rPr>
                    <w:t>调整，倡导绿色低碳生活方式，依托“三地一区”建设，打造引领高质量发展强大引擎，为现代化美好安徽建设贡献力量。</w:t>
                  </w:r>
                </w:p>
                <w:p w14:paraId="2E07772C">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一）加快产业结构转型升级以钢铁、水泥、石化、化工、玻璃、有色、印染等行业为重点，开展全流程清洁化、循环化、低碳化改造，促进传统产业绿色转型升级，在火电、钢铁、建材等行业开展减污降碳协同增效。支持各市因地制宜制定化工项目入园标准，建立入园项目准入评审制度，加快淘汰落后低端产能，加大新基建、高新技术产业、新能源汽车等产业的支持力度，构建高效节能、先进环保和资源循环利用的绿色产业体系，充分发挥生态环境保护引导、优化和倒逼作用，加快生产方式绿色转型，提升经济发展质量。围绕合肥都市圈、皖江城市带、淮河生态经济带、新安江生态经济示范区等区域发展，大力推进产业布局调整和结构优化。高水平打造皖北承接产业转移集聚区，加快阜阳、淮南、淮北等煤化工企业绿色转型升级。在皖西大别山区、皖南山区重点发展现代农业、文化旅游、大健康、医药产业、农产品加工等特色产业及配套产业。强化开发区和产业集群升级改造，实施“一园一策”“一行一策”战略，推动一批行业达到长三角区域先进水平。</w:t>
                  </w:r>
                </w:p>
              </w:tc>
              <w:tc>
                <w:tcPr>
                  <w:tcW w:w="2481" w:type="dxa"/>
                  <w:tcBorders>
                    <w:tl2br w:val="nil"/>
                    <w:tr2bl w:val="nil"/>
                  </w:tcBorders>
                  <w:vAlign w:val="center"/>
                </w:tcPr>
                <w:p w14:paraId="21CCAAF5">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（1）项目建设符合《安徽青阳经济开发区总体发展规划》</w:t>
                  </w:r>
                  <w:r>
                    <w:rPr>
                      <w:rFonts w:hint="eastAsia" w:ascii="Times New Roman" w:hAnsi="Times New Roman" w:cs="Times New Roman"/>
                      <w:b w:val="0"/>
                      <w:bCs w:val="0"/>
                      <w:color w:val="auto"/>
                      <w:lang w:val="en-US" w:eastAsia="zh-CN"/>
                    </w:rPr>
                    <w:t>（2021-2030年</w:t>
                  </w:r>
                  <w:r>
                    <w:rPr>
                      <w:rFonts w:hint="default" w:ascii="Times New Roman" w:hAnsi="Times New Roman" w:cs="Times New Roman"/>
                      <w:b w:val="0"/>
                      <w:bCs w:val="0"/>
                      <w:color w:val="auto"/>
                      <w:lang w:val="en-US" w:eastAsia="zh-CN"/>
                    </w:rPr>
                    <w:t>）环境影响报告书》及其审查意见（皖环函</w:t>
                  </w:r>
                  <w:r>
                    <w:rPr>
                      <w:rFonts w:hint="eastAsia" w:ascii="Times New Roman" w:hAnsi="Times New Roman" w:cs="Times New Roman"/>
                      <w:b w:val="0"/>
                      <w:bCs w:val="0"/>
                      <w:color w:val="auto"/>
                      <w:lang w:val="en-US" w:eastAsia="zh-CN"/>
                    </w:rPr>
                    <w:t>〔2021〕701号</w:t>
                  </w:r>
                  <w:r>
                    <w:rPr>
                      <w:rFonts w:hint="default" w:ascii="Times New Roman" w:hAnsi="Times New Roman" w:cs="Times New Roman"/>
                      <w:b w:val="0"/>
                      <w:bCs w:val="0"/>
                      <w:color w:val="auto"/>
                      <w:lang w:val="en-US" w:eastAsia="zh-CN"/>
                    </w:rPr>
                    <w:t>）要求；符合《产业结构调整指导目录（2024年本）》产业政策要求；</w:t>
                  </w:r>
                </w:p>
                <w:p w14:paraId="10EE2ED4">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（2）本项目的建设满足区域水资源承载力和水环境质量防控要求，满足清洁生产要求。</w:t>
                  </w:r>
                </w:p>
              </w:tc>
              <w:tc>
                <w:tcPr>
                  <w:tcW w:w="670" w:type="dxa"/>
                  <w:tcBorders>
                    <w:tl2br w:val="nil"/>
                    <w:tr2bl w:val="nil"/>
                  </w:tcBorders>
                  <w:vAlign w:val="center"/>
                </w:tcPr>
                <w:p w14:paraId="2998A04B">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2DCBA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63" w:type="dxa"/>
                  <w:vMerge w:val="continue"/>
                  <w:tcBorders>
                    <w:tl2br w:val="nil"/>
                    <w:tr2bl w:val="nil"/>
                  </w:tcBorders>
                  <w:vAlign w:val="center"/>
                </w:tcPr>
                <w:p w14:paraId="1D6C060D">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21C3FB98">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四、切实推进生态环境持续改善</w:t>
                  </w:r>
                </w:p>
                <w:p w14:paraId="073144C1">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（三）深入</w:t>
                  </w:r>
                  <w:r>
                    <w:rPr>
                      <w:rFonts w:hint="eastAsia" w:ascii="Times New Roman" w:hAnsi="Times New Roman" w:cs="Times New Roman"/>
                      <w:b w:val="0"/>
                      <w:bCs w:val="0"/>
                      <w:color w:val="auto"/>
                      <w:lang w:val="en-US" w:eastAsia="zh-CN"/>
                    </w:rPr>
                    <w:t>打好蓝天、碧水、净土保卫战</w:t>
                  </w:r>
                </w:p>
                <w:p w14:paraId="6DBE7633">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精准施策，持续改善大气环境</w:t>
                  </w:r>
                </w:p>
                <w:p w14:paraId="00A6A1C7">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1）坚持分区施策，加强污染协同控制。梯次推进城市空气环境质量改善，已达标的城市，应当加强保护并持续改善，未达标的城市，制定实施限期达标规划，明确阶段性改善目标、达标时间表、路线图和实施的重点任务。到2025年，已达标城市（芜湖市、宣城市、黄山市、池州市、铜陵市）空气环境质量持续改善；皖北六市（淮北市、淮南市、亳州市、蚌埠市、阜阳市、宿州市）细颗粒物（PM2.5）降幅高于全省平均；其余城市（合肥市、安庆市、马鞍山市、六安市、滁州市）细颗粒物（PM5）达标。开展城市、省级交界市县重污染天气成因及污染物来源精准分析。统筹考虑细颗粒物（PM25）和臭氧污染区域传输规律和季节性特征，加强重点区域、重点时段、重点领域、重点行业治理，强化分区分时分类差异化和精细化协同管控。</w:t>
                  </w:r>
                </w:p>
              </w:tc>
              <w:tc>
                <w:tcPr>
                  <w:tcW w:w="2481" w:type="dxa"/>
                  <w:tcBorders>
                    <w:tl2br w:val="nil"/>
                    <w:tr2bl w:val="nil"/>
                  </w:tcBorders>
                  <w:vAlign w:val="center"/>
                </w:tcPr>
                <w:p w14:paraId="0C74B7F6">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本项目位于安徽省池州市青阳县经济开发区东河园区，根据池州市2024年环境质量状况公报，池州市为达标区。</w:t>
                  </w:r>
                </w:p>
              </w:tc>
              <w:tc>
                <w:tcPr>
                  <w:tcW w:w="670" w:type="dxa"/>
                  <w:tcBorders>
                    <w:tl2br w:val="nil"/>
                    <w:tr2bl w:val="nil"/>
                  </w:tcBorders>
                  <w:vAlign w:val="center"/>
                </w:tcPr>
                <w:p w14:paraId="190DC212">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761D0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63" w:type="dxa"/>
                  <w:vMerge w:val="continue"/>
                  <w:tcBorders>
                    <w:tl2br w:val="nil"/>
                    <w:tr2bl w:val="nil"/>
                  </w:tcBorders>
                  <w:vAlign w:val="center"/>
                </w:tcPr>
                <w:p w14:paraId="2AB56924">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13DFB791">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持续推进固定污染源治理。实施窑炉深度治理加快推进钢铁、玻璃、铸造、有色、焦化等行业污染深度治理；持续推进火电、水泥行业绩效提升改造；加强自备燃煤机组污染治理设施运行管控，确保按照超低排放运行；加强建材行业全流程无组织排放管控，开展不达标燃煤设施清理整治，加大皖北地区散煤清理力度，推进农副产品加工领域散煤治理。强化挥发性有机物</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VOCs</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治理精细化管理在石化、化工、包装印刷、工业涂装等重点行业建立完善源头、过程和末端的VOCs全过程控制体系，实施VOCs排放总量控制；全面推进使用低VOCs含量涂料、油墨、胶粘剂、清洗剂等；加强汽修、干洗、餐饮等生活源VOCs综合治理；推进皖北地区胶合板、家具制造等产业集群升级改造，推进开发区、企业集群因地制宜推广建设涉VOCs“绿岛”项目：推动涂装类统筹规划建设集中涂装中心，活性炭使用量大的统筹建设活性炭集中处理中心，有机溶剂使用量大的建设溶剂回收中心。全面推进清洁城市行动，推行绿色施工，强化道路绿化用地扬尘治理，以煤炭、矿石、干散货码头物料堆场为重点，推进抑尘设施建设和物料输送系统封闭改造；依法严禁秸秆、垃圾等露天焚烧。探索建立大气氨规范化排放清单，推进养殖业、种植业大气氨减排。扩大重污染天气重点行业绩效分级和应急减排的实施范围，完善差异化管控机制。</w:t>
                  </w:r>
                </w:p>
              </w:tc>
              <w:tc>
                <w:tcPr>
                  <w:tcW w:w="2481" w:type="dxa"/>
                  <w:tcBorders>
                    <w:tl2br w:val="nil"/>
                    <w:tr2bl w:val="nil"/>
                  </w:tcBorders>
                  <w:vAlign w:val="center"/>
                </w:tcPr>
                <w:p w14:paraId="711FE2DE">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根据《2017年国民经济行业分类》</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GB/T4754-2017</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及修改单，本项目属于C3422</w:t>
                  </w:r>
                  <w:r>
                    <w:rPr>
                      <w:rFonts w:hint="eastAsia" w:ascii="Times New Roman" w:hAnsi="Times New Roman" w:cs="Times New Roman"/>
                      <w:b w:val="0"/>
                      <w:bCs w:val="0"/>
                      <w:color w:val="auto"/>
                      <w:lang w:val="en-US" w:eastAsia="zh-CN"/>
                    </w:rPr>
                    <w:t>金属成形</w:t>
                  </w:r>
                  <w:r>
                    <w:rPr>
                      <w:rFonts w:hint="default" w:ascii="Times New Roman" w:hAnsi="Times New Roman" w:cs="Times New Roman"/>
                      <w:b w:val="0"/>
                      <w:bCs w:val="0"/>
                      <w:color w:val="auto"/>
                      <w:lang w:val="en-US" w:eastAsia="zh-CN"/>
                    </w:rPr>
                    <w:t>机床制造、C3423铸造机械制造、C3461烘炉、熔炉及电炉制造，不属于钢铁、玻璃、铸造、有色、焦化等行业；本项目VOCs产生环节主要为</w:t>
                  </w:r>
                  <w:r>
                    <w:rPr>
                      <w:rFonts w:hint="eastAsia" w:ascii="Times New Roman" w:hAnsi="Times New Roman" w:cs="Times New Roman"/>
                      <w:b w:val="0"/>
                      <w:bCs w:val="0"/>
                      <w:color w:val="auto"/>
                      <w:lang w:val="en-US" w:eastAsia="zh-CN"/>
                    </w:rPr>
                    <w:t>水性丙烯酸面漆喷漆、晾干产生的有机废气，</w:t>
                  </w:r>
                  <w:r>
                    <w:rPr>
                      <w:rFonts w:hint="default" w:ascii="Times New Roman" w:hAnsi="Times New Roman" w:cs="Times New Roman"/>
                      <w:b w:val="0"/>
                      <w:bCs w:val="0"/>
                      <w:color w:val="auto"/>
                      <w:lang w:val="en-US" w:eastAsia="zh-CN"/>
                    </w:rPr>
                    <w:t>均收集处理后有组织排放。项目使用</w:t>
                  </w:r>
                  <w:r>
                    <w:rPr>
                      <w:rFonts w:hint="eastAsia" w:ascii="Times New Roman" w:hAnsi="Times New Roman" w:cs="Times New Roman"/>
                      <w:b w:val="0"/>
                      <w:bCs w:val="0"/>
                      <w:color w:val="auto"/>
                      <w:lang w:val="en-US" w:eastAsia="zh-CN"/>
                    </w:rPr>
                    <w:t>水性丙烯酸面漆</w:t>
                  </w:r>
                  <w:r>
                    <w:rPr>
                      <w:rFonts w:hint="default" w:ascii="Times New Roman" w:hAnsi="Times New Roman" w:cs="Times New Roman"/>
                      <w:b w:val="0"/>
                      <w:bCs w:val="0"/>
                      <w:color w:val="auto"/>
                      <w:lang w:val="en-US" w:eastAsia="zh-CN"/>
                    </w:rPr>
                    <w:t>等含VOCs的</w:t>
                  </w:r>
                  <w:r>
                    <w:rPr>
                      <w:rFonts w:hint="eastAsia" w:ascii="Times New Roman" w:hAnsi="Times New Roman" w:cs="Times New Roman"/>
                      <w:b w:val="0"/>
                      <w:bCs w:val="0"/>
                      <w:color w:val="auto"/>
                      <w:lang w:val="en-US" w:eastAsia="zh-CN"/>
                    </w:rPr>
                    <w:t>辅</w:t>
                  </w:r>
                  <w:r>
                    <w:rPr>
                      <w:rFonts w:hint="default" w:ascii="Times New Roman" w:hAnsi="Times New Roman" w:cs="Times New Roman"/>
                      <w:b w:val="0"/>
                      <w:bCs w:val="0"/>
                      <w:color w:val="auto"/>
                      <w:lang w:val="en-US" w:eastAsia="zh-CN"/>
                    </w:rPr>
                    <w:t>料采用桶装密闭储存在辅料</w:t>
                  </w:r>
                  <w:r>
                    <w:rPr>
                      <w:rFonts w:hint="eastAsia" w:ascii="Times New Roman" w:hAnsi="Times New Roman" w:cs="Times New Roman"/>
                      <w:b w:val="0"/>
                      <w:bCs w:val="0"/>
                      <w:color w:val="auto"/>
                      <w:lang w:val="en-US" w:eastAsia="zh-CN"/>
                    </w:rPr>
                    <w:t>库</w:t>
                  </w:r>
                  <w:r>
                    <w:rPr>
                      <w:rFonts w:hint="default" w:ascii="Times New Roman" w:hAnsi="Times New Roman" w:cs="Times New Roman"/>
                      <w:b w:val="0"/>
                      <w:bCs w:val="0"/>
                      <w:color w:val="auto"/>
                      <w:lang w:val="en-US" w:eastAsia="zh-CN"/>
                    </w:rPr>
                    <w:t>内，在非取用状态时料桶均保持封口。</w:t>
                  </w:r>
                </w:p>
              </w:tc>
              <w:tc>
                <w:tcPr>
                  <w:tcW w:w="670" w:type="dxa"/>
                  <w:tcBorders>
                    <w:tl2br w:val="nil"/>
                    <w:tr2bl w:val="nil"/>
                  </w:tcBorders>
                  <w:vAlign w:val="center"/>
                </w:tcPr>
                <w:p w14:paraId="0003178A">
                  <w:pPr>
                    <w:pStyle w:val="37"/>
                    <w:keepNext w:val="0"/>
                    <w:keepLines w:val="0"/>
                    <w:pageBreakBefore w:val="0"/>
                    <w:widowControl w:val="0"/>
                    <w:kinsoku/>
                    <w:wordWrap/>
                    <w:topLinePunct w:val="0"/>
                    <w:bidi w:val="0"/>
                    <w:adjustRightInd w:val="0"/>
                    <w:snapToGrid w:val="0"/>
                    <w:spacing w:after="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0159B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91" w:hRule="atLeast"/>
                <w:jc w:val="center"/>
              </w:trPr>
              <w:tc>
                <w:tcPr>
                  <w:tcW w:w="1163" w:type="dxa"/>
                  <w:vMerge w:val="restart"/>
                  <w:tcBorders>
                    <w:tl2br w:val="nil"/>
                    <w:tr2bl w:val="nil"/>
                  </w:tcBorders>
                  <w:vAlign w:val="center"/>
                </w:tcPr>
                <w:p w14:paraId="29D8B3B2">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《安徽省“十四五”重点流域水生态环境保护规划》的通知，皖环发</w:t>
                  </w:r>
                  <w:r>
                    <w:rPr>
                      <w:rFonts w:hint="eastAsia" w:ascii="Times New Roman" w:hAnsi="Times New Roman" w:cs="Times New Roman"/>
                      <w:b w:val="0"/>
                      <w:bCs w:val="0"/>
                      <w:color w:val="auto"/>
                      <w:lang w:val="en-US" w:eastAsia="zh-CN"/>
                    </w:rPr>
                    <w:t>〔2022〕17号</w:t>
                  </w:r>
                </w:p>
              </w:tc>
              <w:tc>
                <w:tcPr>
                  <w:tcW w:w="3778" w:type="dxa"/>
                  <w:tcBorders>
                    <w:tl2br w:val="nil"/>
                    <w:tr2bl w:val="nil"/>
                  </w:tcBorders>
                  <w:vAlign w:val="center"/>
                </w:tcPr>
                <w:p w14:paraId="2667DA60">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第三章 规划任务要求</w:t>
                  </w:r>
                </w:p>
                <w:p w14:paraId="1973C60B">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第一节 着力推进经济社会发展绿色转型</w:t>
                  </w:r>
                </w:p>
                <w:p w14:paraId="7D035842">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（1）调整产业结构。</w:t>
                  </w:r>
                </w:p>
                <w:p w14:paraId="11BEDB97">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充分发挥生态环境保护引导、优化和倒逼作用，强化安徽省“三线一单”成果在政策制定、环境准入、园区管理、执法监管等方面的落地应用，实现生态环境分区管控。严格执行《长江经济带发展负面清单指南（试行）》《安徽省长江经济带发展负面清单实施细则（试行）》，落实长江（安徽）经济带“1515”岸线分级管控措施，促进传统产业转型升级。根据区域水资源、水环境承载能力，严格控制淮河、巢湖流域重污染行业项目建设。研究制定农药、电镀、养殖尾水、半导体行业等水污染物排放标准，精准、科学制定差别化管控要求。依法依规开展产业园区规划环境影响评价，强化开发区和产业集群升级改造，推动十大新兴产业高质量发展。</w:t>
                  </w:r>
                </w:p>
                <w:p w14:paraId="6064C96B">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（2）优化空间布局。</w:t>
                  </w:r>
                </w:p>
                <w:p w14:paraId="7C2B820A">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坚持以水定城、以水定地、以水定人、以水定产，严格控制缺水地区、水污染严重地区和敏感区域高耗水、高污染行业发展，鼓励推动高耗水企业向水资源条件允许的工业园区集中。引导石化、化工、钢铁、建材、有色金属等重点行业合理布局，提高化工、有色金属、农副食品加工、印染制革、原料药制造、电镀等行业集聚水平。持续开展涉水“散乱污”企业清理整治，严把能耗、环保等标准，促使一批达不到标准或淘汰类产能的企业，依法依规关停退出。</w:t>
                  </w:r>
                </w:p>
                <w:p w14:paraId="661F053C">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（3）加快推进绿色发展。</w:t>
                  </w:r>
                </w:p>
                <w:p w14:paraId="57D85A28">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推动石化、化工、印染、电镀、有色金属等重点行业制定清洁生产改造提升计划。依法开展自愿性清洁生产评价认证，鼓励开展行业、开发区和企业集群整体审核模式试点。聚焦节能、环保、资源循环利用等重点领域，大力开展招商引资招才引智，推进新能源与节能环保产业发展，带动重大水生态环境治理项目实施。推进既有产业园区和产业集群循环化改造，推动公共设施共建共享、能源梯级利用、资源循环利用和污染物集中安全处置等。加快农业绿色转型发展，充分发挥皖北粮食主产区综合优势，实施长三角绿色农产品生产加工供应基地建设行动计划。加强农林废弃物资源化利用、废旧农用物资回收利用，推行循环型农业发展模式。</w:t>
                  </w:r>
                </w:p>
              </w:tc>
              <w:tc>
                <w:tcPr>
                  <w:tcW w:w="2481" w:type="dxa"/>
                  <w:tcBorders>
                    <w:tl2br w:val="nil"/>
                    <w:tr2bl w:val="nil"/>
                  </w:tcBorders>
                  <w:vAlign w:val="center"/>
                </w:tcPr>
                <w:p w14:paraId="42FA64CB">
                  <w:pPr>
                    <w:pStyle w:val="37"/>
                    <w:keepNext w:val="0"/>
                    <w:keepLines w:val="0"/>
                    <w:pageBreakBefore w:val="0"/>
                    <w:widowControl w:val="0"/>
                    <w:numPr>
                      <w:ilvl w:val="0"/>
                      <w:numId w:val="0"/>
                    </w:numPr>
                    <w:kinsoku/>
                    <w:wordWrap/>
                    <w:topLinePunct w:val="0"/>
                    <w:bidi w:val="0"/>
                    <w:adjustRightInd w:val="0"/>
                    <w:snapToGrid w:val="0"/>
                    <w:spacing w:after="0"/>
                    <w:ind w:left="0" w:leftChars="0" w:firstLine="0" w:firstLineChars="0"/>
                    <w:jc w:val="both"/>
                    <w:rPr>
                      <w:rFonts w:hint="default" w:ascii="Times New Roman" w:hAnsi="Times New Roman" w:cs="Times New Roman"/>
                      <w:b w:val="0"/>
                      <w:bCs w:val="0"/>
                      <w:color w:val="auto"/>
                      <w:lang w:val="en-US" w:eastAsia="zh-CN"/>
                    </w:rPr>
                  </w:pPr>
                  <w:r>
                    <w:rPr>
                      <w:rFonts w:hint="default" w:ascii="Times New Roman" w:hAnsi="Times New Roman" w:eastAsia="宋体" w:cs="Times New Roman"/>
                      <w:b w:val="0"/>
                      <w:bCs w:val="0"/>
                      <w:snapToGrid w:val="0"/>
                      <w:color w:val="auto"/>
                      <w:spacing w:val="-3"/>
                      <w:kern w:val="0"/>
                      <w:sz w:val="21"/>
                      <w:szCs w:val="24"/>
                      <w:lang w:val="en-US" w:eastAsia="zh-CN" w:bidi="ar-SA"/>
                    </w:rPr>
                    <w:t>（1）</w:t>
                  </w:r>
                  <w:r>
                    <w:rPr>
                      <w:rFonts w:hint="default" w:ascii="Times New Roman" w:hAnsi="Times New Roman" w:cs="Times New Roman"/>
                      <w:b w:val="0"/>
                      <w:bCs w:val="0"/>
                      <w:color w:val="auto"/>
                      <w:lang w:val="en-US" w:eastAsia="zh-CN"/>
                    </w:rPr>
                    <w:t>对照《国民经济行业分类》（GB/T4754-2017），本项目属于C3422</w:t>
                  </w:r>
                  <w:r>
                    <w:rPr>
                      <w:rFonts w:hint="eastAsia" w:ascii="Times New Roman" w:hAnsi="Times New Roman" w:cs="Times New Roman"/>
                      <w:b w:val="0"/>
                      <w:bCs w:val="0"/>
                      <w:color w:val="auto"/>
                      <w:lang w:val="en-US" w:eastAsia="zh-CN"/>
                    </w:rPr>
                    <w:t>金属成形</w:t>
                  </w:r>
                  <w:r>
                    <w:rPr>
                      <w:rFonts w:hint="default" w:ascii="Times New Roman" w:hAnsi="Times New Roman" w:cs="Times New Roman"/>
                      <w:b w:val="0"/>
                      <w:bCs w:val="0"/>
                      <w:color w:val="auto"/>
                      <w:lang w:val="en-US" w:eastAsia="zh-CN"/>
                    </w:rPr>
                    <w:t>机床制造、C3423铸造机械制造、C3461烘炉、熔炉及电炉制造</w:t>
                  </w:r>
                  <w:r>
                    <w:rPr>
                      <w:rFonts w:hint="eastAsia" w:ascii="Times New Roman" w:hAnsi="Times New Roman" w:cs="Times New Roman"/>
                      <w:b w:val="0"/>
                      <w:bCs w:val="0"/>
                      <w:color w:val="auto"/>
                      <w:lang w:val="en-US" w:eastAsia="zh-CN"/>
                    </w:rPr>
                    <w:t>等</w:t>
                  </w:r>
                  <w:r>
                    <w:rPr>
                      <w:rFonts w:hint="default" w:ascii="Times New Roman" w:hAnsi="Times New Roman" w:cs="Times New Roman"/>
                      <w:b w:val="0"/>
                      <w:bCs w:val="0"/>
                      <w:color w:val="auto"/>
                      <w:lang w:val="en-US" w:eastAsia="zh-CN"/>
                    </w:rPr>
                    <w:t>通用设备制造</w:t>
                  </w:r>
                  <w:r>
                    <w:rPr>
                      <w:rFonts w:hint="eastAsia" w:ascii="Times New Roman" w:hAnsi="Times New Roman" w:cs="Times New Roman"/>
                      <w:b w:val="0"/>
                      <w:bCs w:val="0"/>
                      <w:color w:val="auto"/>
                      <w:lang w:val="en-US" w:eastAsia="zh-CN"/>
                    </w:rPr>
                    <w:t>业</w:t>
                  </w:r>
                  <w:r>
                    <w:rPr>
                      <w:rFonts w:hint="default" w:ascii="Times New Roman" w:hAnsi="Times New Roman" w:cs="Times New Roman"/>
                      <w:b w:val="0"/>
                      <w:bCs w:val="0"/>
                      <w:color w:val="auto"/>
                      <w:lang w:val="en-US" w:eastAsia="zh-CN"/>
                    </w:rPr>
                    <w:t>，满足《产业结构调整指导目录</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（2024年本）产业政策要求；选址位于安徽省池州市青阳县经济开发区东河园区，不属于限制类，项目建设符合《安徽青阳经济开发区总体发展规划》</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2021-2030年）环境影响报告书》及其审查意见（皖环函</w:t>
                  </w:r>
                  <w:r>
                    <w:rPr>
                      <w:rFonts w:hint="eastAsia" w:ascii="Times New Roman" w:hAnsi="Times New Roman" w:cs="Times New Roman"/>
                      <w:b w:val="0"/>
                      <w:bCs w:val="0"/>
                      <w:color w:val="auto"/>
                      <w:lang w:val="en-US" w:eastAsia="zh-CN"/>
                    </w:rPr>
                    <w:t>〔2021〕701号</w:t>
                  </w:r>
                  <w:r>
                    <w:rPr>
                      <w:rFonts w:hint="default" w:ascii="Times New Roman" w:hAnsi="Times New Roman" w:cs="Times New Roman"/>
                      <w:b w:val="0"/>
                      <w:bCs w:val="0"/>
                      <w:color w:val="auto"/>
                      <w:lang w:val="en-US" w:eastAsia="zh-CN"/>
                    </w:rPr>
                    <w:t>）中相关要求。</w:t>
                  </w:r>
                </w:p>
                <w:p w14:paraId="7E0EE2E4">
                  <w:pPr>
                    <w:pStyle w:val="37"/>
                    <w:keepNext w:val="0"/>
                    <w:keepLines w:val="0"/>
                    <w:pageBreakBefore w:val="0"/>
                    <w:widowControl w:val="0"/>
                    <w:numPr>
                      <w:ilvl w:val="0"/>
                      <w:numId w:val="0"/>
                    </w:numPr>
                    <w:kinsoku/>
                    <w:wordWrap/>
                    <w:topLinePunct w:val="0"/>
                    <w:bidi w:val="0"/>
                    <w:adjustRightInd w:val="0"/>
                    <w:snapToGrid w:val="0"/>
                    <w:spacing w:after="0"/>
                    <w:ind w:left="0" w:leftChars="0" w:firstLine="0" w:firstLineChars="0"/>
                    <w:jc w:val="both"/>
                    <w:rPr>
                      <w:rFonts w:hint="default" w:ascii="Times New Roman" w:hAnsi="Times New Roman" w:cs="Times New Roman"/>
                      <w:b w:val="0"/>
                      <w:bCs w:val="0"/>
                      <w:color w:val="auto"/>
                      <w:lang w:val="en-US" w:eastAsia="zh-CN"/>
                    </w:rPr>
                  </w:pPr>
                  <w:r>
                    <w:rPr>
                      <w:rFonts w:hint="default" w:ascii="Times New Roman" w:hAnsi="Times New Roman" w:eastAsia="宋体" w:cs="Times New Roman"/>
                      <w:b w:val="0"/>
                      <w:bCs w:val="0"/>
                      <w:snapToGrid w:val="0"/>
                      <w:color w:val="auto"/>
                      <w:spacing w:val="-3"/>
                      <w:kern w:val="0"/>
                      <w:sz w:val="21"/>
                      <w:szCs w:val="24"/>
                      <w:lang w:val="en-US" w:eastAsia="zh-CN" w:bidi="ar-SA"/>
                    </w:rPr>
                    <w:t>（2）</w:t>
                  </w:r>
                  <w:r>
                    <w:rPr>
                      <w:rFonts w:hint="default" w:ascii="Times New Roman" w:hAnsi="Times New Roman" w:cs="Times New Roman"/>
                      <w:b w:val="0"/>
                      <w:bCs w:val="0"/>
                      <w:color w:val="auto"/>
                      <w:lang w:val="en-US" w:eastAsia="zh-CN"/>
                    </w:rPr>
                    <w:t>本项目运营期废水为空压系统冷凝水和生活污水，生活污水经化粪池预处理后与空压系统冷凝水经厂区污水总排口排入市政污水管网排入青阳县污水处理厂深度处理</w:t>
                  </w:r>
                  <w:r>
                    <w:rPr>
                      <w:rFonts w:hint="eastAsia" w:ascii="Times New Roman" w:hAnsi="Times New Roman" w:cs="Times New Roman"/>
                      <w:b w:val="0"/>
                      <w:bCs w:val="0"/>
                      <w:color w:val="auto"/>
                      <w:lang w:val="en-US" w:eastAsia="zh-CN"/>
                    </w:rPr>
                    <w:t>，不属于“散乱污”企业。</w:t>
                  </w:r>
                </w:p>
              </w:tc>
              <w:tc>
                <w:tcPr>
                  <w:tcW w:w="670" w:type="dxa"/>
                  <w:tcBorders>
                    <w:tl2br w:val="nil"/>
                    <w:tr2bl w:val="nil"/>
                  </w:tcBorders>
                  <w:vAlign w:val="center"/>
                </w:tcPr>
                <w:p w14:paraId="55D645FF">
                  <w:pPr>
                    <w:pStyle w:val="37"/>
                    <w:keepNext w:val="0"/>
                    <w:keepLines w:val="0"/>
                    <w:pageBreakBefore w:val="0"/>
                    <w:widowControl w:val="0"/>
                    <w:numPr>
                      <w:ilvl w:val="0"/>
                      <w:numId w:val="0"/>
                    </w:numPr>
                    <w:kinsoku/>
                    <w:wordWrap/>
                    <w:topLinePunct w:val="0"/>
                    <w:bidi w:val="0"/>
                    <w:adjustRightInd w:val="0"/>
                    <w:snapToGrid w:val="0"/>
                    <w:spacing w:after="0"/>
                    <w:ind w:left="0" w:leftChars="0" w:firstLine="0" w:firstLineChars="0"/>
                    <w:jc w:val="both"/>
                    <w:rPr>
                      <w:rFonts w:hint="default" w:ascii="Times New Roman" w:hAnsi="Times New Roman" w:eastAsia="宋体" w:cs="Times New Roman"/>
                      <w:b w:val="0"/>
                      <w:bCs w:val="0"/>
                      <w:snapToGrid w:val="0"/>
                      <w:color w:val="auto"/>
                      <w:spacing w:val="-3"/>
                      <w:kern w:val="0"/>
                      <w:sz w:val="21"/>
                      <w:szCs w:val="24"/>
                      <w:lang w:val="en-US" w:eastAsia="zh-CN" w:bidi="ar-SA"/>
                    </w:rPr>
                  </w:pPr>
                  <w:r>
                    <w:rPr>
                      <w:rFonts w:hint="default" w:ascii="Times New Roman" w:hAnsi="Times New Roman" w:cs="Times New Roman"/>
                      <w:b w:val="0"/>
                      <w:bCs w:val="0"/>
                      <w:snapToGrid w:val="0"/>
                      <w:color w:val="auto"/>
                      <w:spacing w:val="-3"/>
                      <w:kern w:val="0"/>
                      <w:sz w:val="21"/>
                      <w:szCs w:val="24"/>
                      <w:lang w:val="en-US" w:eastAsia="zh-CN" w:bidi="ar-SA"/>
                    </w:rPr>
                    <w:t>符合</w:t>
                  </w:r>
                </w:p>
              </w:tc>
            </w:tr>
            <w:tr w14:paraId="34457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63" w:type="dxa"/>
                  <w:vMerge w:val="continue"/>
                  <w:tcBorders>
                    <w:tl2br w:val="nil"/>
                    <w:tr2bl w:val="nil"/>
                  </w:tcBorders>
                  <w:vAlign w:val="center"/>
                </w:tcPr>
                <w:p w14:paraId="1711343B">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49E64D61">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第三节 巩固深化水污染防治强化工业污染防治。开展全省工业园区涉水污染治理设施排查整治行动督促地方人民政府或园区管理机构组织排查工业园区污水管网老旧破损、混接错接等情况，建立工业园区污水集中处理设施进水浓度异常等突出问题清单，查明问题原因并开展整治，实现污水全收集、全处理，基本做到“污水零直排”。石油化学、石油炼制、磷肥等化工企业应收集处理厂区初期雨水，鼓励有条件的化工园区开展园区初期雨水污染控制试点示范。2025年底前，长江流域优先完成工业园区排查整治。实施以排污许可制为核心的固定污染源监管制度，纳入排污许可管理的工业企业，要严格落实污染物排放自行监测要求，属于重点污染源的，应安装自动监测设备，并与生态环境保护部门联网。推动工业废水资源化利用，推进企业内部工业用水循环利用、园区内企业间用水系统集成优化。开展火电、石化、有色金属、造纸、印染等高耗水行业工业废水循环利用示范。积极推进清洁生产审核，对焦化、有色金属、石化、化工、电镀、制革、石油开采、造纸印染、农副食品加工等行业，全面推进清洁生产改造或清洁化改造。建立健全“双随机、一公开”制度，加强工业企业环境执法监管，严厉打击违法排放污水行为。</w:t>
                  </w:r>
                </w:p>
              </w:tc>
              <w:tc>
                <w:tcPr>
                  <w:tcW w:w="2481" w:type="dxa"/>
                  <w:tcBorders>
                    <w:tl2br w:val="nil"/>
                    <w:tr2bl w:val="nil"/>
                  </w:tcBorders>
                  <w:vAlign w:val="center"/>
                </w:tcPr>
                <w:p w14:paraId="54EF5619">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本项目运营期废水为空压系统冷凝水和生活污水，生活污水经化粪池预处理后与空压系统冷凝水经厂区污水总排口排入市政污水管网排入青阳县污水处理厂深度处理。</w:t>
                  </w:r>
                </w:p>
              </w:tc>
              <w:tc>
                <w:tcPr>
                  <w:tcW w:w="670" w:type="dxa"/>
                  <w:tcBorders>
                    <w:tl2br w:val="nil"/>
                    <w:tr2bl w:val="nil"/>
                  </w:tcBorders>
                  <w:vAlign w:val="center"/>
                </w:tcPr>
                <w:p w14:paraId="5FCA6E43">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58CE5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4" w:hRule="atLeast"/>
                <w:jc w:val="center"/>
              </w:trPr>
              <w:tc>
                <w:tcPr>
                  <w:tcW w:w="1163" w:type="dxa"/>
                  <w:tcBorders>
                    <w:tl2br w:val="nil"/>
                    <w:tr2bl w:val="nil"/>
                  </w:tcBorders>
                  <w:vAlign w:val="center"/>
                </w:tcPr>
                <w:p w14:paraId="743E6C49">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《安徽省“十四五”大气污染防治规划》（皖环发</w:t>
                  </w:r>
                  <w:r>
                    <w:rPr>
                      <w:rFonts w:hint="eastAsia" w:ascii="Times New Roman" w:hAnsi="Times New Roman" w:cs="Times New Roman"/>
                      <w:b w:val="0"/>
                      <w:bCs w:val="0"/>
                      <w:color w:val="auto"/>
                      <w:lang w:val="en-US" w:eastAsia="zh-CN"/>
                    </w:rPr>
                    <w:t>〔2022〕12号</w:t>
                  </w:r>
                  <w:r>
                    <w:rPr>
                      <w:rFonts w:hint="default" w:ascii="Times New Roman" w:hAnsi="Times New Roman" w:cs="Times New Roman"/>
                      <w:b w:val="0"/>
                      <w:bCs w:val="0"/>
                      <w:color w:val="auto"/>
                      <w:lang w:val="en-US" w:eastAsia="zh-CN"/>
                    </w:rPr>
                    <w:t>）</w:t>
                  </w:r>
                </w:p>
              </w:tc>
              <w:tc>
                <w:tcPr>
                  <w:tcW w:w="3778" w:type="dxa"/>
                  <w:tcBorders>
                    <w:tl2br w:val="nil"/>
                    <w:tr2bl w:val="nil"/>
                  </w:tcBorders>
                  <w:vAlign w:val="center"/>
                </w:tcPr>
                <w:p w14:paraId="460C139A">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五、重点任务与措施</w:t>
                  </w:r>
                </w:p>
                <w:p w14:paraId="5D12A085">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5.1产业结构调整“十四五”是产业绿色转型的重要战略机遇期和窗口期。以协同推进经济高质量发展和生态环境高水平保护为重要导向，以产业转型升级、绿色发展为主要目标，落实“三线一单”生态环境分区管控要求，以落后产能淘汰压减、重点行业绿色转型、产业集群和园区升级改造、产业布局优化调整以及固定源深度治理为主要任务。</w:t>
                  </w:r>
                </w:p>
                <w:p w14:paraId="072577A6">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1）严控“两高”行业盲目发展严格环境准入，坚决遏制高耗能、高排放即“两高”行业盲目发展。严格落实国家产业规划、产业政策、“三线一单”、规划环评，以及产能置换、煤炭消费减量替代、区域污染物削减等要求，坚决叫停不符合要求的“两高项目。严禁新增钢铁、焦化、电解铝、铸造、水泥和平板玻璃等产能，严格执行钢铁、水泥、平板玻璃等行业产能置换实施办法，严控污染物排放总量。严格控制涉工业炉窑建设项目，原则上禁止新建燃料类煤气发生炉园区现有企业统一建设的清洁煤制气中心除外）。严格限制高VOCs排放化工类建设项目，禁止建设生产VOCs含量限值不符合国家标准的涂料、油墨、胶粘剂、清洗剂等项目。</w:t>
                  </w:r>
                </w:p>
                <w:p w14:paraId="7F461E89">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重点行业绿色转型推动减污降碳协同增效，促进经济社会发展全面绿色转型，在推动结构性节能、助推非化石能源发展等方面同频共振。以钢铁、化工、有色金属、建材、印染、酿造等重点行业为典型，全面实施能效提升、清洁生产、深度治污、循环利用等工艺技术改造，推动重点行业绿色转型。</w:t>
                  </w:r>
                </w:p>
              </w:tc>
              <w:tc>
                <w:tcPr>
                  <w:tcW w:w="2481" w:type="dxa"/>
                  <w:tcBorders>
                    <w:tl2br w:val="nil"/>
                    <w:tr2bl w:val="nil"/>
                  </w:tcBorders>
                  <w:vAlign w:val="center"/>
                </w:tcPr>
                <w:p w14:paraId="23371A0B">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（1）本项目不属于“两高”项目，不属于新增钢铁、焦化、电解铝、铸造、水泥和平板玻璃等产能项目。</w:t>
                  </w:r>
                </w:p>
                <w:p w14:paraId="0A9E2BF3">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（2）本项目针对废气污染物采取了相应的有组织收集措施，并采取了配套的可行污染治理措施，经</w:t>
                  </w:r>
                  <w:r>
                    <w:rPr>
                      <w:rFonts w:hint="eastAsia" w:ascii="Times New Roman" w:hAnsi="Times New Roman" w:cs="Times New Roman"/>
                      <w:b w:val="0"/>
                      <w:bCs w:val="0"/>
                      <w:color w:val="auto"/>
                      <w:lang w:val="en-US" w:eastAsia="zh-CN"/>
                    </w:rPr>
                    <w:t>计算</w:t>
                  </w:r>
                  <w:r>
                    <w:rPr>
                      <w:rFonts w:hint="default" w:ascii="Times New Roman" w:hAnsi="Times New Roman" w:cs="Times New Roman"/>
                      <w:b w:val="0"/>
                      <w:bCs w:val="0"/>
                      <w:color w:val="auto"/>
                      <w:lang w:val="en-US" w:eastAsia="zh-CN"/>
                    </w:rPr>
                    <w:t>，本项目废气</w:t>
                  </w:r>
                  <w:r>
                    <w:rPr>
                      <w:rFonts w:hint="eastAsia" w:ascii="Times New Roman" w:hAnsi="Times New Roman" w:cs="Times New Roman"/>
                      <w:b w:val="0"/>
                      <w:bCs w:val="0"/>
                      <w:color w:val="auto"/>
                      <w:lang w:val="en-US" w:eastAsia="zh-CN"/>
                    </w:rPr>
                    <w:t>可达标</w:t>
                  </w:r>
                  <w:r>
                    <w:rPr>
                      <w:rFonts w:hint="default" w:ascii="Times New Roman" w:hAnsi="Times New Roman" w:cs="Times New Roman"/>
                      <w:b w:val="0"/>
                      <w:bCs w:val="0"/>
                      <w:color w:val="auto"/>
                      <w:lang w:val="en-US" w:eastAsia="zh-CN"/>
                    </w:rPr>
                    <w:t>排放</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对周围环境影响较小。</w:t>
                  </w:r>
                </w:p>
              </w:tc>
              <w:tc>
                <w:tcPr>
                  <w:tcW w:w="670" w:type="dxa"/>
                  <w:tcBorders>
                    <w:tl2br w:val="nil"/>
                    <w:tr2bl w:val="nil"/>
                  </w:tcBorders>
                  <w:vAlign w:val="center"/>
                </w:tcPr>
                <w:p w14:paraId="3ACD8136">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41FB2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63" w:type="dxa"/>
                  <w:tcBorders>
                    <w:tl2br w:val="nil"/>
                    <w:tr2bl w:val="nil"/>
                  </w:tcBorders>
                  <w:vAlign w:val="center"/>
                </w:tcPr>
                <w:p w14:paraId="00838E79">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《安徽省“十四五”危险废物工业固体废物污染环境防治规划》</w:t>
                  </w:r>
                </w:p>
              </w:tc>
              <w:tc>
                <w:tcPr>
                  <w:tcW w:w="3778" w:type="dxa"/>
                  <w:tcBorders>
                    <w:tl2br w:val="nil"/>
                    <w:tr2bl w:val="nil"/>
                  </w:tcBorders>
                  <w:vAlign w:val="center"/>
                </w:tcPr>
                <w:p w14:paraId="439AAF2F">
                  <w:pPr>
                    <w:pStyle w:val="37"/>
                    <w:keepNext w:val="0"/>
                    <w:keepLines w:val="0"/>
                    <w:pageBreakBefore w:val="0"/>
                    <w:widowControl w:val="0"/>
                    <w:kinsoku/>
                    <w:wordWrap/>
                    <w:topLinePunct w:val="0"/>
                    <w:bidi w:val="0"/>
                    <w:adjustRightInd w:val="0"/>
                    <w:snapToGrid w:val="0"/>
                    <w:spacing w:after="0"/>
                    <w:ind w:left="0" w:leftChars="0" w:firstLine="0" w:firstLineChars="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以资源高效循环利用为核心，发挥各类工业固体废物资源化利用和处理设施的协同效应，实现不同类别工业固体废物分类回收利用和无害化处置，加强能源和固体废物利用处置设施的一体化建设。</w:t>
                  </w:r>
                </w:p>
              </w:tc>
              <w:tc>
                <w:tcPr>
                  <w:tcW w:w="2481" w:type="dxa"/>
                  <w:tcBorders>
                    <w:tl2br w:val="nil"/>
                    <w:tr2bl w:val="nil"/>
                  </w:tcBorders>
                  <w:vAlign w:val="center"/>
                </w:tcPr>
                <w:p w14:paraId="4FF69864">
                  <w:pPr>
                    <w:pStyle w:val="37"/>
                    <w:keepNext w:val="0"/>
                    <w:keepLines w:val="0"/>
                    <w:pageBreakBefore w:val="0"/>
                    <w:widowControl w:val="0"/>
                    <w:kinsoku/>
                    <w:wordWrap/>
                    <w:topLinePunct w:val="0"/>
                    <w:bidi w:val="0"/>
                    <w:adjustRightInd w:val="0"/>
                    <w:snapToGrid w:val="0"/>
                    <w:spacing w:after="0"/>
                    <w:ind w:left="0" w:leftChars="0" w:firstLine="0" w:firstLineChars="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本项目对固废进行分类收集、回收利用、无害化处置，使工业固废达到资源化利用。</w:t>
                  </w:r>
                </w:p>
              </w:tc>
              <w:tc>
                <w:tcPr>
                  <w:tcW w:w="670" w:type="dxa"/>
                  <w:tcBorders>
                    <w:tl2br w:val="nil"/>
                    <w:tr2bl w:val="nil"/>
                  </w:tcBorders>
                  <w:vAlign w:val="center"/>
                </w:tcPr>
                <w:p w14:paraId="2B8D2119">
                  <w:pPr>
                    <w:pStyle w:val="37"/>
                    <w:keepNext w:val="0"/>
                    <w:keepLines w:val="0"/>
                    <w:pageBreakBefore w:val="0"/>
                    <w:widowControl w:val="0"/>
                    <w:kinsoku/>
                    <w:wordWrap/>
                    <w:topLinePunct w:val="0"/>
                    <w:bidi w:val="0"/>
                    <w:adjustRightInd w:val="0"/>
                    <w:snapToGrid w:val="0"/>
                    <w:spacing w:after="0"/>
                    <w:ind w:left="0" w:leftChars="0" w:firstLine="0" w:firstLineChars="0"/>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4F55F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1" w:hRule="atLeast"/>
                <w:jc w:val="center"/>
              </w:trPr>
              <w:tc>
                <w:tcPr>
                  <w:tcW w:w="1163" w:type="dxa"/>
                  <w:vMerge w:val="restart"/>
                  <w:tcBorders>
                    <w:tl2br w:val="nil"/>
                    <w:tr2bl w:val="nil"/>
                  </w:tcBorders>
                  <w:vAlign w:val="center"/>
                </w:tcPr>
                <w:p w14:paraId="711398F1">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firstLine="0" w:firstLineChars="0"/>
                    <w:jc w:val="center"/>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安徽省空气质量持续改善行动方案皖政</w:t>
                  </w:r>
                  <w:r>
                    <w:rPr>
                      <w:rFonts w:hint="eastAsia" w:ascii="Times New Roman" w:hAnsi="Times New Roman" w:cs="Times New Roman"/>
                      <w:b w:val="0"/>
                      <w:bCs w:val="0"/>
                      <w:color w:val="auto"/>
                      <w:lang w:val="en-US" w:eastAsia="zh-CN"/>
                    </w:rPr>
                    <w:t>〔2024〕36号</w:t>
                  </w:r>
                </w:p>
              </w:tc>
              <w:tc>
                <w:tcPr>
                  <w:tcW w:w="3778" w:type="dxa"/>
                  <w:tcBorders>
                    <w:tl2br w:val="nil"/>
                    <w:tr2bl w:val="nil"/>
                  </w:tcBorders>
                  <w:vAlign w:val="center"/>
                </w:tcPr>
                <w:p w14:paraId="1946FE25">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firstLine="0" w:firstLineChars="0"/>
                    <w:jc w:val="both"/>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二、优化调整产业结构布局</w:t>
                  </w:r>
                </w:p>
                <w:p w14:paraId="69E39CEB">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firstLine="0" w:firstLineChars="0"/>
                    <w:jc w:val="both"/>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四）有序推动落后产能淘汰。严格执行《产业结构调整指导目录》。综合运用能耗、环保、质量、安全、技术等要求，依法依规推动落后产能退出，逐步退出限制类涉气行业工艺和装备。有序推动生产设施老旧、工艺水平落后、环境管理水平低下的独立焦化、烧结、球团、热轧企业和落后煤炭洗选企业退出市场。逐步淘汰步进式烧结机和球团竖炉以及半封闭式硅锰合金镍铁、高碳铬铁、高碳锰铁电炉。严禁违规新增钢铁、水泥（熟料）、焦化、电解铝、平板玻璃（不含光伏压延玻璃）产能。鼓励钢铁行业龙头企业实施兼并重组，到2025年，短流程炼钢产量占比达15%。</w:t>
                  </w:r>
                </w:p>
              </w:tc>
              <w:tc>
                <w:tcPr>
                  <w:tcW w:w="2481" w:type="dxa"/>
                  <w:tcBorders>
                    <w:tl2br w:val="nil"/>
                    <w:tr2bl w:val="nil"/>
                  </w:tcBorders>
                  <w:vAlign w:val="center"/>
                </w:tcPr>
                <w:p w14:paraId="2324F434">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firstLine="0" w:firstLineChars="0"/>
                    <w:jc w:val="both"/>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根据《国民经济行业分类》（GB/T4754-2017）及修改单，本项目属于C3422金属成</w:t>
                  </w:r>
                  <w:r>
                    <w:rPr>
                      <w:rFonts w:hint="eastAsia" w:ascii="Times New Roman" w:hAnsi="Times New Roman" w:cs="Times New Roman"/>
                      <w:b w:val="0"/>
                      <w:bCs w:val="0"/>
                      <w:color w:val="auto"/>
                      <w:lang w:val="en-US" w:eastAsia="zh-CN"/>
                    </w:rPr>
                    <w:t>形</w:t>
                  </w:r>
                  <w:r>
                    <w:rPr>
                      <w:rFonts w:hint="default" w:ascii="Times New Roman" w:hAnsi="Times New Roman" w:cs="Times New Roman"/>
                      <w:b w:val="0"/>
                      <w:bCs w:val="0"/>
                      <w:color w:val="auto"/>
                      <w:lang w:val="en-US" w:eastAsia="zh-CN"/>
                    </w:rPr>
                    <w:t>机床制造</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C3423铸造机械制造</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C3461烘炉、熔炉及电炉制造。本项目产品</w:t>
                  </w:r>
                  <w:r>
                    <w:rPr>
                      <w:rFonts w:hint="eastAsia" w:ascii="Times New Roman" w:hAnsi="Times New Roman" w:cs="Times New Roman"/>
                      <w:b w:val="0"/>
                      <w:bCs w:val="0"/>
                      <w:color w:val="auto"/>
                      <w:lang w:val="en-US" w:eastAsia="zh-CN"/>
                    </w:rPr>
                    <w:t>为工业生产加工设备</w:t>
                  </w:r>
                  <w:r>
                    <w:rPr>
                      <w:rFonts w:hint="default" w:ascii="Times New Roman" w:hAnsi="Times New Roman" w:cs="Times New Roman"/>
                      <w:b w:val="0"/>
                      <w:bCs w:val="0"/>
                      <w:color w:val="auto"/>
                      <w:lang w:val="en-US" w:eastAsia="zh-CN"/>
                    </w:rPr>
                    <w:t>，根据</w:t>
                  </w:r>
                  <w:r>
                    <w:rPr>
                      <w:rFonts w:hint="eastAsia" w:ascii="Times New Roman" w:hAnsi="Times New Roman" w:cs="Times New Roman"/>
                      <w:b w:val="0"/>
                      <w:bCs w:val="0"/>
                      <w:color w:val="auto"/>
                      <w:lang w:val="en-US" w:eastAsia="zh-CN"/>
                    </w:rPr>
                    <w:t>《产业结构调整指导目录（2024年本）》</w:t>
                  </w:r>
                  <w:r>
                    <w:rPr>
                      <w:rFonts w:hint="default" w:ascii="Times New Roman" w:hAnsi="Times New Roman" w:cs="Times New Roman"/>
                      <w:b w:val="0"/>
                      <w:bCs w:val="0"/>
                      <w:color w:val="auto"/>
                      <w:lang w:val="en-US" w:eastAsia="zh-CN"/>
                    </w:rPr>
                    <w:t>，本项目不属于鼓励类、限制类和淘汰类的范畴，可以视为允许类。</w:t>
                  </w:r>
                </w:p>
              </w:tc>
              <w:tc>
                <w:tcPr>
                  <w:tcW w:w="670" w:type="dxa"/>
                  <w:tcBorders>
                    <w:tl2br w:val="nil"/>
                    <w:tr2bl w:val="nil"/>
                  </w:tcBorders>
                  <w:vAlign w:val="center"/>
                </w:tcPr>
                <w:p w14:paraId="275006B3">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firstLine="0" w:firstLineChars="0"/>
                    <w:jc w:val="both"/>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r w14:paraId="37F4E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63" w:type="dxa"/>
                  <w:vMerge w:val="continue"/>
                  <w:tcBorders>
                    <w:tl2br w:val="nil"/>
                    <w:tr2bl w:val="nil"/>
                  </w:tcBorders>
                  <w:vAlign w:val="center"/>
                </w:tcPr>
                <w:p w14:paraId="174CD132">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firstLine="0" w:firstLineChars="0"/>
                    <w:jc w:val="center"/>
                    <w:textAlignment w:val="baseline"/>
                    <w:rPr>
                      <w:rFonts w:hint="default" w:ascii="Times New Roman" w:hAnsi="Times New Roman" w:cs="Times New Roman"/>
                      <w:b w:val="0"/>
                      <w:bCs w:val="0"/>
                      <w:color w:val="auto"/>
                      <w:lang w:val="en-US" w:eastAsia="zh-CN"/>
                    </w:rPr>
                  </w:pPr>
                </w:p>
              </w:tc>
              <w:tc>
                <w:tcPr>
                  <w:tcW w:w="3778" w:type="dxa"/>
                  <w:tcBorders>
                    <w:tl2br w:val="nil"/>
                    <w:tr2bl w:val="nil"/>
                  </w:tcBorders>
                  <w:vAlign w:val="center"/>
                </w:tcPr>
                <w:p w14:paraId="25004167">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firstLine="0" w:firstLineChars="0"/>
                    <w:jc w:val="both"/>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六、推动重点行业领域污染物减排</w:t>
                  </w:r>
                </w:p>
                <w:p w14:paraId="262665F8">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firstLine="0" w:firstLineChars="0"/>
                    <w:jc w:val="both"/>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（十八）加强VOCs综合治理。鼓励储罐使用低泄漏的呼吸阀、紧急泄压阀。汽车罐车推广使用密封式快速接头。污水处理场所高浓度有机废气单独收集处理；含VOCs有机废水储罐、装置区集水井</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池</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有机废气密闭收集处理。石化、化工行业集中的城市和重点工业园区，2024年底前建立统一的泄漏检测与修复信息管理平台。企业开停工、检维修期间，及时收集处理退料、清洗、吹扫等作业产生的VOCs废气，不得将火炬燃烧装置作为日常大气污染处理设施。</w:t>
                  </w:r>
                </w:p>
              </w:tc>
              <w:tc>
                <w:tcPr>
                  <w:tcW w:w="2481" w:type="dxa"/>
                  <w:tcBorders>
                    <w:tl2br w:val="nil"/>
                    <w:tr2bl w:val="nil"/>
                  </w:tcBorders>
                  <w:vAlign w:val="center"/>
                </w:tcPr>
                <w:p w14:paraId="64CDB667">
                  <w:pPr>
                    <w:pStyle w:val="37"/>
                    <w:keepNext w:val="0"/>
                    <w:keepLines w:val="0"/>
                    <w:pageBreakBefore w:val="0"/>
                    <w:widowControl w:val="0"/>
                    <w:kinsoku/>
                    <w:wordWrap/>
                    <w:topLinePunct w:val="0"/>
                    <w:bidi w:val="0"/>
                    <w:adjustRightInd w:val="0"/>
                    <w:snapToGrid w:val="0"/>
                    <w:spacing w:after="0"/>
                    <w:jc w:val="both"/>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本项目VOCs产生环节为</w:t>
                  </w:r>
                  <w:r>
                    <w:rPr>
                      <w:rFonts w:hint="eastAsia" w:ascii="Times New Roman" w:hAnsi="Times New Roman" w:cs="Times New Roman"/>
                      <w:b w:val="0"/>
                      <w:bCs w:val="0"/>
                      <w:color w:val="auto"/>
                      <w:lang w:val="en-US" w:eastAsia="zh-CN"/>
                    </w:rPr>
                    <w:t>水性丙烯酸面漆喷漆、晾干产生的有机废气，</w:t>
                  </w:r>
                  <w:r>
                    <w:rPr>
                      <w:rFonts w:hint="default" w:ascii="Times New Roman" w:hAnsi="Times New Roman" w:cs="Times New Roman"/>
                      <w:b w:val="0"/>
                      <w:bCs w:val="0"/>
                      <w:color w:val="auto"/>
                      <w:lang w:val="en-US" w:eastAsia="zh-CN"/>
                    </w:rPr>
                    <w:t>均收集处理后有组织排放。项目使用</w:t>
                  </w:r>
                  <w:r>
                    <w:rPr>
                      <w:rFonts w:hint="eastAsia" w:ascii="Times New Roman" w:hAnsi="Times New Roman" w:cs="Times New Roman"/>
                      <w:b w:val="0"/>
                      <w:bCs w:val="0"/>
                      <w:color w:val="auto"/>
                      <w:lang w:val="en-US" w:eastAsia="zh-CN"/>
                    </w:rPr>
                    <w:t>水性丙烯酸面漆</w:t>
                  </w:r>
                  <w:r>
                    <w:rPr>
                      <w:rFonts w:hint="default" w:ascii="Times New Roman" w:hAnsi="Times New Roman" w:cs="Times New Roman"/>
                      <w:b w:val="0"/>
                      <w:bCs w:val="0"/>
                      <w:color w:val="auto"/>
                      <w:lang w:val="en-US" w:eastAsia="zh-CN"/>
                    </w:rPr>
                    <w:t>采用桶装密闭储存在辅料</w:t>
                  </w:r>
                  <w:r>
                    <w:rPr>
                      <w:rFonts w:hint="eastAsia" w:ascii="Times New Roman" w:hAnsi="Times New Roman" w:cs="Times New Roman"/>
                      <w:b w:val="0"/>
                      <w:bCs w:val="0"/>
                      <w:color w:val="auto"/>
                      <w:lang w:val="en-US" w:eastAsia="zh-CN"/>
                    </w:rPr>
                    <w:t>库</w:t>
                  </w:r>
                  <w:r>
                    <w:rPr>
                      <w:rFonts w:hint="default" w:ascii="Times New Roman" w:hAnsi="Times New Roman" w:cs="Times New Roman"/>
                      <w:b w:val="0"/>
                      <w:bCs w:val="0"/>
                      <w:color w:val="auto"/>
                      <w:lang w:val="en-US" w:eastAsia="zh-CN"/>
                    </w:rPr>
                    <w:t>内，在非取用状态时料桶均保持封口</w:t>
                  </w:r>
                  <w:r>
                    <w:rPr>
                      <w:rFonts w:hint="eastAsia" w:ascii="Times New Roman" w:hAnsi="Times New Roman" w:cs="Times New Roman"/>
                      <w:b w:val="0"/>
                      <w:bCs w:val="0"/>
                      <w:color w:val="auto"/>
                      <w:lang w:val="en-US" w:eastAsia="zh-CN"/>
                    </w:rPr>
                    <w:t>。</w:t>
                  </w:r>
                </w:p>
              </w:tc>
              <w:tc>
                <w:tcPr>
                  <w:tcW w:w="670" w:type="dxa"/>
                  <w:tcBorders>
                    <w:tl2br w:val="nil"/>
                    <w:tr2bl w:val="nil"/>
                  </w:tcBorders>
                  <w:vAlign w:val="center"/>
                </w:tcPr>
                <w:p w14:paraId="4FB780DB">
                  <w:pPr>
                    <w:pStyle w:val="37"/>
                    <w:keepNext w:val="0"/>
                    <w:keepLines w:val="0"/>
                    <w:pageBreakBefore w:val="0"/>
                    <w:widowControl w:val="0"/>
                    <w:kinsoku/>
                    <w:wordWrap/>
                    <w:overflowPunct w:val="0"/>
                    <w:topLinePunct w:val="0"/>
                    <w:autoSpaceDE w:val="0"/>
                    <w:autoSpaceDN w:val="0"/>
                    <w:bidi w:val="0"/>
                    <w:adjustRightInd w:val="0"/>
                    <w:snapToGrid w:val="0"/>
                    <w:spacing w:after="0"/>
                    <w:ind w:left="0" w:leftChars="0" w:firstLine="0" w:firstLineChars="0"/>
                    <w:jc w:val="both"/>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符合</w:t>
                  </w:r>
                </w:p>
              </w:tc>
            </w:tr>
          </w:tbl>
          <w:p w14:paraId="6732C8A8">
            <w:pPr>
              <w:pStyle w:val="38"/>
              <w:bidi w:val="0"/>
              <w:jc w:val="center"/>
              <w:rPr>
                <w:rFonts w:hint="default" w:ascii="Times New Roman" w:hAnsi="Times New Roman" w:eastAsia="宋体" w:cs="Times New Roman"/>
                <w:b/>
                <w:bCs/>
                <w:color w:val="auto"/>
                <w:sz w:val="21"/>
                <w:szCs w:val="21"/>
                <w:lang w:bidi="en-US"/>
              </w:rPr>
            </w:pPr>
          </w:p>
          <w:p w14:paraId="30B07EA2">
            <w:pPr>
              <w:keepNext w:val="0"/>
              <w:keepLines w:val="0"/>
              <w:pageBreakBefore w:val="0"/>
              <w:widowControl w:val="0"/>
              <w:kinsoku/>
              <w:wordWrap/>
              <w:overflowPunct w:val="0"/>
              <w:topLinePunct w:val="0"/>
              <w:autoSpaceDE/>
              <w:autoSpaceDN/>
              <w:bidi w:val="0"/>
              <w:adjustRightInd w:val="0"/>
              <w:snapToGrid w:val="0"/>
              <w:spacing w:line="360" w:lineRule="auto"/>
              <w:ind w:left="0" w:leftChars="0" w:firstLine="0" w:firstLineChars="0"/>
              <w:textAlignment w:val="auto"/>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1.8 与《低挥发性有机化合物含量涂料产品技术要求》（GB/T38597-2020）的相符性分析</w:t>
            </w:r>
          </w:p>
          <w:p w14:paraId="0BC9E7F2">
            <w:pPr>
              <w:pStyle w:val="38"/>
              <w:bidi w:val="0"/>
              <w:rPr>
                <w:color w:val="auto"/>
              </w:rPr>
            </w:pPr>
            <w:r>
              <w:rPr>
                <w:color w:val="auto"/>
              </w:rPr>
              <w:t>表1-</w:t>
            </w:r>
            <w:r>
              <w:rPr>
                <w:rFonts w:hint="eastAsia"/>
                <w:color w:val="auto"/>
                <w:lang w:val="en-US" w:eastAsia="zh-CN"/>
              </w:rPr>
              <w:t>8</w:t>
            </w:r>
            <w:r>
              <w:rPr>
                <w:color w:val="auto"/>
              </w:rPr>
              <w:t xml:space="preserve">  本项目与《低挥发性有机化合物含量涂料产品技术要求》（GB/T38597-2020）的相符性分析</w:t>
            </w:r>
          </w:p>
          <w:tbl>
            <w:tblPr>
              <w:tblStyle w:val="32"/>
              <w:tblW w:w="8172"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Layout w:type="fixed"/>
              <w:tblCellMar>
                <w:top w:w="0" w:type="dxa"/>
                <w:left w:w="108" w:type="dxa"/>
                <w:bottom w:w="0" w:type="dxa"/>
                <w:right w:w="108" w:type="dxa"/>
              </w:tblCellMar>
            </w:tblPr>
            <w:tblGrid>
              <w:gridCol w:w="1244"/>
              <w:gridCol w:w="2237"/>
              <w:gridCol w:w="3954"/>
              <w:gridCol w:w="737"/>
            </w:tblGrid>
            <w:tr w14:paraId="5B489C57">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108" w:type="dxa"/>
                  <w:bottom w:w="0" w:type="dxa"/>
                  <w:right w:w="108" w:type="dxa"/>
                </w:tblCellMar>
              </w:tblPrEx>
              <w:trPr>
                <w:trHeight w:val="283" w:hRule="atLeast"/>
                <w:jc w:val="center"/>
              </w:trPr>
              <w:tc>
                <w:tcPr>
                  <w:tcW w:w="761" w:type="pct"/>
                  <w:tcBorders>
                    <w:tl2br w:val="nil"/>
                    <w:tr2bl w:val="nil"/>
                  </w:tcBorders>
                  <w:vAlign w:val="center"/>
                </w:tcPr>
                <w:p w14:paraId="5C82721E">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rPr>
                  </w:pPr>
                  <w:r>
                    <w:rPr>
                      <w:rFonts w:ascii="Times New Roman" w:hAnsi="Times New Roman"/>
                      <w:b/>
                      <w:bCs/>
                      <w:color w:val="auto"/>
                    </w:rPr>
                    <w:t>涂料品种</w:t>
                  </w:r>
                </w:p>
              </w:tc>
              <w:tc>
                <w:tcPr>
                  <w:tcW w:w="1368" w:type="pct"/>
                  <w:tcBorders>
                    <w:tl2br w:val="nil"/>
                    <w:tr2bl w:val="nil"/>
                  </w:tcBorders>
                  <w:vAlign w:val="center"/>
                </w:tcPr>
                <w:p w14:paraId="09ECA42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rPr>
                  </w:pPr>
                  <w:r>
                    <w:rPr>
                      <w:rFonts w:ascii="Times New Roman" w:hAnsi="Times New Roman"/>
                      <w:b/>
                      <w:bCs/>
                      <w:color w:val="auto"/>
                    </w:rPr>
                    <w:t>低挥发性有机化合物（VOCs）限量值</w:t>
                  </w:r>
                </w:p>
              </w:tc>
              <w:tc>
                <w:tcPr>
                  <w:tcW w:w="2419" w:type="pct"/>
                  <w:tcBorders>
                    <w:tl2br w:val="nil"/>
                    <w:tr2bl w:val="nil"/>
                  </w:tcBorders>
                  <w:vAlign w:val="center"/>
                </w:tcPr>
                <w:p w14:paraId="7C7E993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rPr>
                  </w:pPr>
                  <w:r>
                    <w:rPr>
                      <w:rFonts w:ascii="Times New Roman" w:hAnsi="Times New Roman"/>
                      <w:b/>
                      <w:bCs/>
                      <w:color w:val="auto"/>
                    </w:rPr>
                    <w:t>本项目情况</w:t>
                  </w:r>
                </w:p>
              </w:tc>
              <w:tc>
                <w:tcPr>
                  <w:tcW w:w="450" w:type="pct"/>
                  <w:tcBorders>
                    <w:tl2br w:val="nil"/>
                    <w:tr2bl w:val="nil"/>
                  </w:tcBorders>
                  <w:vAlign w:val="center"/>
                </w:tcPr>
                <w:p w14:paraId="3CF4BFEF">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rPr>
                  </w:pPr>
                  <w:r>
                    <w:rPr>
                      <w:rFonts w:ascii="Times New Roman" w:hAnsi="Times New Roman"/>
                      <w:b/>
                      <w:bCs/>
                      <w:color w:val="auto"/>
                    </w:rPr>
                    <w:t>相符性</w:t>
                  </w:r>
                </w:p>
              </w:tc>
            </w:tr>
            <w:tr w14:paraId="6D0287C2">
              <w:tblPrEx>
                <w:tblBorders>
                  <w:top w:val="single" w:color="auto" w:sz="6" w:space="0"/>
                  <w:left w:val="single" w:color="auto" w:sz="6" w:space="0"/>
                  <w:bottom w:val="single" w:color="auto" w:sz="6" w:space="0"/>
                  <w:right w:val="single" w:color="auto" w:sz="6" w:space="0"/>
                  <w:insideH w:val="single" w:color="auto" w:sz="4" w:space="0"/>
                  <w:insideV w:val="single" w:color="auto" w:sz="6" w:space="0"/>
                </w:tblBorders>
                <w:tblCellMar>
                  <w:top w:w="0" w:type="dxa"/>
                  <w:left w:w="108" w:type="dxa"/>
                  <w:bottom w:w="0" w:type="dxa"/>
                  <w:right w:w="108" w:type="dxa"/>
                </w:tblCellMar>
              </w:tblPrEx>
              <w:trPr>
                <w:trHeight w:val="90" w:hRule="atLeast"/>
                <w:jc w:val="center"/>
              </w:trPr>
              <w:tc>
                <w:tcPr>
                  <w:tcW w:w="761" w:type="pct"/>
                  <w:tcBorders>
                    <w:tl2br w:val="nil"/>
                    <w:tr2bl w:val="nil"/>
                  </w:tcBorders>
                  <w:vAlign w:val="center"/>
                </w:tcPr>
                <w:p w14:paraId="6D1F6C3F">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color w:val="auto"/>
                    </w:rPr>
                  </w:pPr>
                  <w:r>
                    <w:rPr>
                      <w:rFonts w:hint="eastAsia" w:ascii="Times New Roman" w:hAnsi="Times New Roman"/>
                      <w:b w:val="0"/>
                      <w:bCs/>
                      <w:color w:val="auto"/>
                    </w:rPr>
                    <w:t>水性丙烯酸聚氨酯面漆</w:t>
                  </w:r>
                </w:p>
              </w:tc>
              <w:tc>
                <w:tcPr>
                  <w:tcW w:w="1368" w:type="pct"/>
                  <w:tcBorders>
                    <w:tl2br w:val="nil"/>
                    <w:tr2bl w:val="nil"/>
                  </w:tcBorders>
                  <w:vAlign w:val="center"/>
                </w:tcPr>
                <w:p w14:paraId="39BA51BA">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color w:val="auto"/>
                    </w:rPr>
                  </w:pPr>
                  <w:r>
                    <w:rPr>
                      <w:rFonts w:ascii="Times New Roman" w:hAnsi="Times New Roman"/>
                      <w:b w:val="0"/>
                      <w:bCs/>
                      <w:color w:val="auto"/>
                    </w:rPr>
                    <w:t>≤</w:t>
                  </w:r>
                  <w:r>
                    <w:rPr>
                      <w:rFonts w:hint="eastAsia" w:ascii="Times New Roman" w:hAnsi="Times New Roman"/>
                      <w:b w:val="0"/>
                      <w:bCs/>
                      <w:color w:val="auto"/>
                      <w:lang w:val="en-US" w:eastAsia="zh-CN"/>
                    </w:rPr>
                    <w:t>300</w:t>
                  </w:r>
                  <w:r>
                    <w:rPr>
                      <w:rFonts w:ascii="Times New Roman" w:hAnsi="Times New Roman"/>
                      <w:b w:val="0"/>
                      <w:bCs/>
                      <w:color w:val="auto"/>
                    </w:rPr>
                    <w:t>g/L</w:t>
                  </w:r>
                </w:p>
              </w:tc>
              <w:tc>
                <w:tcPr>
                  <w:tcW w:w="2419" w:type="pct"/>
                  <w:tcBorders>
                    <w:tl2br w:val="nil"/>
                    <w:tr2bl w:val="nil"/>
                  </w:tcBorders>
                  <w:vAlign w:val="center"/>
                </w:tcPr>
                <w:p w14:paraId="48D5E240">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color w:val="auto"/>
                    </w:rPr>
                  </w:pPr>
                  <w:r>
                    <w:rPr>
                      <w:rFonts w:hint="eastAsia" w:ascii="Times New Roman" w:hAnsi="Times New Roman"/>
                      <w:b w:val="0"/>
                      <w:bCs w:val="0"/>
                      <w:color w:val="auto"/>
                    </w:rPr>
                    <w:t>根据水性丙烯酸面漆VOC检测报告，</w:t>
                  </w:r>
                  <w:r>
                    <w:rPr>
                      <w:rFonts w:hint="eastAsia" w:ascii="Times New Roman" w:hAnsi="Times New Roman"/>
                      <w:b w:val="0"/>
                      <w:bCs w:val="0"/>
                      <w:color w:val="auto"/>
                      <w:lang w:val="en-US" w:eastAsia="zh-CN"/>
                    </w:rPr>
                    <w:t>本项目使用的水性丙烯酸面漆中</w:t>
                  </w:r>
                  <w:r>
                    <w:rPr>
                      <w:rFonts w:hint="eastAsia" w:ascii="Times New Roman" w:hAnsi="Times New Roman"/>
                      <w:b w:val="0"/>
                      <w:bCs w:val="0"/>
                      <w:color w:val="auto"/>
                    </w:rPr>
                    <w:t>挥发性有机物含量为31g/L</w:t>
                  </w:r>
                  <w:r>
                    <w:rPr>
                      <w:rFonts w:hint="eastAsia" w:ascii="Times New Roman" w:hAnsi="Times New Roman"/>
                      <w:b w:val="0"/>
                      <w:bCs w:val="0"/>
                      <w:color w:val="auto"/>
                      <w:lang w:eastAsia="zh-CN"/>
                    </w:rPr>
                    <w:t>。</w:t>
                  </w:r>
                </w:p>
              </w:tc>
              <w:tc>
                <w:tcPr>
                  <w:tcW w:w="450" w:type="pct"/>
                  <w:tcBorders>
                    <w:tl2br w:val="nil"/>
                    <w:tr2bl w:val="nil"/>
                  </w:tcBorders>
                  <w:vAlign w:val="center"/>
                </w:tcPr>
                <w:p w14:paraId="746F6C8D">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color w:val="auto"/>
                    </w:rPr>
                  </w:pPr>
                  <w:r>
                    <w:rPr>
                      <w:rFonts w:ascii="Times New Roman" w:hAnsi="Times New Roman"/>
                      <w:b w:val="0"/>
                      <w:bCs/>
                      <w:color w:val="auto"/>
                    </w:rPr>
                    <w:t>相符</w:t>
                  </w:r>
                </w:p>
              </w:tc>
            </w:tr>
          </w:tbl>
          <w:p w14:paraId="04F1BB78">
            <w:pPr>
              <w:pStyle w:val="6"/>
              <w:ind w:firstLine="420"/>
              <w:rPr>
                <w:b w:val="0"/>
                <w:bCs/>
                <w:color w:val="auto"/>
              </w:rPr>
            </w:pPr>
            <w:r>
              <w:rPr>
                <w:rFonts w:hint="eastAsia"/>
                <w:b w:val="0"/>
                <w:bCs/>
                <w:color w:val="auto"/>
                <w:lang w:val="en-US" w:eastAsia="zh-CN"/>
              </w:rPr>
              <w:t>综上</w:t>
            </w:r>
            <w:r>
              <w:rPr>
                <w:b w:val="0"/>
                <w:bCs/>
                <w:color w:val="auto"/>
              </w:rPr>
              <w:t>，本项目</w:t>
            </w:r>
            <w:r>
              <w:rPr>
                <w:rFonts w:hint="eastAsia"/>
                <w:b w:val="0"/>
                <w:bCs/>
                <w:color w:val="auto"/>
              </w:rPr>
              <w:t>使用的水性丙烯酸面漆</w:t>
            </w:r>
            <w:r>
              <w:rPr>
                <w:b w:val="0"/>
                <w:bCs/>
                <w:color w:val="auto"/>
              </w:rPr>
              <w:t>符合</w:t>
            </w:r>
            <w:r>
              <w:rPr>
                <w:b w:val="0"/>
                <w:color w:val="auto"/>
              </w:rPr>
              <w:t>《低挥发性有机化合物含量涂料产品技术要求》（GB/T38597-2020）</w:t>
            </w:r>
            <w:r>
              <w:rPr>
                <w:rFonts w:hint="eastAsia"/>
                <w:b w:val="0"/>
                <w:color w:val="auto"/>
                <w:lang w:val="en-US" w:eastAsia="zh-CN"/>
              </w:rPr>
              <w:t>表1水性涂料中VOC含量的</w:t>
            </w:r>
            <w:r>
              <w:rPr>
                <w:b w:val="0"/>
                <w:bCs/>
                <w:color w:val="auto"/>
              </w:rPr>
              <w:t>要求。</w:t>
            </w:r>
          </w:p>
          <w:p w14:paraId="1B38088E">
            <w:pPr>
              <w:spacing w:line="240" w:lineRule="auto"/>
              <w:rPr>
                <w:color w:val="auto"/>
              </w:rPr>
            </w:pPr>
          </w:p>
          <w:p w14:paraId="12C88206">
            <w:pPr>
              <w:ind w:left="0" w:leftChars="0" w:firstLine="0" w:firstLineChars="0"/>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1.9 与《重点行业挥发性有机物综合治理方案》（环大气</w:t>
            </w:r>
            <w:r>
              <w:rPr>
                <w:rFonts w:hint="eastAsia" w:cs="Times New Roman"/>
                <w:b/>
                <w:bCs/>
                <w:color w:val="auto"/>
                <w:lang w:val="en-US" w:eastAsia="zh-CN"/>
              </w:rPr>
              <w:t>〔2019〕53号</w:t>
            </w:r>
            <w:r>
              <w:rPr>
                <w:rFonts w:hint="eastAsia" w:ascii="Times New Roman" w:hAnsi="Times New Roman" w:eastAsia="宋体" w:cs="Times New Roman"/>
                <w:b/>
                <w:bCs/>
                <w:color w:val="auto"/>
                <w:lang w:val="en-US" w:eastAsia="zh-CN"/>
              </w:rPr>
              <w:t>）的相符性分析</w:t>
            </w:r>
          </w:p>
          <w:p w14:paraId="345EAAE7">
            <w:pPr>
              <w:pStyle w:val="38"/>
              <w:bidi w:val="0"/>
              <w:rPr>
                <w:color w:val="auto"/>
              </w:rPr>
            </w:pPr>
            <w:r>
              <w:rPr>
                <w:color w:val="auto"/>
              </w:rPr>
              <w:t>表1-</w:t>
            </w:r>
            <w:r>
              <w:rPr>
                <w:rFonts w:hint="eastAsia"/>
                <w:color w:val="auto"/>
                <w:lang w:val="en-US" w:eastAsia="zh-CN"/>
              </w:rPr>
              <w:t>9</w:t>
            </w:r>
            <w:r>
              <w:rPr>
                <w:color w:val="auto"/>
              </w:rPr>
              <w:t xml:space="preserve">  本项目与《重点行业挥发性有机物综合治理方案》（环大气</w:t>
            </w:r>
            <w:r>
              <w:rPr>
                <w:rFonts w:hint="eastAsia"/>
                <w:color w:val="auto"/>
                <w:lang w:eastAsia="zh-CN"/>
              </w:rPr>
              <w:t>〔2019〕53号</w:t>
            </w:r>
            <w:r>
              <w:rPr>
                <w:color w:val="auto"/>
              </w:rPr>
              <w:t>）的相符性分析</w:t>
            </w:r>
          </w:p>
          <w:tbl>
            <w:tblPr>
              <w:tblStyle w:val="32"/>
              <w:tblW w:w="81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14"/>
              <w:gridCol w:w="4030"/>
              <w:gridCol w:w="2659"/>
              <w:gridCol w:w="696"/>
            </w:tblGrid>
            <w:tr w14:paraId="573D8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jc w:val="center"/>
              </w:trPr>
              <w:tc>
                <w:tcPr>
                  <w:tcW w:w="814" w:type="dxa"/>
                  <w:tcBorders>
                    <w:tl2br w:val="nil"/>
                    <w:tr2bl w:val="nil"/>
                  </w:tcBorders>
                  <w:vAlign w:val="center"/>
                </w:tcPr>
                <w:p w14:paraId="73E54F42">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b/>
                      <w:bCs/>
                      <w:color w:val="auto"/>
                    </w:rPr>
                  </w:pPr>
                  <w:r>
                    <w:rPr>
                      <w:rFonts w:hint="eastAsia"/>
                      <w:b/>
                      <w:bCs/>
                      <w:color w:val="auto"/>
                      <w:sz w:val="21"/>
                      <w:szCs w:val="21"/>
                    </w:rPr>
                    <w:t>序号</w:t>
                  </w:r>
                </w:p>
              </w:tc>
              <w:tc>
                <w:tcPr>
                  <w:tcW w:w="4030" w:type="dxa"/>
                  <w:tcBorders>
                    <w:tl2br w:val="nil"/>
                    <w:tr2bl w:val="nil"/>
                  </w:tcBorders>
                  <w:vAlign w:val="center"/>
                </w:tcPr>
                <w:p w14:paraId="2C43C7C4">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b/>
                      <w:bCs/>
                      <w:color w:val="auto"/>
                    </w:rPr>
                  </w:pPr>
                  <w:r>
                    <w:rPr>
                      <w:rFonts w:hint="eastAsia"/>
                      <w:b/>
                      <w:bCs/>
                      <w:color w:val="auto"/>
                      <w:sz w:val="21"/>
                      <w:szCs w:val="21"/>
                    </w:rPr>
                    <w:t>要求</w:t>
                  </w:r>
                </w:p>
              </w:tc>
              <w:tc>
                <w:tcPr>
                  <w:tcW w:w="2659" w:type="dxa"/>
                  <w:tcBorders>
                    <w:tl2br w:val="nil"/>
                    <w:tr2bl w:val="nil"/>
                  </w:tcBorders>
                  <w:vAlign w:val="center"/>
                </w:tcPr>
                <w:p w14:paraId="0524C841">
                  <w:pPr>
                    <w:pStyle w:val="37"/>
                    <w:keepNext w:val="0"/>
                    <w:keepLines w:val="0"/>
                    <w:pageBreakBefore w:val="0"/>
                    <w:widowControl/>
                    <w:kinsoku/>
                    <w:wordWrap/>
                    <w:overflowPunct/>
                    <w:topLinePunct w:val="0"/>
                    <w:autoSpaceDE/>
                    <w:autoSpaceDN/>
                    <w:bidi w:val="0"/>
                    <w:adjustRightInd w:val="0"/>
                    <w:snapToGrid w:val="0"/>
                    <w:spacing w:after="0"/>
                    <w:ind w:right="0"/>
                    <w:textAlignment w:val="auto"/>
                    <w:rPr>
                      <w:rFonts w:ascii="Times New Roman" w:hAnsi="Times New Roman"/>
                      <w:b/>
                      <w:bCs/>
                      <w:color w:val="auto"/>
                    </w:rPr>
                  </w:pPr>
                  <w:r>
                    <w:rPr>
                      <w:rFonts w:ascii="Times New Roman" w:hAnsi="Times New Roman"/>
                      <w:b/>
                      <w:bCs/>
                      <w:color w:val="auto"/>
                    </w:rPr>
                    <w:t>本项目情况</w:t>
                  </w:r>
                </w:p>
              </w:tc>
              <w:tc>
                <w:tcPr>
                  <w:tcW w:w="696" w:type="dxa"/>
                  <w:tcBorders>
                    <w:tl2br w:val="nil"/>
                    <w:tr2bl w:val="nil"/>
                  </w:tcBorders>
                  <w:vAlign w:val="center"/>
                </w:tcPr>
                <w:p w14:paraId="7B5E5887">
                  <w:pPr>
                    <w:pStyle w:val="37"/>
                    <w:keepNext w:val="0"/>
                    <w:keepLines w:val="0"/>
                    <w:pageBreakBefore w:val="0"/>
                    <w:widowControl/>
                    <w:kinsoku/>
                    <w:wordWrap/>
                    <w:overflowPunct/>
                    <w:topLinePunct w:val="0"/>
                    <w:autoSpaceDE/>
                    <w:autoSpaceDN/>
                    <w:bidi w:val="0"/>
                    <w:adjustRightInd w:val="0"/>
                    <w:snapToGrid w:val="0"/>
                    <w:spacing w:after="0"/>
                    <w:ind w:right="0"/>
                    <w:textAlignment w:val="auto"/>
                    <w:rPr>
                      <w:rFonts w:ascii="Times New Roman" w:hAnsi="Times New Roman"/>
                      <w:b/>
                      <w:bCs/>
                      <w:color w:val="auto"/>
                    </w:rPr>
                  </w:pPr>
                  <w:r>
                    <w:rPr>
                      <w:rFonts w:ascii="Times New Roman" w:hAnsi="Times New Roman"/>
                      <w:b/>
                      <w:bCs/>
                      <w:color w:val="auto"/>
                    </w:rPr>
                    <w:t>相符性</w:t>
                  </w:r>
                </w:p>
              </w:tc>
            </w:tr>
            <w:tr w14:paraId="083C8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1884" w:hRule="atLeast"/>
                <w:jc w:val="center"/>
              </w:trPr>
              <w:tc>
                <w:tcPr>
                  <w:tcW w:w="814" w:type="dxa"/>
                  <w:tcBorders>
                    <w:tl2br w:val="nil"/>
                    <w:tr2bl w:val="nil"/>
                  </w:tcBorders>
                  <w:vAlign w:val="center"/>
                </w:tcPr>
                <w:p w14:paraId="04606FF8">
                  <w:pPr>
                    <w:pStyle w:val="37"/>
                    <w:keepNext w:val="0"/>
                    <w:keepLines w:val="0"/>
                    <w:pageBreakBefore w:val="0"/>
                    <w:widowControl/>
                    <w:kinsoku/>
                    <w:wordWrap/>
                    <w:overflowPunct/>
                    <w:topLinePunct w:val="0"/>
                    <w:autoSpaceDE/>
                    <w:autoSpaceDN/>
                    <w:bidi w:val="0"/>
                    <w:adjustRightInd w:val="0"/>
                    <w:snapToGrid w:val="0"/>
                    <w:spacing w:after="0"/>
                    <w:ind w:right="0"/>
                    <w:textAlignment w:val="auto"/>
                    <w:rPr>
                      <w:rFonts w:ascii="Times New Roman" w:hAnsi="Times New Roman"/>
                      <w:b w:val="0"/>
                      <w:bCs/>
                      <w:color w:val="auto"/>
                    </w:rPr>
                  </w:pPr>
                  <w:r>
                    <w:rPr>
                      <w:rFonts w:hint="eastAsia" w:ascii="Times New Roman" w:hAnsi="Times New Roman"/>
                      <w:b w:val="0"/>
                      <w:bCs/>
                      <w:color w:val="auto"/>
                    </w:rPr>
                    <w:t>（一）加强政策引导。</w:t>
                  </w:r>
                </w:p>
              </w:tc>
              <w:tc>
                <w:tcPr>
                  <w:tcW w:w="4030" w:type="dxa"/>
                  <w:tcBorders>
                    <w:tl2br w:val="nil"/>
                    <w:tr2bl w:val="nil"/>
                  </w:tcBorders>
                  <w:vAlign w:val="center"/>
                </w:tcPr>
                <w:p w14:paraId="0A3D9648">
                  <w:pPr>
                    <w:pStyle w:val="37"/>
                    <w:keepNext w:val="0"/>
                    <w:keepLines w:val="0"/>
                    <w:pageBreakBefore w:val="0"/>
                    <w:widowControl/>
                    <w:kinsoku/>
                    <w:wordWrap/>
                    <w:overflowPunct/>
                    <w:topLinePunct w:val="0"/>
                    <w:autoSpaceDE/>
                    <w:autoSpaceDN/>
                    <w:bidi w:val="0"/>
                    <w:adjustRightInd w:val="0"/>
                    <w:snapToGrid w:val="0"/>
                    <w:spacing w:after="0"/>
                    <w:ind w:right="0"/>
                    <w:jc w:val="both"/>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企业采用符合国家有关低VOCs含量产品规定的涂料、油墨、胶粘剂等，排放浓度稳定达标且排放速率、排放绩效等满足相关规定的相应生产工序可不要求建设</w:t>
                  </w:r>
                  <w:r>
                    <w:rPr>
                      <w:rFonts w:hint="eastAsia" w:ascii="Times New Roman" w:hAnsi="Times New Roman" w:cs="Times New Roman"/>
                      <w:b w:val="0"/>
                      <w:bCs/>
                      <w:color w:val="auto"/>
                      <w:lang w:eastAsia="zh-CN"/>
                    </w:rPr>
                    <w:t>末端</w:t>
                  </w:r>
                  <w:r>
                    <w:rPr>
                      <w:rFonts w:hint="default" w:ascii="Times New Roman" w:hAnsi="Times New Roman" w:cs="Times New Roman"/>
                      <w:b w:val="0"/>
                      <w:bCs/>
                      <w:color w:val="auto"/>
                    </w:rPr>
                    <w:t>治理设施。使用的原辅材料VOCs含量（质量比）低于10%的工序，可不要求采取无组织排放收集措施。</w:t>
                  </w:r>
                </w:p>
              </w:tc>
              <w:tc>
                <w:tcPr>
                  <w:tcW w:w="2659" w:type="dxa"/>
                  <w:tcBorders>
                    <w:tl2br w:val="nil"/>
                    <w:tr2bl w:val="nil"/>
                  </w:tcBorders>
                  <w:vAlign w:val="center"/>
                </w:tcPr>
                <w:p w14:paraId="78D50B51">
                  <w:pPr>
                    <w:pStyle w:val="37"/>
                    <w:keepNext w:val="0"/>
                    <w:keepLines w:val="0"/>
                    <w:pageBreakBefore w:val="0"/>
                    <w:widowControl/>
                    <w:kinsoku/>
                    <w:wordWrap/>
                    <w:overflowPunct/>
                    <w:topLinePunct w:val="0"/>
                    <w:autoSpaceDE/>
                    <w:autoSpaceDN/>
                    <w:bidi w:val="0"/>
                    <w:adjustRightInd w:val="0"/>
                    <w:snapToGrid w:val="0"/>
                    <w:spacing w:after="0"/>
                    <w:ind w:right="0"/>
                    <w:jc w:val="both"/>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根据上表，本项目使用的</w:t>
                  </w:r>
                  <w:r>
                    <w:rPr>
                      <w:rFonts w:hint="default" w:ascii="Times New Roman" w:hAnsi="Times New Roman" w:cs="Times New Roman"/>
                      <w:b w:val="0"/>
                      <w:bCs/>
                      <w:color w:val="auto"/>
                      <w:sz w:val="21"/>
                      <w:szCs w:val="21"/>
                      <w:lang w:val="en-US" w:eastAsia="zh-CN"/>
                    </w:rPr>
                    <w:t>水性</w:t>
                  </w:r>
                  <w:r>
                    <w:rPr>
                      <w:rFonts w:hint="default" w:ascii="Times New Roman" w:hAnsi="Times New Roman" w:cs="Times New Roman"/>
                      <w:b w:val="0"/>
                      <w:bCs/>
                      <w:color w:val="auto"/>
                      <w:sz w:val="21"/>
                      <w:szCs w:val="21"/>
                    </w:rPr>
                    <w:t>涂料符合《低挥发性有机化合物含量涂料产品技术要求》（GB/T38597-2020）</w:t>
                  </w:r>
                  <w:r>
                    <w:rPr>
                      <w:rFonts w:hint="default" w:ascii="Times New Roman" w:hAnsi="Times New Roman" w:cs="Times New Roman"/>
                      <w:b w:val="0"/>
                      <w:bCs/>
                      <w:color w:val="auto"/>
                      <w:sz w:val="21"/>
                      <w:szCs w:val="21"/>
                      <w:lang w:val="en-US" w:eastAsia="zh-CN"/>
                    </w:rPr>
                    <w:t>表1水性涂料中VOC含量的</w:t>
                  </w:r>
                  <w:r>
                    <w:rPr>
                      <w:rFonts w:hint="default" w:ascii="Times New Roman" w:hAnsi="Times New Roman" w:cs="Times New Roman"/>
                      <w:b w:val="0"/>
                      <w:bCs/>
                      <w:color w:val="auto"/>
                      <w:sz w:val="21"/>
                      <w:szCs w:val="21"/>
                    </w:rPr>
                    <w:t>要求。</w:t>
                  </w:r>
                </w:p>
              </w:tc>
              <w:tc>
                <w:tcPr>
                  <w:tcW w:w="696" w:type="dxa"/>
                  <w:tcBorders>
                    <w:tl2br w:val="nil"/>
                    <w:tr2bl w:val="nil"/>
                  </w:tcBorders>
                  <w:vAlign w:val="center"/>
                </w:tcPr>
                <w:p w14:paraId="24FDF3CF">
                  <w:pPr>
                    <w:pStyle w:val="37"/>
                    <w:keepNext w:val="0"/>
                    <w:keepLines w:val="0"/>
                    <w:pageBreakBefore w:val="0"/>
                    <w:widowControl/>
                    <w:kinsoku/>
                    <w:wordWrap/>
                    <w:overflowPunct/>
                    <w:topLinePunct w:val="0"/>
                    <w:autoSpaceDE/>
                    <w:autoSpaceDN/>
                    <w:bidi w:val="0"/>
                    <w:adjustRightInd w:val="0"/>
                    <w:snapToGrid w:val="0"/>
                    <w:spacing w:after="0"/>
                    <w:ind w:right="0"/>
                    <w:textAlignment w:val="auto"/>
                    <w:rPr>
                      <w:rFonts w:ascii="Times New Roman" w:hAnsi="Times New Roman"/>
                      <w:b w:val="0"/>
                      <w:bCs/>
                      <w:color w:val="auto"/>
                    </w:rPr>
                  </w:pPr>
                  <w:r>
                    <w:rPr>
                      <w:rFonts w:ascii="Times New Roman" w:hAnsi="Times New Roman"/>
                      <w:b w:val="0"/>
                      <w:bCs/>
                      <w:color w:val="auto"/>
                    </w:rPr>
                    <w:t>相符</w:t>
                  </w:r>
                </w:p>
              </w:tc>
            </w:tr>
            <w:tr w14:paraId="0B2DF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8" w:hRule="atLeast"/>
                <w:jc w:val="center"/>
              </w:trPr>
              <w:tc>
                <w:tcPr>
                  <w:tcW w:w="814" w:type="dxa"/>
                  <w:tcBorders>
                    <w:tl2br w:val="nil"/>
                    <w:tr2bl w:val="nil"/>
                  </w:tcBorders>
                  <w:vAlign w:val="center"/>
                </w:tcPr>
                <w:p w14:paraId="3AC79BA8">
                  <w:pPr>
                    <w:pStyle w:val="37"/>
                    <w:keepNext w:val="0"/>
                    <w:keepLines w:val="0"/>
                    <w:pageBreakBefore w:val="0"/>
                    <w:widowControl/>
                    <w:kinsoku/>
                    <w:wordWrap/>
                    <w:overflowPunct/>
                    <w:topLinePunct w:val="0"/>
                    <w:autoSpaceDE/>
                    <w:autoSpaceDN/>
                    <w:bidi w:val="0"/>
                    <w:adjustRightInd w:val="0"/>
                    <w:snapToGrid w:val="0"/>
                    <w:spacing w:after="0"/>
                    <w:ind w:right="0"/>
                    <w:textAlignment w:val="auto"/>
                    <w:rPr>
                      <w:rFonts w:ascii="Times New Roman" w:hAnsi="Times New Roman"/>
                      <w:b w:val="0"/>
                      <w:bCs/>
                      <w:color w:val="auto"/>
                    </w:rPr>
                  </w:pPr>
                  <w:r>
                    <w:rPr>
                      <w:rFonts w:hint="eastAsia" w:ascii="Times New Roman" w:hAnsi="Times New Roman"/>
                      <w:b w:val="0"/>
                      <w:bCs/>
                      <w:color w:val="auto"/>
                    </w:rPr>
                    <w:t>（二）</w:t>
                  </w:r>
                  <w:r>
                    <w:rPr>
                      <w:rFonts w:ascii="Times New Roman" w:hAnsi="Times New Roman"/>
                      <w:b w:val="0"/>
                      <w:bCs/>
                      <w:color w:val="auto"/>
                    </w:rPr>
                    <w:t>全面加强无组织排放控制。</w:t>
                  </w:r>
                </w:p>
              </w:tc>
              <w:tc>
                <w:tcPr>
                  <w:tcW w:w="4030" w:type="dxa"/>
                  <w:tcBorders>
                    <w:tl2br w:val="nil"/>
                    <w:tr2bl w:val="nil"/>
                  </w:tcBorders>
                  <w:vAlign w:val="center"/>
                </w:tcPr>
                <w:p w14:paraId="01DFB069">
                  <w:pPr>
                    <w:pStyle w:val="37"/>
                    <w:keepNext w:val="0"/>
                    <w:keepLines w:val="0"/>
                    <w:pageBreakBefore w:val="0"/>
                    <w:widowControl/>
                    <w:kinsoku/>
                    <w:wordWrap/>
                    <w:overflowPunct/>
                    <w:topLinePunct w:val="0"/>
                    <w:autoSpaceDE/>
                    <w:autoSpaceDN/>
                    <w:bidi w:val="0"/>
                    <w:adjustRightInd w:val="0"/>
                    <w:snapToGrid w:val="0"/>
                    <w:spacing w:after="0"/>
                    <w:ind w:right="0"/>
                    <w:jc w:val="both"/>
                    <w:textAlignment w:val="auto"/>
                    <w:rPr>
                      <w:rFonts w:ascii="Times New Roman" w:hAnsi="Times New Roman"/>
                      <w:b w:val="0"/>
                      <w:bCs/>
                      <w:color w:val="auto"/>
                    </w:rPr>
                  </w:pPr>
                  <w:r>
                    <w:rPr>
                      <w:rFonts w:ascii="Times New Roman" w:hAnsi="Times New Roman"/>
                      <w:b w:val="0"/>
                      <w:bCs/>
                      <w:color w:val="auto"/>
                    </w:rPr>
                    <w:t>重点对含VOCs物料</w:t>
                  </w:r>
                  <w:r>
                    <w:rPr>
                      <w:rFonts w:hint="eastAsia" w:ascii="Times New Roman" w:hAnsi="Times New Roman"/>
                      <w:b w:val="0"/>
                      <w:bCs/>
                      <w:color w:val="auto"/>
                    </w:rPr>
                    <w:t>（</w:t>
                  </w:r>
                  <w:r>
                    <w:rPr>
                      <w:rFonts w:ascii="Times New Roman" w:hAnsi="Times New Roman"/>
                      <w:b w:val="0"/>
                      <w:bCs/>
                      <w:color w:val="auto"/>
                    </w:rPr>
                    <w:t>包括含VOCs原辅材料、含VOCs产品、含VOCs废料以及有机聚合物材料等</w:t>
                  </w:r>
                  <w:r>
                    <w:rPr>
                      <w:rFonts w:hint="eastAsia" w:ascii="Times New Roman" w:hAnsi="Times New Roman"/>
                      <w:b w:val="0"/>
                      <w:bCs/>
                      <w:color w:val="auto"/>
                    </w:rPr>
                    <w:t>）</w:t>
                  </w:r>
                  <w:r>
                    <w:rPr>
                      <w:rFonts w:ascii="Times New Roman" w:hAnsi="Times New Roman"/>
                      <w:b w:val="0"/>
                      <w:bCs/>
                      <w:color w:val="auto"/>
                    </w:rPr>
                    <w:t>储存、转移和输送、设备与管线组件泄漏、敞开液面逸散以及工艺过程等五类排放源实施管控，通过采取设备与场所密闭、工艺改进、废气有效收集等措施，削减VOCs无组织排放。</w:t>
                  </w:r>
                </w:p>
              </w:tc>
              <w:tc>
                <w:tcPr>
                  <w:tcW w:w="2659" w:type="dxa"/>
                  <w:tcBorders>
                    <w:tl2br w:val="nil"/>
                    <w:tr2bl w:val="nil"/>
                  </w:tcBorders>
                  <w:vAlign w:val="center"/>
                </w:tcPr>
                <w:p w14:paraId="52C68433">
                  <w:pPr>
                    <w:pStyle w:val="37"/>
                    <w:keepNext w:val="0"/>
                    <w:keepLines w:val="0"/>
                    <w:pageBreakBefore w:val="0"/>
                    <w:widowControl/>
                    <w:kinsoku/>
                    <w:wordWrap/>
                    <w:overflowPunct/>
                    <w:topLinePunct w:val="0"/>
                    <w:autoSpaceDE/>
                    <w:autoSpaceDN/>
                    <w:bidi w:val="0"/>
                    <w:adjustRightInd w:val="0"/>
                    <w:snapToGrid w:val="0"/>
                    <w:spacing w:after="0"/>
                    <w:ind w:right="0"/>
                    <w:jc w:val="both"/>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本项目</w:t>
                  </w:r>
                  <w:r>
                    <w:rPr>
                      <w:rFonts w:hint="default" w:ascii="Times New Roman" w:hAnsi="Times New Roman" w:cs="Times New Roman"/>
                      <w:b w:val="0"/>
                      <w:bCs/>
                      <w:color w:val="auto"/>
                      <w:sz w:val="21"/>
                      <w:szCs w:val="21"/>
                      <w:lang w:val="en-US" w:eastAsia="zh-CN"/>
                    </w:rPr>
                    <w:t>面漆</w:t>
                  </w:r>
                  <w:r>
                    <w:rPr>
                      <w:rFonts w:hint="eastAsia" w:ascii="Times New Roman" w:hAnsi="Times New Roman" w:cs="Times New Roman"/>
                      <w:b w:val="0"/>
                      <w:bCs/>
                      <w:color w:val="auto"/>
                      <w:sz w:val="21"/>
                      <w:szCs w:val="21"/>
                      <w:lang w:val="en-US" w:eastAsia="zh-CN"/>
                    </w:rPr>
                    <w:t>在</w:t>
                  </w:r>
                  <w:r>
                    <w:rPr>
                      <w:rFonts w:hint="default" w:ascii="Times New Roman" w:hAnsi="Times New Roman" w:cs="Times New Roman"/>
                      <w:b w:val="0"/>
                      <w:bCs/>
                      <w:color w:val="auto"/>
                      <w:sz w:val="21"/>
                      <w:szCs w:val="21"/>
                      <w:lang w:val="en-US" w:eastAsia="zh-CN"/>
                    </w:rPr>
                    <w:t>辅</w:t>
                  </w:r>
                  <w:r>
                    <w:rPr>
                      <w:rFonts w:hint="default" w:ascii="Times New Roman" w:hAnsi="Times New Roman" w:cs="Times New Roman"/>
                      <w:b w:val="0"/>
                      <w:bCs/>
                      <w:color w:val="auto"/>
                      <w:sz w:val="21"/>
                      <w:szCs w:val="21"/>
                    </w:rPr>
                    <w:t>料库密封保存，</w:t>
                  </w:r>
                  <w:r>
                    <w:rPr>
                      <w:rFonts w:hint="default" w:ascii="Times New Roman" w:hAnsi="Times New Roman" w:cs="Times New Roman"/>
                      <w:b w:val="0"/>
                      <w:bCs/>
                      <w:color w:val="auto"/>
                      <w:sz w:val="21"/>
                      <w:szCs w:val="21"/>
                      <w:lang w:val="en-US" w:eastAsia="zh-CN"/>
                    </w:rPr>
                    <w:t>面漆</w:t>
                  </w:r>
                  <w:r>
                    <w:rPr>
                      <w:rFonts w:hint="eastAsia" w:ascii="Times New Roman" w:hAnsi="Times New Roman" w:cs="Times New Roman"/>
                      <w:b w:val="0"/>
                      <w:bCs/>
                      <w:color w:val="auto"/>
                      <w:sz w:val="21"/>
                      <w:szCs w:val="21"/>
                      <w:lang w:val="en-US" w:eastAsia="zh-CN"/>
                    </w:rPr>
                    <w:t>喷漆在</w:t>
                  </w:r>
                  <w:r>
                    <w:rPr>
                      <w:rFonts w:hint="default" w:ascii="Times New Roman" w:hAnsi="Times New Roman" w:cs="Times New Roman"/>
                      <w:b w:val="0"/>
                      <w:bCs/>
                      <w:color w:val="auto"/>
                      <w:sz w:val="21"/>
                      <w:szCs w:val="21"/>
                    </w:rPr>
                    <w:t>喷漆房进行，</w:t>
                  </w:r>
                  <w:r>
                    <w:rPr>
                      <w:rFonts w:hint="eastAsia" w:ascii="Times New Roman" w:hAnsi="Times New Roman" w:cs="Times New Roman"/>
                      <w:b w:val="0"/>
                      <w:bCs/>
                      <w:color w:val="auto"/>
                      <w:sz w:val="21"/>
                      <w:szCs w:val="21"/>
                      <w:lang w:eastAsia="zh-CN"/>
                    </w:rPr>
                    <w:t>晾干在晾干房进行，</w:t>
                  </w:r>
                  <w:r>
                    <w:rPr>
                      <w:rFonts w:hint="default" w:ascii="Times New Roman" w:hAnsi="Times New Roman" w:cs="Times New Roman"/>
                      <w:b w:val="0"/>
                      <w:bCs/>
                      <w:color w:val="auto"/>
                      <w:sz w:val="21"/>
                      <w:szCs w:val="21"/>
                    </w:rPr>
                    <w:t>通过喷漆房</w:t>
                  </w:r>
                  <w:r>
                    <w:rPr>
                      <w:rFonts w:hint="eastAsia" w:ascii="Times New Roman" w:hAnsi="Times New Roman" w:cs="Times New Roman"/>
                      <w:b w:val="0"/>
                      <w:bCs/>
                      <w:color w:val="auto"/>
                      <w:sz w:val="21"/>
                      <w:szCs w:val="21"/>
                      <w:lang w:eastAsia="zh-CN"/>
                    </w:rPr>
                    <w:t>、晾干房</w:t>
                  </w:r>
                  <w:r>
                    <w:rPr>
                      <w:rFonts w:hint="default" w:ascii="Times New Roman" w:hAnsi="Times New Roman" w:cs="Times New Roman"/>
                      <w:b w:val="0"/>
                      <w:bCs/>
                      <w:color w:val="auto"/>
                      <w:sz w:val="21"/>
                      <w:szCs w:val="21"/>
                    </w:rPr>
                    <w:t>密闭，有机废气负压收集后经两级活性炭吸附处理后由一根15m排气筒（DA00</w:t>
                  </w:r>
                  <w:r>
                    <w:rPr>
                      <w:rFonts w:hint="default" w:ascii="Times New Roman" w:hAnsi="Times New Roman" w:cs="Times New Roman"/>
                      <w:b w:val="0"/>
                      <w:bCs/>
                      <w:color w:val="auto"/>
                      <w:sz w:val="21"/>
                      <w:szCs w:val="21"/>
                      <w:lang w:val="en-US" w:eastAsia="zh-CN"/>
                    </w:rPr>
                    <w:t>2</w:t>
                  </w:r>
                  <w:r>
                    <w:rPr>
                      <w:rFonts w:hint="default" w:ascii="Times New Roman" w:hAnsi="Times New Roman" w:cs="Times New Roman"/>
                      <w:b w:val="0"/>
                      <w:bCs/>
                      <w:color w:val="auto"/>
                      <w:sz w:val="21"/>
                      <w:szCs w:val="21"/>
                    </w:rPr>
                    <w:t>）排放。</w:t>
                  </w:r>
                </w:p>
              </w:tc>
              <w:tc>
                <w:tcPr>
                  <w:tcW w:w="696" w:type="dxa"/>
                  <w:tcBorders>
                    <w:tl2br w:val="nil"/>
                    <w:tr2bl w:val="nil"/>
                  </w:tcBorders>
                  <w:vAlign w:val="center"/>
                </w:tcPr>
                <w:p w14:paraId="146FCE66">
                  <w:pPr>
                    <w:pStyle w:val="37"/>
                    <w:keepNext w:val="0"/>
                    <w:keepLines w:val="0"/>
                    <w:pageBreakBefore w:val="0"/>
                    <w:widowControl/>
                    <w:kinsoku/>
                    <w:wordWrap/>
                    <w:overflowPunct/>
                    <w:topLinePunct w:val="0"/>
                    <w:autoSpaceDE/>
                    <w:autoSpaceDN/>
                    <w:bidi w:val="0"/>
                    <w:adjustRightInd w:val="0"/>
                    <w:snapToGrid w:val="0"/>
                    <w:spacing w:after="0"/>
                    <w:ind w:right="0"/>
                    <w:textAlignment w:val="auto"/>
                    <w:rPr>
                      <w:rFonts w:ascii="Times New Roman" w:hAnsi="Times New Roman"/>
                      <w:b w:val="0"/>
                      <w:bCs/>
                      <w:color w:val="auto"/>
                    </w:rPr>
                  </w:pPr>
                  <w:r>
                    <w:rPr>
                      <w:rFonts w:ascii="Times New Roman" w:hAnsi="Times New Roman"/>
                      <w:b w:val="0"/>
                      <w:bCs/>
                      <w:color w:val="auto"/>
                    </w:rPr>
                    <w:t>相符</w:t>
                  </w:r>
                </w:p>
              </w:tc>
            </w:tr>
            <w:tr w14:paraId="56DB8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9" w:hRule="atLeast"/>
                <w:jc w:val="center"/>
              </w:trPr>
              <w:tc>
                <w:tcPr>
                  <w:tcW w:w="814" w:type="dxa"/>
                  <w:tcBorders>
                    <w:tl2br w:val="nil"/>
                    <w:tr2bl w:val="nil"/>
                  </w:tcBorders>
                  <w:vAlign w:val="center"/>
                </w:tcPr>
                <w:p w14:paraId="66522DB0">
                  <w:pPr>
                    <w:pStyle w:val="37"/>
                    <w:keepNext w:val="0"/>
                    <w:keepLines w:val="0"/>
                    <w:pageBreakBefore w:val="0"/>
                    <w:widowControl/>
                    <w:kinsoku/>
                    <w:wordWrap/>
                    <w:overflowPunct/>
                    <w:topLinePunct w:val="0"/>
                    <w:autoSpaceDE/>
                    <w:autoSpaceDN/>
                    <w:bidi w:val="0"/>
                    <w:adjustRightInd w:val="0"/>
                    <w:snapToGrid w:val="0"/>
                    <w:spacing w:after="0"/>
                    <w:ind w:right="0"/>
                    <w:textAlignment w:val="auto"/>
                    <w:rPr>
                      <w:rFonts w:ascii="Times New Roman" w:hAnsi="Times New Roman"/>
                      <w:b w:val="0"/>
                      <w:bCs/>
                      <w:color w:val="auto"/>
                    </w:rPr>
                  </w:pPr>
                  <w:r>
                    <w:rPr>
                      <w:rFonts w:hint="eastAsia" w:ascii="Times New Roman" w:hAnsi="Times New Roman"/>
                      <w:b w:val="0"/>
                      <w:bCs/>
                      <w:color w:val="auto"/>
                    </w:rPr>
                    <w:t>（三）推进建设适宜高效的治污设施。</w:t>
                  </w:r>
                </w:p>
              </w:tc>
              <w:tc>
                <w:tcPr>
                  <w:tcW w:w="4030" w:type="dxa"/>
                  <w:tcBorders>
                    <w:tl2br w:val="nil"/>
                    <w:tr2bl w:val="nil"/>
                  </w:tcBorders>
                  <w:vAlign w:val="center"/>
                </w:tcPr>
                <w:p w14:paraId="7A560A55">
                  <w:pPr>
                    <w:pStyle w:val="37"/>
                    <w:keepNext w:val="0"/>
                    <w:keepLines w:val="0"/>
                    <w:pageBreakBefore w:val="0"/>
                    <w:widowControl/>
                    <w:kinsoku/>
                    <w:wordWrap/>
                    <w:overflowPunct/>
                    <w:topLinePunct w:val="0"/>
                    <w:autoSpaceDE/>
                    <w:autoSpaceDN/>
                    <w:bidi w:val="0"/>
                    <w:adjustRightInd w:val="0"/>
                    <w:snapToGrid w:val="0"/>
                    <w:spacing w:after="0"/>
                    <w:ind w:right="0"/>
                    <w:jc w:val="both"/>
                    <w:textAlignment w:val="auto"/>
                    <w:rPr>
                      <w:rFonts w:ascii="Times New Roman" w:hAnsi="Times New Roman"/>
                      <w:b w:val="0"/>
                      <w:bCs/>
                      <w:color w:val="auto"/>
                    </w:rPr>
                  </w:pPr>
                  <w:r>
                    <w:rPr>
                      <w:rFonts w:ascii="Times New Roman" w:hAnsi="Times New Roman"/>
                      <w:b w:val="0"/>
                      <w:bCs/>
                      <w:color w:val="auto"/>
                    </w:rPr>
                    <w:t>企业新建治污设施或对现有治污设施实施改造，应依据排放废气的浓度、组分、风量，温度、湿度、压力，以及生产工况等，合理选择治理技术。鼓励企业采用多种技术的组合工艺，提高VOCs治理效率。低浓度、大风量废气，宜采用沸石转轮吸附、活性炭吸附减风增浓等浓缩技术，提高VOCs浓度后净化处理</w:t>
                  </w:r>
                  <w:r>
                    <w:rPr>
                      <w:rFonts w:hint="eastAsia" w:ascii="Times New Roman" w:hAnsi="Times New Roman"/>
                      <w:b w:val="0"/>
                      <w:bCs/>
                      <w:color w:val="auto"/>
                    </w:rPr>
                    <w:t>；</w:t>
                  </w:r>
                  <w:r>
                    <w:rPr>
                      <w:rFonts w:ascii="Times New Roman" w:hAnsi="Times New Roman"/>
                      <w:b w:val="0"/>
                      <w:bCs/>
                      <w:color w:val="auto"/>
                    </w:rPr>
                    <w:t>高浓度废气，优先进行溶剂回收，难以回收的，宜采用高温焚烧、催化燃烧等技术。油气</w:t>
                  </w:r>
                  <w:r>
                    <w:rPr>
                      <w:rFonts w:hint="eastAsia" w:ascii="Times New Roman" w:hAnsi="Times New Roman"/>
                      <w:b w:val="0"/>
                      <w:bCs/>
                      <w:color w:val="auto"/>
                    </w:rPr>
                    <w:t>（</w:t>
                  </w:r>
                  <w:r>
                    <w:rPr>
                      <w:rFonts w:ascii="Times New Roman" w:hAnsi="Times New Roman"/>
                      <w:b w:val="0"/>
                      <w:bCs/>
                      <w:color w:val="auto"/>
                    </w:rPr>
                    <w:t>溶剂</w:t>
                  </w:r>
                  <w:r>
                    <w:rPr>
                      <w:rFonts w:hint="eastAsia" w:ascii="Times New Roman" w:hAnsi="Times New Roman"/>
                      <w:b w:val="0"/>
                      <w:bCs/>
                      <w:color w:val="auto"/>
                    </w:rPr>
                    <w:t>）</w:t>
                  </w:r>
                  <w:r>
                    <w:rPr>
                      <w:rFonts w:ascii="Times New Roman" w:hAnsi="Times New Roman"/>
                      <w:b w:val="0"/>
                      <w:bCs/>
                      <w:color w:val="auto"/>
                    </w:rPr>
                    <w:t>回收宜采用冷凝+吸附、吸附+吸收、膜分离+吸附等技术。低温等离子、光催化光氧化技术主要适用于恶臭异味等治理</w:t>
                  </w:r>
                  <w:r>
                    <w:rPr>
                      <w:rFonts w:hint="eastAsia" w:ascii="Times New Roman" w:hAnsi="Times New Roman"/>
                      <w:b w:val="0"/>
                      <w:bCs/>
                      <w:color w:val="auto"/>
                    </w:rPr>
                    <w:t>；</w:t>
                  </w:r>
                  <w:r>
                    <w:rPr>
                      <w:rFonts w:ascii="Times New Roman" w:hAnsi="Times New Roman"/>
                      <w:b w:val="0"/>
                      <w:bCs/>
                      <w:color w:val="auto"/>
                    </w:rPr>
                    <w:t>生物法主要适用于低浓度VOCs废气治理和恶臭异味治理。非水溶性的VOCs废气禁止采用水或水溶液喷淋吸收处理。采用一次性活性炭吸附技术的，应定期更换活性炭，废旧活性炭应再生或处理处置。有条件的工业园区和产业集群等，推广集中喷涂、溶剂集中回收活性炭集中再生等，加强资源共享，提高VOCs治理效率。</w:t>
                  </w:r>
                </w:p>
              </w:tc>
              <w:tc>
                <w:tcPr>
                  <w:tcW w:w="2659" w:type="dxa"/>
                  <w:tcBorders>
                    <w:tl2br w:val="nil"/>
                    <w:tr2bl w:val="nil"/>
                  </w:tcBorders>
                  <w:vAlign w:val="center"/>
                </w:tcPr>
                <w:p w14:paraId="5FE9932C">
                  <w:pPr>
                    <w:pStyle w:val="37"/>
                    <w:keepNext w:val="0"/>
                    <w:keepLines w:val="0"/>
                    <w:pageBreakBefore w:val="0"/>
                    <w:widowControl/>
                    <w:kinsoku/>
                    <w:wordWrap/>
                    <w:overflowPunct/>
                    <w:topLinePunct w:val="0"/>
                    <w:autoSpaceDE/>
                    <w:autoSpaceDN/>
                    <w:bidi w:val="0"/>
                    <w:adjustRightInd w:val="0"/>
                    <w:snapToGrid w:val="0"/>
                    <w:spacing w:after="0"/>
                    <w:ind w:right="0"/>
                    <w:jc w:val="both"/>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本项目</w:t>
                  </w:r>
                  <w:r>
                    <w:rPr>
                      <w:rFonts w:hint="eastAsia" w:ascii="Times New Roman" w:hAnsi="Times New Roman" w:cs="Times New Roman"/>
                      <w:b w:val="0"/>
                      <w:bCs/>
                      <w:color w:val="auto"/>
                      <w:sz w:val="21"/>
                      <w:szCs w:val="21"/>
                      <w:lang w:eastAsia="zh-CN"/>
                    </w:rPr>
                    <w:t>水性丙烯酸</w:t>
                  </w:r>
                  <w:r>
                    <w:rPr>
                      <w:rFonts w:hint="default" w:ascii="Times New Roman" w:hAnsi="Times New Roman" w:cs="Times New Roman"/>
                      <w:b w:val="0"/>
                      <w:bCs/>
                      <w:color w:val="auto"/>
                      <w:sz w:val="21"/>
                      <w:szCs w:val="21"/>
                      <w:lang w:eastAsia="zh-CN"/>
                    </w:rPr>
                    <w:t>面漆</w:t>
                  </w:r>
                  <w:r>
                    <w:rPr>
                      <w:rFonts w:hint="default" w:ascii="Times New Roman" w:hAnsi="Times New Roman" w:cs="Times New Roman"/>
                      <w:b w:val="0"/>
                      <w:bCs/>
                      <w:color w:val="auto"/>
                      <w:sz w:val="21"/>
                      <w:szCs w:val="21"/>
                    </w:rPr>
                    <w:t>喷漆</w:t>
                  </w:r>
                  <w:r>
                    <w:rPr>
                      <w:rFonts w:hint="default" w:ascii="Times New Roman" w:hAnsi="Times New Roman" w:cs="Times New Roman"/>
                      <w:b w:val="0"/>
                      <w:bCs/>
                      <w:color w:val="auto"/>
                      <w:sz w:val="21"/>
                      <w:szCs w:val="21"/>
                      <w:lang w:eastAsia="zh-CN"/>
                    </w:rPr>
                    <w:t>、晾干</w:t>
                  </w:r>
                  <w:r>
                    <w:rPr>
                      <w:rFonts w:hint="default" w:ascii="Times New Roman" w:hAnsi="Times New Roman" w:cs="Times New Roman"/>
                      <w:b w:val="0"/>
                      <w:bCs/>
                      <w:color w:val="auto"/>
                      <w:sz w:val="21"/>
                      <w:szCs w:val="21"/>
                    </w:rPr>
                    <w:t>产生的有机废气均通过空间密闭，负压收集后合并进入两级活性炭处理由一根15m排气筒（DA00</w:t>
                  </w:r>
                  <w:r>
                    <w:rPr>
                      <w:rFonts w:hint="default" w:ascii="Times New Roman" w:hAnsi="Times New Roman" w:cs="Times New Roman"/>
                      <w:b w:val="0"/>
                      <w:bCs/>
                      <w:color w:val="auto"/>
                      <w:sz w:val="21"/>
                      <w:szCs w:val="21"/>
                      <w:lang w:val="en-US" w:eastAsia="zh-CN"/>
                    </w:rPr>
                    <w:t>2</w:t>
                  </w:r>
                  <w:r>
                    <w:rPr>
                      <w:rFonts w:hint="default" w:ascii="Times New Roman" w:hAnsi="Times New Roman" w:cs="Times New Roman"/>
                      <w:b w:val="0"/>
                      <w:bCs/>
                      <w:color w:val="auto"/>
                      <w:sz w:val="21"/>
                      <w:szCs w:val="21"/>
                    </w:rPr>
                    <w:t>）排放；两级活性炭吸附可显著提高VOCs处理效率。</w:t>
                  </w:r>
                </w:p>
              </w:tc>
              <w:tc>
                <w:tcPr>
                  <w:tcW w:w="696" w:type="dxa"/>
                  <w:tcBorders>
                    <w:tl2br w:val="nil"/>
                    <w:tr2bl w:val="nil"/>
                  </w:tcBorders>
                  <w:vAlign w:val="center"/>
                </w:tcPr>
                <w:p w14:paraId="505B0924">
                  <w:pPr>
                    <w:pStyle w:val="37"/>
                    <w:keepNext w:val="0"/>
                    <w:keepLines w:val="0"/>
                    <w:pageBreakBefore w:val="0"/>
                    <w:widowControl/>
                    <w:kinsoku/>
                    <w:wordWrap/>
                    <w:overflowPunct/>
                    <w:topLinePunct w:val="0"/>
                    <w:autoSpaceDE/>
                    <w:autoSpaceDN/>
                    <w:bidi w:val="0"/>
                    <w:adjustRightInd w:val="0"/>
                    <w:snapToGrid w:val="0"/>
                    <w:spacing w:after="0"/>
                    <w:ind w:right="0"/>
                    <w:textAlignment w:val="auto"/>
                    <w:rPr>
                      <w:rFonts w:ascii="Times New Roman" w:hAnsi="Times New Roman"/>
                      <w:b w:val="0"/>
                      <w:bCs/>
                      <w:color w:val="auto"/>
                    </w:rPr>
                  </w:pPr>
                  <w:r>
                    <w:rPr>
                      <w:rFonts w:hint="eastAsia" w:ascii="Times New Roman" w:hAnsi="Times New Roman"/>
                      <w:b w:val="0"/>
                      <w:bCs/>
                      <w:color w:val="auto"/>
                    </w:rPr>
                    <w:t>符合</w:t>
                  </w:r>
                </w:p>
              </w:tc>
            </w:tr>
          </w:tbl>
          <w:p w14:paraId="11F6B38B">
            <w:pPr>
              <w:ind w:firstLine="420"/>
              <w:rPr>
                <w:bCs/>
                <w:color w:val="auto"/>
                <w:szCs w:val="21"/>
              </w:rPr>
            </w:pPr>
            <w:r>
              <w:rPr>
                <w:bCs/>
                <w:color w:val="auto"/>
                <w:szCs w:val="21"/>
              </w:rPr>
              <w:t>因此，本项目符合</w:t>
            </w:r>
            <w:r>
              <w:rPr>
                <w:color w:val="auto"/>
                <w:szCs w:val="21"/>
              </w:rPr>
              <w:t>《重点行业挥发性有机物综合治理方案》（环大气</w:t>
            </w:r>
            <w:r>
              <w:rPr>
                <w:rFonts w:hint="eastAsia"/>
                <w:color w:val="auto"/>
                <w:szCs w:val="21"/>
                <w:lang w:eastAsia="zh-CN"/>
              </w:rPr>
              <w:t>〔2019〕53号</w:t>
            </w:r>
            <w:r>
              <w:rPr>
                <w:color w:val="auto"/>
                <w:szCs w:val="21"/>
              </w:rPr>
              <w:t>）</w:t>
            </w:r>
            <w:r>
              <w:rPr>
                <w:bCs/>
                <w:color w:val="auto"/>
                <w:szCs w:val="21"/>
              </w:rPr>
              <w:t>要求。</w:t>
            </w:r>
          </w:p>
          <w:p w14:paraId="737D280C">
            <w:pPr>
              <w:bidi w:val="0"/>
              <w:spacing w:line="240" w:lineRule="auto"/>
            </w:pPr>
          </w:p>
          <w:p w14:paraId="3BA8E6E3">
            <w:pPr>
              <w:ind w:left="0" w:leftChars="0" w:firstLine="0" w:firstLineChars="0"/>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1.10 本项目与《工业防护涂料中有害物质限量》（GB30981-2020）相符性分析</w:t>
            </w:r>
          </w:p>
          <w:p w14:paraId="79E1205B">
            <w:pPr>
              <w:pStyle w:val="38"/>
              <w:spacing w:before="0" w:after="0" w:line="240" w:lineRule="auto"/>
              <w:ind w:right="0" w:firstLine="0" w:firstLineChars="0"/>
              <w:rPr>
                <w:color w:val="auto"/>
              </w:rPr>
            </w:pPr>
            <w:r>
              <w:rPr>
                <w:color w:val="auto"/>
              </w:rPr>
              <w:t>表1-</w:t>
            </w:r>
            <w:r>
              <w:rPr>
                <w:rFonts w:hint="eastAsia"/>
                <w:color w:val="auto"/>
                <w:lang w:val="en-US" w:eastAsia="zh-CN"/>
              </w:rPr>
              <w:t xml:space="preserve">10 </w:t>
            </w:r>
            <w:r>
              <w:rPr>
                <w:color w:val="auto"/>
              </w:rPr>
              <w:t xml:space="preserve"> 本项目与</w:t>
            </w:r>
            <w:r>
              <w:rPr>
                <w:rFonts w:hint="eastAsia"/>
                <w:color w:val="auto"/>
              </w:rPr>
              <w:t>《工业防护涂料中有害物质限量》（GB30981-2020）</w:t>
            </w:r>
            <w:r>
              <w:rPr>
                <w:color w:val="auto"/>
              </w:rPr>
              <w:t>相符性分析</w:t>
            </w:r>
          </w:p>
          <w:tbl>
            <w:tblPr>
              <w:tblStyle w:val="32"/>
              <w:tblW w:w="81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66"/>
              <w:gridCol w:w="1325"/>
              <w:gridCol w:w="1100"/>
              <w:gridCol w:w="762"/>
              <w:gridCol w:w="2872"/>
              <w:gridCol w:w="904"/>
            </w:tblGrid>
            <w:tr w14:paraId="02B3C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2" w:hRule="atLeast"/>
                <w:jc w:val="center"/>
              </w:trPr>
              <w:tc>
                <w:tcPr>
                  <w:tcW w:w="1166" w:type="dxa"/>
                  <w:tcBorders>
                    <w:tl2br w:val="nil"/>
                    <w:tr2bl w:val="nil"/>
                  </w:tcBorders>
                  <w:vAlign w:val="center"/>
                </w:tcPr>
                <w:p w14:paraId="7F60B81C">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eastAsia" w:eastAsia="宋体"/>
                      <w:b/>
                      <w:bCs/>
                      <w:color w:val="auto"/>
                      <w:sz w:val="21"/>
                      <w:szCs w:val="21"/>
                      <w:lang w:eastAsia="zh-CN"/>
                    </w:rPr>
                  </w:pPr>
                  <w:r>
                    <w:rPr>
                      <w:rFonts w:hint="eastAsia"/>
                      <w:b/>
                      <w:bCs/>
                      <w:color w:val="auto"/>
                      <w:sz w:val="21"/>
                      <w:szCs w:val="21"/>
                      <w:lang w:eastAsia="zh-CN"/>
                    </w:rPr>
                    <w:t>要求</w:t>
                  </w:r>
                </w:p>
              </w:tc>
              <w:tc>
                <w:tcPr>
                  <w:tcW w:w="1325" w:type="dxa"/>
                  <w:tcBorders>
                    <w:tl2br w:val="nil"/>
                    <w:tr2bl w:val="nil"/>
                  </w:tcBorders>
                  <w:vAlign w:val="center"/>
                </w:tcPr>
                <w:p w14:paraId="5C911806">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eastAsia" w:eastAsia="宋体"/>
                      <w:b/>
                      <w:bCs/>
                      <w:color w:val="auto"/>
                      <w:sz w:val="21"/>
                      <w:szCs w:val="21"/>
                      <w:lang w:eastAsia="zh-CN"/>
                    </w:rPr>
                  </w:pPr>
                  <w:r>
                    <w:rPr>
                      <w:rFonts w:hint="eastAsia"/>
                      <w:b/>
                      <w:bCs/>
                      <w:color w:val="auto"/>
                      <w:sz w:val="21"/>
                      <w:szCs w:val="21"/>
                      <w:lang w:eastAsia="zh-CN"/>
                    </w:rPr>
                    <w:t>产品类别</w:t>
                  </w:r>
                </w:p>
              </w:tc>
              <w:tc>
                <w:tcPr>
                  <w:tcW w:w="1100" w:type="dxa"/>
                  <w:tcBorders>
                    <w:tl2br w:val="nil"/>
                    <w:tr2bl w:val="nil"/>
                  </w:tcBorders>
                  <w:vAlign w:val="center"/>
                </w:tcPr>
                <w:p w14:paraId="0A0806E9">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eastAsia" w:eastAsia="宋体"/>
                      <w:color w:val="auto"/>
                      <w:lang w:eastAsia="zh-CN"/>
                    </w:rPr>
                  </w:pPr>
                  <w:r>
                    <w:rPr>
                      <w:rFonts w:hint="eastAsia" w:ascii="Times New Roman" w:hAnsi="Times New Roman" w:eastAsia="宋体" w:cs="Times New Roman"/>
                      <w:b/>
                      <w:bCs/>
                      <w:color w:val="auto"/>
                      <w:sz w:val="21"/>
                      <w:szCs w:val="21"/>
                      <w:lang w:eastAsia="zh-CN"/>
                    </w:rPr>
                    <w:t>主要产品类型</w:t>
                  </w:r>
                </w:p>
              </w:tc>
              <w:tc>
                <w:tcPr>
                  <w:tcW w:w="762" w:type="dxa"/>
                  <w:tcBorders>
                    <w:tl2br w:val="nil"/>
                    <w:tr2bl w:val="nil"/>
                  </w:tcBorders>
                  <w:vAlign w:val="center"/>
                </w:tcPr>
                <w:p w14:paraId="00B3F282">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eastAsia" w:eastAsia="宋体"/>
                      <w:b/>
                      <w:bCs/>
                      <w:color w:val="auto"/>
                      <w:sz w:val="21"/>
                      <w:szCs w:val="21"/>
                      <w:lang w:eastAsia="zh-CN"/>
                    </w:rPr>
                  </w:pPr>
                  <w:r>
                    <w:rPr>
                      <w:rFonts w:hint="eastAsia"/>
                      <w:b/>
                      <w:bCs/>
                      <w:color w:val="auto"/>
                      <w:sz w:val="21"/>
                      <w:szCs w:val="21"/>
                      <w:lang w:eastAsia="zh-CN"/>
                    </w:rPr>
                    <w:t>限量值</w:t>
                  </w:r>
                </w:p>
              </w:tc>
              <w:tc>
                <w:tcPr>
                  <w:tcW w:w="2872" w:type="dxa"/>
                  <w:tcBorders>
                    <w:tl2br w:val="nil"/>
                    <w:tr2bl w:val="nil"/>
                  </w:tcBorders>
                  <w:vAlign w:val="center"/>
                </w:tcPr>
                <w:p w14:paraId="2292CE0D">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b/>
                      <w:bCs/>
                      <w:color w:val="auto"/>
                      <w:sz w:val="21"/>
                      <w:szCs w:val="21"/>
                    </w:rPr>
                  </w:pPr>
                  <w:r>
                    <w:rPr>
                      <w:b/>
                      <w:bCs/>
                      <w:color w:val="auto"/>
                      <w:sz w:val="21"/>
                      <w:szCs w:val="21"/>
                    </w:rPr>
                    <w:t>本项目</w:t>
                  </w:r>
                </w:p>
              </w:tc>
              <w:tc>
                <w:tcPr>
                  <w:tcW w:w="904" w:type="dxa"/>
                  <w:tcBorders>
                    <w:tl2br w:val="nil"/>
                    <w:tr2bl w:val="nil"/>
                  </w:tcBorders>
                  <w:vAlign w:val="center"/>
                </w:tcPr>
                <w:p w14:paraId="3313AA48">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b/>
                      <w:bCs/>
                      <w:color w:val="auto"/>
                      <w:sz w:val="21"/>
                      <w:szCs w:val="21"/>
                    </w:rPr>
                  </w:pPr>
                  <w:r>
                    <w:rPr>
                      <w:b/>
                      <w:bCs/>
                      <w:color w:val="auto"/>
                      <w:sz w:val="21"/>
                      <w:szCs w:val="21"/>
                    </w:rPr>
                    <w:t>相符性</w:t>
                  </w:r>
                </w:p>
              </w:tc>
            </w:tr>
            <w:tr w14:paraId="055BF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28" w:hRule="atLeast"/>
                <w:jc w:val="center"/>
              </w:trPr>
              <w:tc>
                <w:tcPr>
                  <w:tcW w:w="1166" w:type="dxa"/>
                  <w:tcBorders>
                    <w:tl2br w:val="nil"/>
                    <w:tr2bl w:val="nil"/>
                  </w:tcBorders>
                  <w:vAlign w:val="center"/>
                </w:tcPr>
                <w:p w14:paraId="759FA7CE">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eastAsia" w:eastAsia="宋体"/>
                      <w:color w:val="auto"/>
                      <w:sz w:val="21"/>
                      <w:szCs w:val="21"/>
                      <w:lang w:eastAsia="zh-CN"/>
                    </w:rPr>
                  </w:pPr>
                  <w:r>
                    <w:rPr>
                      <w:rFonts w:hint="eastAsia"/>
                      <w:color w:val="auto"/>
                      <w:sz w:val="21"/>
                      <w:szCs w:val="21"/>
                    </w:rPr>
                    <w:t>1</w:t>
                  </w:r>
                  <w:r>
                    <w:rPr>
                      <w:rFonts w:hint="eastAsia"/>
                      <w:color w:val="auto"/>
                      <w:sz w:val="21"/>
                      <w:szCs w:val="21"/>
                      <w:lang w:eastAsia="zh-CN"/>
                    </w:rPr>
                    <w:t>.</w:t>
                  </w:r>
                  <w:r>
                    <w:rPr>
                      <w:rFonts w:hint="eastAsia"/>
                      <w:color w:val="auto"/>
                      <w:sz w:val="21"/>
                      <w:szCs w:val="21"/>
                      <w:lang w:val="en-US" w:eastAsia="zh-CN"/>
                    </w:rPr>
                    <w:t>水性</w:t>
                  </w:r>
                  <w:r>
                    <w:rPr>
                      <w:rFonts w:hint="eastAsia"/>
                      <w:color w:val="auto"/>
                      <w:sz w:val="21"/>
                      <w:szCs w:val="21"/>
                      <w:lang w:eastAsia="zh-CN"/>
                    </w:rPr>
                    <w:t>涂料中VOC含量的限量值要求</w:t>
                  </w:r>
                </w:p>
              </w:tc>
              <w:tc>
                <w:tcPr>
                  <w:tcW w:w="1325" w:type="dxa"/>
                  <w:tcBorders>
                    <w:tl2br w:val="nil"/>
                    <w:tr2bl w:val="nil"/>
                  </w:tcBorders>
                  <w:vAlign w:val="center"/>
                </w:tcPr>
                <w:p w14:paraId="016E7300">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eastAsia"/>
                      <w:b w:val="0"/>
                      <w:bCs w:val="0"/>
                      <w:color w:val="auto"/>
                      <w:sz w:val="21"/>
                      <w:szCs w:val="21"/>
                    </w:rPr>
                  </w:pPr>
                  <w:r>
                    <w:rPr>
                      <w:rFonts w:hint="eastAsia"/>
                      <w:b w:val="0"/>
                      <w:bCs w:val="0"/>
                      <w:color w:val="auto"/>
                      <w:sz w:val="21"/>
                      <w:szCs w:val="21"/>
                      <w:lang w:eastAsia="zh-CN"/>
                    </w:rPr>
                    <w:t>（工程机械和农业机械涂料（含零部件涂料））</w:t>
                  </w:r>
                </w:p>
              </w:tc>
              <w:tc>
                <w:tcPr>
                  <w:tcW w:w="1100" w:type="dxa"/>
                  <w:tcBorders>
                    <w:tl2br w:val="nil"/>
                    <w:tr2bl w:val="nil"/>
                  </w:tcBorders>
                  <w:vAlign w:val="center"/>
                </w:tcPr>
                <w:p w14:paraId="6A1237BE">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rightChars="0" w:firstLine="0" w:firstLineChars="0"/>
                    <w:jc w:val="center"/>
                    <w:textAlignment w:val="auto"/>
                    <w:rPr>
                      <w:rFonts w:hint="eastAsia" w:eastAsia="宋体"/>
                      <w:b w:val="0"/>
                      <w:bCs w:val="0"/>
                      <w:color w:val="auto"/>
                      <w:sz w:val="21"/>
                      <w:szCs w:val="21"/>
                      <w:lang w:eastAsia="zh-CN"/>
                    </w:rPr>
                  </w:pPr>
                  <w:r>
                    <w:rPr>
                      <w:rFonts w:hint="eastAsia"/>
                      <w:b w:val="0"/>
                      <w:bCs w:val="0"/>
                      <w:color w:val="auto"/>
                      <w:sz w:val="21"/>
                      <w:szCs w:val="21"/>
                      <w:lang w:eastAsia="zh-CN"/>
                    </w:rPr>
                    <w:t>面漆</w:t>
                  </w:r>
                </w:p>
              </w:tc>
              <w:tc>
                <w:tcPr>
                  <w:tcW w:w="762" w:type="dxa"/>
                  <w:tcBorders>
                    <w:tl2br w:val="nil"/>
                    <w:tr2bl w:val="nil"/>
                  </w:tcBorders>
                  <w:vAlign w:val="center"/>
                </w:tcPr>
                <w:p w14:paraId="31E91BE1">
                  <w:pPr>
                    <w:pStyle w:val="37"/>
                    <w:keepNext w:val="0"/>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b w:val="0"/>
                      <w:bCs w:val="0"/>
                      <w:color w:val="auto"/>
                      <w:sz w:val="21"/>
                      <w:szCs w:val="21"/>
                    </w:rPr>
                  </w:pPr>
                  <w:r>
                    <w:rPr>
                      <w:rFonts w:ascii="Times New Roman" w:hAnsi="Times New Roman"/>
                      <w:b w:val="0"/>
                      <w:bCs w:val="0"/>
                      <w:color w:val="auto"/>
                    </w:rPr>
                    <w:t>≤</w:t>
                  </w:r>
                  <w:r>
                    <w:rPr>
                      <w:rFonts w:hint="eastAsia" w:ascii="Times New Roman" w:hAnsi="Times New Roman"/>
                      <w:b w:val="0"/>
                      <w:bCs w:val="0"/>
                      <w:color w:val="auto"/>
                      <w:lang w:val="en-US" w:eastAsia="zh-CN"/>
                    </w:rPr>
                    <w:t>42</w:t>
                  </w:r>
                  <w:r>
                    <w:rPr>
                      <w:rFonts w:ascii="Times New Roman" w:hAnsi="Times New Roman"/>
                      <w:b w:val="0"/>
                      <w:bCs w:val="0"/>
                      <w:color w:val="auto"/>
                    </w:rPr>
                    <w:t>0g/L</w:t>
                  </w:r>
                </w:p>
              </w:tc>
              <w:tc>
                <w:tcPr>
                  <w:tcW w:w="2872" w:type="dxa"/>
                  <w:tcBorders>
                    <w:tl2br w:val="nil"/>
                    <w:tr2bl w:val="nil"/>
                  </w:tcBorders>
                  <w:vAlign w:val="center"/>
                </w:tcPr>
                <w:p w14:paraId="0924B342">
                  <w:pPr>
                    <w:pStyle w:val="37"/>
                    <w:keepNext w:val="0"/>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ascii="Times New Roman" w:hAnsi="Times New Roman" w:eastAsia="宋体" w:cs="Times New Roman"/>
                      <w:b w:val="0"/>
                      <w:bCs w:val="0"/>
                      <w:color w:val="auto"/>
                      <w:kern w:val="0"/>
                      <w:sz w:val="21"/>
                      <w:szCs w:val="20"/>
                      <w:lang w:val="en-US" w:eastAsia="zh-CN" w:bidi="ar-SA"/>
                    </w:rPr>
                  </w:pPr>
                  <w:r>
                    <w:rPr>
                      <w:rFonts w:hint="eastAsia" w:ascii="Times New Roman" w:hAnsi="Times New Roman"/>
                      <w:b w:val="0"/>
                      <w:bCs w:val="0"/>
                      <w:color w:val="auto"/>
                    </w:rPr>
                    <w:t>根据水性丙烯酸面漆VOC检测报告，</w:t>
                  </w:r>
                  <w:r>
                    <w:rPr>
                      <w:rFonts w:hint="eastAsia" w:ascii="Times New Roman" w:hAnsi="Times New Roman"/>
                      <w:b w:val="0"/>
                      <w:bCs w:val="0"/>
                      <w:color w:val="auto"/>
                      <w:lang w:val="en-US" w:eastAsia="zh-CN"/>
                    </w:rPr>
                    <w:t>本项目使用的水性丙烯酸面漆中</w:t>
                  </w:r>
                  <w:r>
                    <w:rPr>
                      <w:rFonts w:hint="eastAsia" w:ascii="Times New Roman" w:hAnsi="Times New Roman"/>
                      <w:b w:val="0"/>
                      <w:bCs w:val="0"/>
                      <w:color w:val="auto"/>
                    </w:rPr>
                    <w:t>挥发性有机物含量为31g/L</w:t>
                  </w:r>
                  <w:r>
                    <w:rPr>
                      <w:rFonts w:hint="eastAsia" w:ascii="Times New Roman" w:hAnsi="Times New Roman"/>
                      <w:b w:val="0"/>
                      <w:bCs w:val="0"/>
                      <w:color w:val="auto"/>
                      <w:lang w:eastAsia="zh-CN"/>
                    </w:rPr>
                    <w:t>。</w:t>
                  </w:r>
                </w:p>
              </w:tc>
              <w:tc>
                <w:tcPr>
                  <w:tcW w:w="904" w:type="dxa"/>
                  <w:tcBorders>
                    <w:tl2br w:val="nil"/>
                    <w:tr2bl w:val="nil"/>
                  </w:tcBorders>
                  <w:vAlign w:val="center"/>
                </w:tcPr>
                <w:p w14:paraId="4BA3DFE3">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color w:val="auto"/>
                      <w:sz w:val="21"/>
                      <w:szCs w:val="21"/>
                    </w:rPr>
                  </w:pPr>
                  <w:r>
                    <w:rPr>
                      <w:color w:val="auto"/>
                      <w:sz w:val="21"/>
                      <w:szCs w:val="21"/>
                    </w:rPr>
                    <w:t>符合</w:t>
                  </w:r>
                </w:p>
              </w:tc>
            </w:tr>
          </w:tbl>
          <w:p w14:paraId="552B77E3">
            <w:pPr>
              <w:ind w:firstLine="422"/>
              <w:rPr>
                <w:b w:val="0"/>
                <w:bCs/>
                <w:color w:val="auto"/>
                <w:szCs w:val="21"/>
              </w:rPr>
            </w:pPr>
            <w:r>
              <w:rPr>
                <w:b w:val="0"/>
                <w:bCs/>
                <w:color w:val="auto"/>
                <w:szCs w:val="21"/>
              </w:rPr>
              <w:t>因此，本项目</w:t>
            </w:r>
            <w:r>
              <w:rPr>
                <w:rFonts w:hint="eastAsia"/>
                <w:b w:val="0"/>
                <w:bCs/>
                <w:color w:val="auto"/>
                <w:szCs w:val="21"/>
                <w:lang w:eastAsia="zh-CN"/>
              </w:rPr>
              <w:t>使用的涂料</w:t>
            </w:r>
            <w:r>
              <w:rPr>
                <w:b w:val="0"/>
                <w:bCs/>
                <w:color w:val="auto"/>
                <w:szCs w:val="21"/>
              </w:rPr>
              <w:t>符合</w:t>
            </w:r>
            <w:r>
              <w:rPr>
                <w:rFonts w:hint="eastAsia"/>
                <w:b w:val="0"/>
                <w:bCs/>
                <w:color w:val="auto"/>
              </w:rPr>
              <w:t>《工业防护涂料中有害物质限量》</w:t>
            </w:r>
            <w:r>
              <w:rPr>
                <w:rFonts w:hint="eastAsia"/>
                <w:b w:val="0"/>
                <w:bCs/>
                <w:color w:val="auto"/>
                <w:lang w:eastAsia="zh-CN"/>
              </w:rPr>
              <w:t>（</w:t>
            </w:r>
            <w:r>
              <w:rPr>
                <w:rFonts w:hint="eastAsia"/>
                <w:b w:val="0"/>
                <w:bCs/>
                <w:color w:val="auto"/>
              </w:rPr>
              <w:t>GB30981-2020</w:t>
            </w:r>
            <w:r>
              <w:rPr>
                <w:rFonts w:hint="eastAsia"/>
                <w:b w:val="0"/>
                <w:bCs/>
                <w:color w:val="auto"/>
                <w:lang w:eastAsia="zh-CN"/>
              </w:rPr>
              <w:t>）限值</w:t>
            </w:r>
            <w:r>
              <w:rPr>
                <w:b w:val="0"/>
                <w:bCs/>
                <w:color w:val="auto"/>
                <w:szCs w:val="21"/>
              </w:rPr>
              <w:t>要求。</w:t>
            </w:r>
          </w:p>
          <w:p w14:paraId="6BA7FD2B">
            <w:pPr>
              <w:bidi w:val="0"/>
              <w:spacing w:line="240" w:lineRule="auto"/>
              <w:rPr>
                <w:rFonts w:hint="eastAsia"/>
              </w:rPr>
            </w:pPr>
          </w:p>
          <w:p w14:paraId="7C686BF6">
            <w:pPr>
              <w:ind w:left="0" w:leftChars="0" w:firstLine="0" w:firstLineChars="0"/>
              <w:rPr>
                <w:rFonts w:hint="default" w:ascii="Times New Roman" w:hAnsi="Times New Roman" w:eastAsia="宋体" w:cs="Times New Roman"/>
                <w:b/>
                <w:bCs/>
                <w:color w:val="auto"/>
                <w:lang w:val="en-US" w:eastAsia="zh-CN"/>
              </w:rPr>
            </w:pPr>
            <w:r>
              <w:rPr>
                <w:rFonts w:hint="eastAsia"/>
                <w:b/>
                <w:bCs/>
                <w:color w:val="auto"/>
                <w:lang w:val="en-US" w:eastAsia="zh-CN"/>
              </w:rPr>
              <w:t>1</w:t>
            </w:r>
            <w:r>
              <w:rPr>
                <w:rFonts w:hint="eastAsia" w:ascii="Times New Roman" w:hAnsi="Times New Roman" w:eastAsia="宋体" w:cs="Times New Roman"/>
                <w:b/>
                <w:bCs/>
                <w:color w:val="auto"/>
                <w:lang w:val="en-US" w:eastAsia="zh-CN"/>
              </w:rPr>
              <w:t>.11 本项目与皖环发</w:t>
            </w:r>
            <w:r>
              <w:rPr>
                <w:rFonts w:hint="eastAsia" w:cs="Times New Roman"/>
                <w:b/>
                <w:bCs/>
                <w:color w:val="auto"/>
                <w:lang w:val="en-US" w:eastAsia="zh-CN"/>
              </w:rPr>
              <w:t>〔2024〕1号</w:t>
            </w:r>
            <w:r>
              <w:rPr>
                <w:rFonts w:hint="eastAsia" w:ascii="Times New Roman" w:hAnsi="Times New Roman" w:eastAsia="宋体" w:cs="Times New Roman"/>
                <w:b/>
                <w:bCs/>
                <w:color w:val="auto"/>
                <w:lang w:val="en-US" w:eastAsia="zh-CN"/>
              </w:rPr>
              <w:t>《关于印发安徽省低挥发性有机物含量原辅材料替代工作方案的通知》相符性分析</w:t>
            </w:r>
          </w:p>
          <w:p w14:paraId="4A7D816A">
            <w:pPr>
              <w:pStyle w:val="38"/>
              <w:spacing w:before="0" w:after="0" w:line="240" w:lineRule="auto"/>
              <w:ind w:right="0" w:firstLine="0" w:firstLineChars="0"/>
              <w:rPr>
                <w:color w:val="auto"/>
              </w:rPr>
            </w:pPr>
            <w:r>
              <w:rPr>
                <w:color w:val="auto"/>
              </w:rPr>
              <w:t>表1-</w:t>
            </w:r>
            <w:r>
              <w:rPr>
                <w:rFonts w:hint="eastAsia"/>
                <w:color w:val="auto"/>
              </w:rPr>
              <w:t>1</w:t>
            </w:r>
            <w:r>
              <w:rPr>
                <w:rFonts w:hint="eastAsia"/>
                <w:color w:val="auto"/>
                <w:lang w:val="en-US" w:eastAsia="zh-CN"/>
              </w:rPr>
              <w:t>1</w:t>
            </w:r>
            <w:r>
              <w:rPr>
                <w:color w:val="auto"/>
              </w:rPr>
              <w:t xml:space="preserve">  本项目与皖环发</w:t>
            </w:r>
            <w:r>
              <w:rPr>
                <w:rFonts w:hint="eastAsia"/>
                <w:color w:val="auto"/>
                <w:lang w:eastAsia="zh-CN"/>
              </w:rPr>
              <w:t>〔2024〕1号</w:t>
            </w:r>
            <w:r>
              <w:rPr>
                <w:color w:val="auto"/>
              </w:rPr>
              <w:t>《关于印发安徽省低挥发性有机物含量原辅材料替代工作方案的通知》相符性分析</w:t>
            </w:r>
          </w:p>
          <w:tbl>
            <w:tblPr>
              <w:tblStyle w:val="32"/>
              <w:tblW w:w="815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188"/>
              <w:gridCol w:w="736"/>
              <w:gridCol w:w="1023"/>
              <w:gridCol w:w="3341"/>
              <w:gridCol w:w="863"/>
            </w:tblGrid>
            <w:tr w14:paraId="3C3A77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2188" w:type="dxa"/>
                  <w:tcBorders>
                    <w:tl2br w:val="nil"/>
                    <w:tr2bl w:val="nil"/>
                  </w:tcBorders>
                  <w:vAlign w:val="center"/>
                </w:tcPr>
                <w:p w14:paraId="68FA480F">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b/>
                      <w:bCs/>
                      <w:color w:val="auto"/>
                      <w:sz w:val="21"/>
                      <w:szCs w:val="21"/>
                    </w:rPr>
                  </w:pPr>
                  <w:r>
                    <w:rPr>
                      <w:rFonts w:hint="eastAsia"/>
                      <w:b/>
                      <w:bCs/>
                      <w:color w:val="auto"/>
                      <w:sz w:val="21"/>
                      <w:szCs w:val="21"/>
                    </w:rPr>
                    <w:t>序号</w:t>
                  </w:r>
                </w:p>
              </w:tc>
              <w:tc>
                <w:tcPr>
                  <w:tcW w:w="1759" w:type="dxa"/>
                  <w:gridSpan w:val="2"/>
                  <w:tcBorders>
                    <w:tl2br w:val="nil"/>
                    <w:tr2bl w:val="nil"/>
                  </w:tcBorders>
                  <w:vAlign w:val="center"/>
                </w:tcPr>
                <w:p w14:paraId="040D6531">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b/>
                      <w:bCs/>
                      <w:color w:val="auto"/>
                      <w:sz w:val="21"/>
                      <w:szCs w:val="21"/>
                    </w:rPr>
                  </w:pPr>
                  <w:r>
                    <w:rPr>
                      <w:rFonts w:hint="eastAsia"/>
                      <w:b/>
                      <w:bCs/>
                      <w:color w:val="auto"/>
                      <w:sz w:val="21"/>
                      <w:szCs w:val="21"/>
                    </w:rPr>
                    <w:t>要求</w:t>
                  </w:r>
                </w:p>
              </w:tc>
              <w:tc>
                <w:tcPr>
                  <w:tcW w:w="3341" w:type="dxa"/>
                  <w:tcBorders>
                    <w:tl2br w:val="nil"/>
                    <w:tr2bl w:val="nil"/>
                  </w:tcBorders>
                  <w:vAlign w:val="center"/>
                </w:tcPr>
                <w:p w14:paraId="69BF3927">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b/>
                      <w:bCs/>
                      <w:color w:val="auto"/>
                      <w:sz w:val="21"/>
                      <w:szCs w:val="21"/>
                    </w:rPr>
                  </w:pPr>
                  <w:r>
                    <w:rPr>
                      <w:b/>
                      <w:bCs/>
                      <w:color w:val="auto"/>
                      <w:sz w:val="21"/>
                      <w:szCs w:val="21"/>
                    </w:rPr>
                    <w:t>本项目</w:t>
                  </w:r>
                </w:p>
              </w:tc>
              <w:tc>
                <w:tcPr>
                  <w:tcW w:w="863" w:type="dxa"/>
                  <w:tcBorders>
                    <w:tl2br w:val="nil"/>
                    <w:tr2bl w:val="nil"/>
                  </w:tcBorders>
                  <w:vAlign w:val="center"/>
                </w:tcPr>
                <w:p w14:paraId="79B79D5A">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b/>
                      <w:bCs/>
                      <w:color w:val="auto"/>
                      <w:sz w:val="21"/>
                      <w:szCs w:val="21"/>
                    </w:rPr>
                  </w:pPr>
                  <w:r>
                    <w:rPr>
                      <w:b/>
                      <w:bCs/>
                      <w:color w:val="auto"/>
                      <w:sz w:val="21"/>
                      <w:szCs w:val="21"/>
                    </w:rPr>
                    <w:t>相符性</w:t>
                  </w:r>
                </w:p>
              </w:tc>
            </w:tr>
            <w:tr w14:paraId="5BE51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07" w:hRule="atLeast"/>
                <w:jc w:val="center"/>
              </w:trPr>
              <w:tc>
                <w:tcPr>
                  <w:tcW w:w="2188" w:type="dxa"/>
                  <w:tcBorders>
                    <w:tl2br w:val="nil"/>
                    <w:tr2bl w:val="nil"/>
                  </w:tcBorders>
                  <w:vAlign w:val="center"/>
                </w:tcPr>
                <w:p w14:paraId="33943247">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b w:val="0"/>
                      <w:bCs w:val="0"/>
                      <w:color w:val="auto"/>
                      <w:sz w:val="21"/>
                      <w:szCs w:val="21"/>
                    </w:rPr>
                  </w:pPr>
                  <w:r>
                    <w:rPr>
                      <w:rFonts w:hint="eastAsia"/>
                      <w:b w:val="0"/>
                      <w:bCs w:val="0"/>
                      <w:color w:val="auto"/>
                      <w:sz w:val="21"/>
                      <w:szCs w:val="21"/>
                    </w:rPr>
                    <w:t>1</w:t>
                  </w:r>
                  <w:r>
                    <w:rPr>
                      <w:rFonts w:hint="eastAsia"/>
                      <w:b w:val="0"/>
                      <w:bCs w:val="0"/>
                      <w:color w:val="auto"/>
                      <w:sz w:val="21"/>
                      <w:szCs w:val="21"/>
                      <w:lang w:eastAsia="zh-CN"/>
                    </w:rPr>
                    <w:t>、</w:t>
                  </w:r>
                  <w:r>
                    <w:rPr>
                      <w:rFonts w:hint="eastAsia"/>
                      <w:b w:val="0"/>
                      <w:bCs w:val="0"/>
                      <w:color w:val="auto"/>
                      <w:sz w:val="21"/>
                      <w:szCs w:val="21"/>
                    </w:rPr>
                    <w:t>表3工程机械整机制造业低VOCs含量原辅材料含量限值</w:t>
                  </w:r>
                </w:p>
              </w:tc>
              <w:tc>
                <w:tcPr>
                  <w:tcW w:w="736" w:type="dxa"/>
                  <w:tcBorders>
                    <w:tl2br w:val="nil"/>
                    <w:tr2bl w:val="nil"/>
                  </w:tcBorders>
                  <w:vAlign w:val="center"/>
                </w:tcPr>
                <w:p w14:paraId="68220656">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eastAsia="宋体"/>
                      <w:b w:val="0"/>
                      <w:bCs w:val="0"/>
                      <w:color w:val="auto"/>
                      <w:sz w:val="21"/>
                      <w:szCs w:val="21"/>
                      <w:lang w:val="en-US" w:eastAsia="zh-CN"/>
                    </w:rPr>
                  </w:pPr>
                  <w:r>
                    <w:rPr>
                      <w:rFonts w:hint="eastAsia"/>
                      <w:b w:val="0"/>
                      <w:bCs w:val="0"/>
                      <w:color w:val="auto"/>
                      <w:sz w:val="21"/>
                      <w:szCs w:val="21"/>
                      <w:lang w:val="en-US" w:eastAsia="zh-CN"/>
                    </w:rPr>
                    <w:t>水性涂料</w:t>
                  </w:r>
                </w:p>
              </w:tc>
              <w:tc>
                <w:tcPr>
                  <w:tcW w:w="1023" w:type="dxa"/>
                  <w:tcBorders>
                    <w:tl2br w:val="nil"/>
                    <w:tr2bl w:val="nil"/>
                  </w:tcBorders>
                  <w:vAlign w:val="center"/>
                </w:tcPr>
                <w:p w14:paraId="789E33B1">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面漆</w:t>
                  </w:r>
                  <w:r>
                    <w:rPr>
                      <w:rFonts w:hint="eastAsia" w:ascii="Times New Roman" w:hAnsi="Times New Roman" w:cs="Times New Roman"/>
                      <w:b w:val="0"/>
                      <w:bCs w:val="0"/>
                      <w:color w:val="auto"/>
                      <w:sz w:val="21"/>
                      <w:szCs w:val="21"/>
                      <w:lang w:val="en-US" w:eastAsia="zh-CN"/>
                    </w:rPr>
                    <w:t xml:space="preserve">  </w:t>
                  </w:r>
                  <w:r>
                    <w:rPr>
                      <w:rFonts w:hint="default" w:ascii="Times New Roman" w:hAnsi="Times New Roman" w:cs="Times New Roman"/>
                      <w:b w:val="0"/>
                      <w:bCs w:val="0"/>
                      <w:color w:val="auto"/>
                      <w:sz w:val="21"/>
                      <w:szCs w:val="21"/>
                    </w:rPr>
                    <w:t>≤</w:t>
                  </w:r>
                  <w:r>
                    <w:rPr>
                      <w:rFonts w:hint="default" w:ascii="Times New Roman" w:hAnsi="Times New Roman" w:cs="Times New Roman"/>
                      <w:b w:val="0"/>
                      <w:bCs w:val="0"/>
                      <w:color w:val="auto"/>
                      <w:sz w:val="21"/>
                      <w:szCs w:val="21"/>
                      <w:lang w:val="en-US" w:eastAsia="zh-CN"/>
                    </w:rPr>
                    <w:t>42</w:t>
                  </w:r>
                  <w:r>
                    <w:rPr>
                      <w:rFonts w:hint="default" w:ascii="Times New Roman" w:hAnsi="Times New Roman" w:cs="Times New Roman"/>
                      <w:b w:val="0"/>
                      <w:bCs w:val="0"/>
                      <w:color w:val="auto"/>
                      <w:sz w:val="21"/>
                      <w:szCs w:val="21"/>
                    </w:rPr>
                    <w:t>0g/L</w:t>
                  </w:r>
                </w:p>
              </w:tc>
              <w:tc>
                <w:tcPr>
                  <w:tcW w:w="3341" w:type="dxa"/>
                  <w:tcBorders>
                    <w:tl2br w:val="nil"/>
                    <w:tr2bl w:val="nil"/>
                  </w:tcBorders>
                  <w:vAlign w:val="center"/>
                </w:tcPr>
                <w:p w14:paraId="7B5EED77">
                  <w:pPr>
                    <w:pStyle w:val="37"/>
                    <w:keepNext w:val="0"/>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eastAsia" w:eastAsia="宋体"/>
                      <w:b w:val="0"/>
                      <w:bCs w:val="0"/>
                      <w:color w:val="auto"/>
                      <w:sz w:val="21"/>
                      <w:szCs w:val="21"/>
                      <w:lang w:eastAsia="zh-CN"/>
                    </w:rPr>
                  </w:pPr>
                  <w:r>
                    <w:rPr>
                      <w:rFonts w:hint="eastAsia" w:ascii="Times New Roman" w:hAnsi="Times New Roman"/>
                      <w:b w:val="0"/>
                      <w:bCs w:val="0"/>
                      <w:color w:val="auto"/>
                    </w:rPr>
                    <w:t>根据水性丙烯酸面漆VOC检测报告，</w:t>
                  </w:r>
                  <w:r>
                    <w:rPr>
                      <w:rFonts w:hint="eastAsia" w:ascii="Times New Roman" w:hAnsi="Times New Roman"/>
                      <w:b w:val="0"/>
                      <w:bCs w:val="0"/>
                      <w:color w:val="auto"/>
                      <w:lang w:val="en-US" w:eastAsia="zh-CN"/>
                    </w:rPr>
                    <w:t>本项目使用的水性丙烯酸面漆中</w:t>
                  </w:r>
                  <w:r>
                    <w:rPr>
                      <w:rFonts w:hint="eastAsia" w:ascii="Times New Roman" w:hAnsi="Times New Roman"/>
                      <w:b w:val="0"/>
                      <w:bCs w:val="0"/>
                      <w:color w:val="auto"/>
                    </w:rPr>
                    <w:t>挥发性有机物含量为31g/L</w:t>
                  </w:r>
                  <w:r>
                    <w:rPr>
                      <w:rFonts w:hint="eastAsia" w:ascii="Times New Roman" w:hAnsi="Times New Roman"/>
                      <w:b w:val="0"/>
                      <w:bCs w:val="0"/>
                      <w:color w:val="auto"/>
                      <w:lang w:eastAsia="zh-CN"/>
                    </w:rPr>
                    <w:t>。</w:t>
                  </w:r>
                </w:p>
              </w:tc>
              <w:tc>
                <w:tcPr>
                  <w:tcW w:w="863" w:type="dxa"/>
                  <w:tcBorders>
                    <w:tl2br w:val="nil"/>
                    <w:tr2bl w:val="nil"/>
                  </w:tcBorders>
                  <w:vAlign w:val="center"/>
                </w:tcPr>
                <w:p w14:paraId="65EAAD34">
                  <w:pPr>
                    <w:pStyle w:val="11"/>
                    <w:keepNext w:val="0"/>
                    <w:keepLines w:val="0"/>
                    <w:pageBreakBefore w:val="0"/>
                    <w:widowControl/>
                    <w:kinsoku/>
                    <w:wordWrap/>
                    <w:overflowPunct/>
                    <w:topLinePunct w:val="0"/>
                    <w:autoSpaceDE/>
                    <w:autoSpaceDN/>
                    <w:bidi w:val="0"/>
                    <w:adjustRightInd w:val="0"/>
                    <w:snapToGrid w:val="0"/>
                    <w:spacing w:before="0" w:after="0" w:line="240" w:lineRule="auto"/>
                    <w:ind w:right="0" w:firstLine="0" w:firstLineChars="0"/>
                    <w:jc w:val="center"/>
                    <w:textAlignment w:val="auto"/>
                    <w:rPr>
                      <w:color w:val="auto"/>
                      <w:sz w:val="21"/>
                      <w:szCs w:val="21"/>
                    </w:rPr>
                  </w:pPr>
                  <w:r>
                    <w:rPr>
                      <w:color w:val="auto"/>
                      <w:sz w:val="21"/>
                      <w:szCs w:val="21"/>
                    </w:rPr>
                    <w:t>符合</w:t>
                  </w:r>
                </w:p>
              </w:tc>
            </w:tr>
          </w:tbl>
          <w:p w14:paraId="693DDAD9">
            <w:pPr>
              <w:ind w:firstLine="420"/>
              <w:rPr>
                <w:rFonts w:hint="eastAsia" w:eastAsia="宋体"/>
                <w:color w:val="auto"/>
                <w:vertAlign w:val="baseline"/>
                <w:lang w:val="en-US" w:eastAsia="zh-CN"/>
              </w:rPr>
            </w:pPr>
            <w:r>
              <w:rPr>
                <w:color w:val="auto"/>
              </w:rPr>
              <w:t>综上分析，</w:t>
            </w:r>
            <w:r>
              <w:rPr>
                <w:color w:val="auto"/>
                <w:sz w:val="24"/>
                <w:szCs w:val="24"/>
              </w:rPr>
              <w:t>本项目</w:t>
            </w:r>
            <w:r>
              <w:rPr>
                <w:rFonts w:hint="eastAsia"/>
                <w:color w:val="auto"/>
                <w:sz w:val="24"/>
                <w:szCs w:val="24"/>
                <w:lang w:val="en-US" w:eastAsia="zh-CN"/>
              </w:rPr>
              <w:t>使用的涂料为水性涂料，</w:t>
            </w:r>
            <w:r>
              <w:rPr>
                <w:color w:val="auto"/>
                <w:sz w:val="24"/>
                <w:szCs w:val="24"/>
              </w:rPr>
              <w:t>符合《关于印发安徽省低挥发性有机物含量原辅材料替代工作方案的通知》</w:t>
            </w:r>
            <w:r>
              <w:rPr>
                <w:rFonts w:hint="eastAsia"/>
                <w:color w:val="auto"/>
                <w:sz w:val="24"/>
                <w:szCs w:val="24"/>
              </w:rPr>
              <w:t>表3工程机械整机制造业低VOCs含量原辅材料含量限值</w:t>
            </w:r>
            <w:r>
              <w:rPr>
                <w:color w:val="auto"/>
                <w:sz w:val="24"/>
                <w:szCs w:val="24"/>
              </w:rPr>
              <w:t>要求</w:t>
            </w:r>
            <w:r>
              <w:rPr>
                <w:rFonts w:hint="eastAsia"/>
                <w:color w:val="auto"/>
                <w:sz w:val="24"/>
                <w:szCs w:val="24"/>
                <w:lang w:eastAsia="zh-CN"/>
              </w:rPr>
              <w:t>。</w:t>
            </w:r>
          </w:p>
        </w:tc>
      </w:tr>
    </w:tbl>
    <w:p w14:paraId="66481CAE">
      <w:pPr>
        <w:pStyle w:val="42"/>
        <w:rPr>
          <w:rFonts w:hint="eastAsia"/>
          <w:color w:val="auto"/>
          <w:lang w:val="en-US" w:eastAsia="zh-CN"/>
        </w:rPr>
        <w:sectPr>
          <w:pgSz w:w="11905" w:h="16838"/>
          <w:pgMar w:top="1701" w:right="1531" w:bottom="1701" w:left="1531" w:header="1134" w:footer="1020" w:gutter="0"/>
          <w:pgBorders>
            <w:top w:val="none" w:sz="0" w:space="0"/>
            <w:left w:val="none" w:sz="0" w:space="0"/>
            <w:bottom w:val="none" w:sz="0" w:space="0"/>
            <w:right w:val="none" w:sz="0" w:space="0"/>
          </w:pgBorders>
          <w:pgNumType w:fmt="decimal"/>
          <w:cols w:space="720" w:num="1"/>
          <w:rtlGutter w:val="0"/>
          <w:docGrid w:linePitch="312" w:charSpace="0"/>
        </w:sectPr>
      </w:pPr>
    </w:p>
    <w:p w14:paraId="00A70A90">
      <w:pPr>
        <w:pStyle w:val="4"/>
        <w:bidi w:val="0"/>
        <w:rPr>
          <w:rFonts w:hint="eastAsia"/>
          <w:color w:val="auto"/>
        </w:rPr>
      </w:pPr>
      <w:r>
        <w:rPr>
          <w:rFonts w:hint="eastAsia"/>
          <w:color w:val="auto"/>
          <w:lang w:val="en-US" w:eastAsia="zh-CN"/>
        </w:rPr>
        <w:t>二、</w:t>
      </w:r>
      <w:r>
        <w:rPr>
          <w:rFonts w:hint="eastAsia"/>
          <w:color w:val="auto"/>
        </w:rPr>
        <w:t>建设项目工程分析</w:t>
      </w:r>
    </w:p>
    <w:tbl>
      <w:tblPr>
        <w:tblStyle w:val="31"/>
        <w:tblW w:w="9499"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Layout w:type="fixed"/>
        <w:tblCellMar>
          <w:top w:w="0" w:type="dxa"/>
          <w:left w:w="108" w:type="dxa"/>
          <w:bottom w:w="0" w:type="dxa"/>
          <w:right w:w="108" w:type="dxa"/>
        </w:tblCellMar>
      </w:tblPr>
      <w:tblGrid>
        <w:gridCol w:w="739"/>
        <w:gridCol w:w="8760"/>
      </w:tblGrid>
      <w:tr w14:paraId="2C4CCDF0">
        <w:tblPrEx>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CellMar>
            <w:top w:w="0" w:type="dxa"/>
            <w:left w:w="108" w:type="dxa"/>
            <w:bottom w:w="0" w:type="dxa"/>
            <w:right w:w="108" w:type="dxa"/>
          </w:tblCellMar>
        </w:tblPrEx>
        <w:trPr>
          <w:trHeight w:val="90" w:hRule="atLeast"/>
          <w:jc w:val="center"/>
        </w:trPr>
        <w:tc>
          <w:tcPr>
            <w:tcW w:w="739" w:type="dxa"/>
            <w:tcBorders>
              <w:tl2br w:val="nil"/>
              <w:tr2bl w:val="nil"/>
            </w:tcBorders>
            <w:noWrap w:val="0"/>
            <w:vAlign w:val="center"/>
          </w:tcPr>
          <w:p w14:paraId="170828E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color w:val="auto"/>
                <w:szCs w:val="21"/>
              </w:rPr>
            </w:pPr>
            <w:r>
              <w:rPr>
                <w:rFonts w:hint="default" w:ascii="Times New Roman" w:hAnsi="Times New Roman" w:eastAsia="宋体" w:cs="Times New Roman"/>
                <w:color w:val="auto"/>
                <w:sz w:val="24"/>
                <w:szCs w:val="24"/>
              </w:rPr>
              <w:t>建设内容</w:t>
            </w:r>
          </w:p>
        </w:tc>
        <w:tc>
          <w:tcPr>
            <w:tcW w:w="8760" w:type="dxa"/>
            <w:tcBorders>
              <w:tl2br w:val="nil"/>
              <w:tr2bl w:val="nil"/>
            </w:tcBorders>
            <w:noWrap w:val="0"/>
            <w:vAlign w:val="center"/>
          </w:tcPr>
          <w:p w14:paraId="25FAB7BC">
            <w:pPr>
              <w:bidi w:val="0"/>
              <w:ind w:left="0" w:leftChars="0" w:firstLine="0" w:firstLineChars="0"/>
              <w:rPr>
                <w:rFonts w:hint="default" w:ascii="Times New Roman" w:hAnsi="Times New Roman" w:cs="Times New Roman"/>
                <w:b/>
                <w:bCs/>
                <w:color w:val="auto"/>
              </w:rPr>
            </w:pPr>
            <w:r>
              <w:rPr>
                <w:rFonts w:hint="default" w:ascii="Times New Roman" w:hAnsi="Times New Roman" w:cs="Times New Roman"/>
                <w:b/>
                <w:bCs/>
                <w:color w:val="auto"/>
                <w:lang w:val="en-US" w:eastAsia="zh-CN"/>
              </w:rPr>
              <w:t xml:space="preserve">2.1 </w:t>
            </w:r>
            <w:r>
              <w:rPr>
                <w:rFonts w:hint="default" w:ascii="Times New Roman" w:hAnsi="Times New Roman" w:cs="Times New Roman"/>
                <w:b/>
                <w:bCs/>
                <w:color w:val="auto"/>
              </w:rPr>
              <w:t>项目背景及排污许可管理类别</w:t>
            </w:r>
          </w:p>
          <w:p w14:paraId="17CA5685">
            <w:pPr>
              <w:bidi w:val="0"/>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（1）项目背景</w:t>
            </w:r>
          </w:p>
          <w:p w14:paraId="75B64178">
            <w:pPr>
              <w:bidi w:val="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安徽丰平智能装备有限公司成立于2023年11月，</w:t>
            </w:r>
            <w:r>
              <w:rPr>
                <w:rFonts w:hint="default" w:ascii="Times New Roman" w:hAnsi="Times New Roman" w:cs="Times New Roman"/>
                <w:color w:val="auto"/>
                <w:lang w:eastAsia="zh-CN"/>
              </w:rPr>
              <w:t>租赁安徽省池州市青阳县经济开发区东河园区安徽赛王仓储有限公司</w:t>
            </w:r>
            <w:r>
              <w:rPr>
                <w:rFonts w:hint="default" w:ascii="Times New Roman" w:hAnsi="Times New Roman" w:cs="Times New Roman"/>
                <w:color w:val="auto"/>
                <w:lang w:val="en-US" w:eastAsia="zh-CN"/>
              </w:rPr>
              <w:t>厂区内空置厂房</w:t>
            </w:r>
            <w:r>
              <w:rPr>
                <w:rFonts w:hint="default" w:ascii="Times New Roman" w:hAnsi="Times New Roman" w:cs="Times New Roman"/>
                <w:color w:val="auto"/>
                <w:lang w:eastAsia="zh-CN"/>
              </w:rPr>
              <w:t>进行项目生产，主要</w:t>
            </w:r>
            <w:r>
              <w:rPr>
                <w:rFonts w:hint="default" w:ascii="Times New Roman" w:hAnsi="Times New Roman" w:cs="Times New Roman"/>
                <w:color w:val="auto"/>
                <w:lang w:val="en-US" w:eastAsia="zh-CN"/>
              </w:rPr>
              <w:t>从事通用设备制造（不含特种设备制造）</w:t>
            </w:r>
            <w:r>
              <w:rPr>
                <w:rFonts w:hint="eastAsia" w:cs="Times New Roman"/>
                <w:color w:val="auto"/>
                <w:lang w:val="en-US" w:eastAsia="zh-CN"/>
              </w:rPr>
              <w:t>，</w:t>
            </w:r>
            <w:r>
              <w:rPr>
                <w:rFonts w:hint="default" w:ascii="Times New Roman" w:hAnsi="Times New Roman" w:cs="Times New Roman"/>
                <w:color w:val="auto"/>
                <w:lang w:val="en-US" w:eastAsia="zh-CN"/>
              </w:rPr>
              <w:t>通用零部件制造：机械零件、零部件加工；机械零件、零部件销售（除许可业务外，可自主依法经营法律法规非禁止或限制的项目）。</w:t>
            </w:r>
          </w:p>
          <w:p w14:paraId="4CC0076A">
            <w:pPr>
              <w:spacing w:line="360" w:lineRule="auto"/>
              <w:ind w:firstLine="480" w:firstLineChars="200"/>
              <w:jc w:val="left"/>
              <w:rPr>
                <w:rFonts w:hint="default" w:ascii="Times New Roman" w:hAnsi="Times New Roman" w:cs="Times New Roman"/>
                <w:color w:val="auto"/>
                <w:sz w:val="24"/>
                <w:lang w:val="en-US" w:eastAsia="zh-CN"/>
              </w:rPr>
            </w:pPr>
            <w:r>
              <w:rPr>
                <w:rFonts w:hint="default" w:ascii="Times New Roman" w:hAnsi="Times New Roman" w:eastAsia="宋体" w:cs="Times New Roman"/>
                <w:color w:val="auto"/>
                <w:sz w:val="24"/>
                <w:szCs w:val="24"/>
              </w:rPr>
              <w:t>建设单位拟投资</w:t>
            </w:r>
            <w:r>
              <w:rPr>
                <w:rFonts w:hint="default" w:ascii="Times New Roman" w:hAnsi="Times New Roman" w:eastAsia="宋体" w:cs="Times New Roman"/>
                <w:color w:val="auto"/>
                <w:sz w:val="24"/>
                <w:szCs w:val="24"/>
                <w:lang w:val="en-US" w:eastAsia="zh-CN"/>
              </w:rPr>
              <w:t>11000</w:t>
            </w:r>
            <w:r>
              <w:rPr>
                <w:rFonts w:hint="default" w:ascii="Times New Roman" w:hAnsi="Times New Roman" w:eastAsia="宋体" w:cs="Times New Roman"/>
                <w:color w:val="auto"/>
                <w:sz w:val="24"/>
                <w:szCs w:val="24"/>
              </w:rPr>
              <w:t>万元进行</w:t>
            </w:r>
            <w:r>
              <w:rPr>
                <w:rFonts w:hint="default" w:ascii="Times New Roman" w:hAnsi="Times New Roman" w:cs="Times New Roman"/>
                <w:color w:val="auto"/>
                <w:sz w:val="24"/>
                <w:szCs w:val="24"/>
                <w:lang w:eastAsia="zh-CN"/>
              </w:rPr>
              <w:t>年产</w:t>
            </w:r>
            <w:r>
              <w:rPr>
                <w:rFonts w:hint="default" w:ascii="Times New Roman" w:hAnsi="Times New Roman" w:eastAsia="宋体" w:cs="Times New Roman"/>
                <w:color w:val="auto"/>
                <w:sz w:val="24"/>
                <w:szCs w:val="24"/>
              </w:rPr>
              <w:t>220套金属制品加工专用设备制造项目</w:t>
            </w:r>
            <w:r>
              <w:rPr>
                <w:rFonts w:hint="default" w:ascii="Times New Roman" w:hAnsi="Times New Roman" w:eastAsia="宋体" w:cs="Times New Roman"/>
                <w:color w:val="auto"/>
                <w:sz w:val="24"/>
                <w:szCs w:val="24"/>
                <w:lang w:eastAsia="zh-CN"/>
              </w:rPr>
              <w:t>生产</w:t>
            </w:r>
            <w:r>
              <w:rPr>
                <w:rFonts w:hint="default" w:ascii="Times New Roman" w:hAnsi="Times New Roman" w:eastAsia="宋体" w:cs="Times New Roman"/>
                <w:color w:val="auto"/>
                <w:sz w:val="24"/>
                <w:szCs w:val="24"/>
              </w:rPr>
              <w:t>，项目</w:t>
            </w:r>
            <w:r>
              <w:rPr>
                <w:rFonts w:hint="default" w:ascii="Times New Roman" w:hAnsi="Times New Roman" w:eastAsia="宋体" w:cs="Times New Roman"/>
                <w:color w:val="auto"/>
                <w:sz w:val="24"/>
                <w:szCs w:val="24"/>
                <w:lang w:eastAsia="zh-CN"/>
              </w:rPr>
              <w:t>备案时间为</w:t>
            </w:r>
            <w:r>
              <w:rPr>
                <w:rFonts w:hint="default" w:ascii="Times New Roman" w:hAnsi="Times New Roman" w:eastAsia="宋体" w:cs="Times New Roman"/>
                <w:color w:val="auto"/>
                <w:sz w:val="24"/>
                <w:szCs w:val="24"/>
              </w:rPr>
              <w:t>202</w:t>
            </w:r>
            <w:r>
              <w:rPr>
                <w:rFonts w:hint="eastAsia" w:cs="Times New Roman"/>
                <w:color w:val="auto"/>
                <w:sz w:val="24"/>
                <w:szCs w:val="24"/>
                <w:lang w:val="en-US" w:eastAsia="zh-CN"/>
              </w:rPr>
              <w:t>6</w:t>
            </w:r>
            <w:r>
              <w:rPr>
                <w:rFonts w:hint="default" w:ascii="Times New Roman" w:hAnsi="Times New Roman" w:eastAsia="宋体" w:cs="Times New Roman"/>
                <w:color w:val="auto"/>
                <w:sz w:val="24"/>
                <w:szCs w:val="24"/>
              </w:rPr>
              <w:t>年</w:t>
            </w:r>
            <w:r>
              <w:rPr>
                <w:rFonts w:hint="eastAsia" w:cs="Times New Roman"/>
                <w:color w:val="auto"/>
                <w:sz w:val="24"/>
                <w:szCs w:val="24"/>
                <w:lang w:val="en-US" w:eastAsia="zh-CN"/>
              </w:rPr>
              <w:t>1</w:t>
            </w:r>
            <w:r>
              <w:rPr>
                <w:rFonts w:hint="default" w:ascii="Times New Roman" w:hAnsi="Times New Roman" w:eastAsia="宋体" w:cs="Times New Roman"/>
                <w:color w:val="auto"/>
                <w:sz w:val="24"/>
                <w:szCs w:val="24"/>
              </w:rPr>
              <w:t>月</w:t>
            </w:r>
            <w:r>
              <w:rPr>
                <w:rFonts w:hint="eastAsia" w:cs="Times New Roman"/>
                <w:color w:val="auto"/>
                <w:sz w:val="24"/>
                <w:szCs w:val="24"/>
                <w:lang w:val="en-US" w:eastAsia="zh-CN"/>
              </w:rPr>
              <w:t>13</w:t>
            </w:r>
            <w:r>
              <w:rPr>
                <w:rFonts w:hint="default" w:ascii="Times New Roman" w:hAnsi="Times New Roman" w:eastAsia="宋体" w:cs="Times New Roman"/>
                <w:color w:val="auto"/>
                <w:sz w:val="24"/>
                <w:szCs w:val="24"/>
              </w:rPr>
              <w:t>日，备案文号</w:t>
            </w:r>
            <w:r>
              <w:rPr>
                <w:rFonts w:hint="default" w:ascii="Times New Roman" w:hAnsi="Times New Roman" w:eastAsia="宋体" w:cs="Times New Roman"/>
                <w:color w:val="auto"/>
                <w:sz w:val="24"/>
                <w:szCs w:val="24"/>
                <w:lang w:eastAsia="zh-CN"/>
              </w:rPr>
              <w:t>青发改</w:t>
            </w:r>
            <w:r>
              <w:rPr>
                <w:rFonts w:hint="default" w:ascii="Times New Roman" w:hAnsi="Times New Roman" w:eastAsia="宋体" w:cs="Times New Roman"/>
                <w:color w:val="auto"/>
                <w:sz w:val="24"/>
                <w:szCs w:val="24"/>
              </w:rPr>
              <w:t>〔202</w:t>
            </w:r>
            <w:r>
              <w:rPr>
                <w:rFonts w:hint="default"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540</w:t>
            </w:r>
            <w:r>
              <w:rPr>
                <w:rFonts w:hint="default" w:ascii="Times New Roman" w:hAnsi="Times New Roman" w:eastAsia="宋体" w:cs="Times New Roman"/>
                <w:color w:val="auto"/>
                <w:sz w:val="24"/>
                <w:szCs w:val="24"/>
              </w:rPr>
              <w:t>号。</w:t>
            </w:r>
            <w:r>
              <w:rPr>
                <w:rFonts w:hint="default" w:ascii="Times New Roman" w:hAnsi="Times New Roman" w:eastAsia="宋体" w:cs="Times New Roman"/>
                <w:color w:val="auto"/>
                <w:sz w:val="24"/>
                <w:szCs w:val="24"/>
                <w:lang w:val="en-US" w:eastAsia="zh-CN"/>
              </w:rPr>
              <w:t>备案</w:t>
            </w:r>
            <w:r>
              <w:rPr>
                <w:rFonts w:hint="default" w:ascii="Times New Roman" w:hAnsi="Times New Roman" w:eastAsia="宋体" w:cs="Times New Roman"/>
                <w:color w:val="auto"/>
                <w:sz w:val="24"/>
                <w:szCs w:val="24"/>
              </w:rPr>
              <w:t>建设内容为</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项目租赁开发区标准化厂房约8700平方米</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购置锯床、激光切割机、数控车床、铣床、钻床、焊接设备、喷涂设备等设备共计60余台</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套</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配套建设喷漆房、晾干房。项目整体建成达产后</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可年产220套金属制品加工专用设备。</w:t>
            </w:r>
          </w:p>
          <w:p w14:paraId="769A15FF">
            <w:pPr>
              <w:spacing w:line="360" w:lineRule="auto"/>
              <w:ind w:firstLine="482" w:firstLineChars="200"/>
              <w:jc w:val="left"/>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eastAsia="zh-CN"/>
              </w:rPr>
              <w:t>（</w:t>
            </w:r>
            <w:r>
              <w:rPr>
                <w:rFonts w:hint="default" w:ascii="Times New Roman" w:hAnsi="Times New Roman" w:eastAsia="宋体" w:cs="Times New Roman"/>
                <w:b/>
                <w:bCs/>
                <w:color w:val="auto"/>
                <w:sz w:val="24"/>
                <w:szCs w:val="24"/>
                <w:lang w:val="en-US" w:eastAsia="zh-CN"/>
              </w:rPr>
              <w:t>2</w:t>
            </w:r>
            <w:r>
              <w:rPr>
                <w:rFonts w:hint="default" w:ascii="Times New Roman" w:hAnsi="Times New Roman" w:eastAsia="宋体" w:cs="Times New Roman"/>
                <w:b/>
                <w:bCs/>
                <w:color w:val="auto"/>
                <w:sz w:val="24"/>
                <w:szCs w:val="24"/>
                <w:lang w:eastAsia="zh-CN"/>
              </w:rPr>
              <w:t>）</w:t>
            </w:r>
            <w:r>
              <w:rPr>
                <w:rFonts w:hint="default" w:ascii="Times New Roman" w:hAnsi="Times New Roman" w:eastAsia="宋体" w:cs="Times New Roman"/>
                <w:b/>
                <w:bCs/>
                <w:color w:val="auto"/>
                <w:sz w:val="24"/>
                <w:szCs w:val="24"/>
              </w:rPr>
              <w:t>行业判定</w:t>
            </w:r>
          </w:p>
          <w:p w14:paraId="1572FFB5">
            <w:pPr>
              <w:widowControl/>
              <w:spacing w:line="360" w:lineRule="auto"/>
              <w:ind w:firstLine="480" w:firstLineChars="20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lang w:eastAsia="zh-CN"/>
              </w:rPr>
              <w:t>本项目</w:t>
            </w:r>
            <w:r>
              <w:rPr>
                <w:rFonts w:hint="default" w:ascii="Times New Roman" w:hAnsi="Times New Roman" w:cs="Times New Roman"/>
                <w:color w:val="auto"/>
                <w:sz w:val="24"/>
                <w:szCs w:val="24"/>
              </w:rPr>
              <w:t>产品为</w:t>
            </w:r>
            <w:r>
              <w:rPr>
                <w:rFonts w:hint="default" w:ascii="Times New Roman" w:hAnsi="Times New Roman" w:cs="Times New Roman"/>
                <w:color w:val="auto"/>
                <w:sz w:val="24"/>
                <w:szCs w:val="24"/>
                <w:lang w:eastAsia="zh-CN"/>
              </w:rPr>
              <w:t>挤压机、牵引机、冷床、单棒炉、时效炉和在线淬火设备等</w:t>
            </w:r>
            <w:r>
              <w:rPr>
                <w:rFonts w:hint="default" w:ascii="Times New Roman" w:hAnsi="Times New Roman" w:cs="Times New Roman"/>
                <w:color w:val="auto"/>
                <w:sz w:val="24"/>
                <w:szCs w:val="24"/>
              </w:rPr>
              <w:t>，对照《国民经济行业分类》（GB/T 4754-2017），项目</w:t>
            </w:r>
            <w:r>
              <w:rPr>
                <w:rFonts w:hint="default" w:ascii="Times New Roman" w:hAnsi="Times New Roman" w:cs="Times New Roman"/>
                <w:color w:val="auto"/>
                <w:sz w:val="24"/>
                <w:szCs w:val="24"/>
                <w:lang w:eastAsia="zh-CN"/>
              </w:rPr>
              <w:t>挤压机和牵引机生产属于</w:t>
            </w:r>
            <w:r>
              <w:rPr>
                <w:rFonts w:hint="default" w:ascii="Times New Roman" w:hAnsi="Times New Roman" w:cs="Times New Roman"/>
                <w:color w:val="auto"/>
                <w:sz w:val="24"/>
                <w:szCs w:val="24"/>
                <w:lang w:val="en-US" w:eastAsia="zh-CN"/>
              </w:rPr>
              <w:t>C3422金属成形机床制造、冷床属于C3423铸造机械制造、</w:t>
            </w:r>
            <w:r>
              <w:rPr>
                <w:rFonts w:hint="default" w:ascii="Times New Roman" w:hAnsi="Times New Roman" w:cs="Times New Roman"/>
                <w:color w:val="auto"/>
                <w:sz w:val="24"/>
                <w:szCs w:val="24"/>
                <w:lang w:eastAsia="zh-CN"/>
              </w:rPr>
              <w:t>单棒炉、时效炉和在线淬火设备生产属于</w:t>
            </w:r>
            <w:r>
              <w:rPr>
                <w:rFonts w:hint="default" w:ascii="Times New Roman" w:hAnsi="Times New Roman" w:cs="Times New Roman"/>
                <w:color w:val="auto"/>
                <w:sz w:val="24"/>
                <w:szCs w:val="24"/>
                <w:lang w:val="en-US" w:eastAsia="zh-CN"/>
              </w:rPr>
              <w:t>C3461烘炉、熔炉及电炉制造</w:t>
            </w:r>
            <w:r>
              <w:rPr>
                <w:rFonts w:hint="default" w:ascii="Times New Roman" w:hAnsi="Times New Roman" w:cs="Times New Roman"/>
                <w:color w:val="auto"/>
                <w:sz w:val="24"/>
                <w:szCs w:val="24"/>
              </w:rPr>
              <w:t>。</w:t>
            </w:r>
          </w:p>
          <w:p w14:paraId="6BFC1BAA">
            <w:pPr>
              <w:widowControl/>
              <w:spacing w:line="360" w:lineRule="auto"/>
              <w:ind w:firstLine="480" w:firstLineChars="200"/>
              <w:jc w:val="left"/>
              <w:rPr>
                <w:rFonts w:hint="default" w:ascii="Times New Roman" w:hAnsi="Times New Roman" w:cs="Times New Roman"/>
                <w:color w:val="auto"/>
              </w:rPr>
            </w:pPr>
            <w:r>
              <w:rPr>
                <w:rFonts w:hint="default" w:ascii="Times New Roman" w:hAnsi="Times New Roman" w:cs="Times New Roman"/>
                <w:color w:val="auto"/>
                <w:kern w:val="0"/>
                <w:sz w:val="24"/>
                <w:szCs w:val="24"/>
                <w:lang w:bidi="ar"/>
              </w:rPr>
              <w:t>根据《中华人民共和国环境影响评价法》、《建设项目环境保护管理条例》[国务院682号令]的有关规定和要求，该项目需要进行环境影响评价</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eastAsia="zh-CN"/>
              </w:rPr>
              <w:t>根据</w:t>
            </w:r>
            <w:r>
              <w:rPr>
                <w:rFonts w:hint="default" w:ascii="Times New Roman" w:hAnsi="Times New Roman" w:cs="Times New Roman"/>
                <w:color w:val="auto"/>
                <w:sz w:val="24"/>
                <w:szCs w:val="24"/>
              </w:rPr>
              <w:t>《国民经济行业分类》（GB/T 4754-2017）和《建设项目环境影响评价分类管理名录》（2021年版）对照表</w:t>
            </w:r>
            <w:r>
              <w:rPr>
                <w:rFonts w:hint="default" w:ascii="Times New Roman" w:hAnsi="Times New Roman" w:cs="Times New Roman"/>
                <w:bCs/>
                <w:color w:val="auto"/>
                <w:sz w:val="24"/>
                <w:szCs w:val="24"/>
              </w:rPr>
              <w:t>如下表所示：</w:t>
            </w:r>
          </w:p>
          <w:p w14:paraId="1D319E30">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r>
              <w:rPr>
                <w:rFonts w:hint="default" w:ascii="Times New Roman" w:hAnsi="Times New Roman" w:cs="Times New Roman"/>
                <w:color w:val="auto"/>
              </w:rPr>
              <w:t>表2-1  项目行业判定表</w:t>
            </w:r>
          </w:p>
          <w:tbl>
            <w:tblPr>
              <w:tblStyle w:val="31"/>
              <w:tblW w:w="863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67"/>
              <w:gridCol w:w="1357"/>
              <w:gridCol w:w="1425"/>
              <w:gridCol w:w="1895"/>
              <w:gridCol w:w="1309"/>
              <w:gridCol w:w="1979"/>
            </w:tblGrid>
            <w:tr w14:paraId="18674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1" w:hRule="atLeast"/>
                <w:jc w:val="center"/>
              </w:trPr>
              <w:tc>
                <w:tcPr>
                  <w:tcW w:w="1172" w:type="pct"/>
                  <w:gridSpan w:val="2"/>
                  <w:tcBorders>
                    <w:tl2br w:val="nil"/>
                    <w:tr2bl w:val="nil"/>
                  </w:tcBorders>
                  <w:noWrap w:val="0"/>
                  <w:vAlign w:val="center"/>
                </w:tcPr>
                <w:p w14:paraId="729CBA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产品</w:t>
                  </w:r>
                  <w:r>
                    <w:rPr>
                      <w:rFonts w:hint="default" w:ascii="Times New Roman" w:hAnsi="Times New Roman" w:cs="Times New Roman"/>
                      <w:b/>
                      <w:bCs/>
                      <w:color w:val="auto"/>
                      <w:sz w:val="21"/>
                      <w:szCs w:val="21"/>
                      <w:lang w:val="en-US" w:eastAsia="zh-CN"/>
                    </w:rPr>
                    <w:t>类别</w:t>
                  </w:r>
                </w:p>
              </w:tc>
              <w:tc>
                <w:tcPr>
                  <w:tcW w:w="3827" w:type="pct"/>
                  <w:gridSpan w:val="4"/>
                  <w:tcBorders>
                    <w:tl2br w:val="nil"/>
                    <w:tr2bl w:val="nil"/>
                  </w:tcBorders>
                  <w:noWrap w:val="0"/>
                  <w:vAlign w:val="center"/>
                </w:tcPr>
                <w:p w14:paraId="4D6C791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分类</w:t>
                  </w:r>
                </w:p>
              </w:tc>
            </w:tr>
            <w:tr w14:paraId="34172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1" w:hRule="atLeast"/>
                <w:jc w:val="center"/>
              </w:trPr>
              <w:tc>
                <w:tcPr>
                  <w:tcW w:w="5000" w:type="pct"/>
                  <w:gridSpan w:val="6"/>
                  <w:tcBorders>
                    <w:tl2br w:val="nil"/>
                    <w:tr2bl w:val="nil"/>
                  </w:tcBorders>
                  <w:noWrap w:val="0"/>
                  <w:vAlign w:val="center"/>
                </w:tcPr>
                <w:p w14:paraId="51F4EE2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val="0"/>
                      <w:color w:val="auto"/>
                      <w:sz w:val="21"/>
                      <w:szCs w:val="21"/>
                      <w:lang w:eastAsia="zh-CN"/>
                    </w:rPr>
                  </w:pPr>
                  <w:r>
                    <w:rPr>
                      <w:rFonts w:hint="default" w:ascii="Times New Roman" w:hAnsi="Times New Roman" w:cs="Times New Roman"/>
                      <w:b w:val="0"/>
                      <w:bCs w:val="0"/>
                      <w:color w:val="auto"/>
                      <w:sz w:val="21"/>
                      <w:szCs w:val="21"/>
                    </w:rPr>
                    <w:t>一、《国民经济行业分类》（GB/T 4754-2017）</w:t>
                  </w:r>
                  <w:r>
                    <w:rPr>
                      <w:rFonts w:hint="default"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lang w:val="en-US" w:eastAsia="zh-CN"/>
                    </w:rPr>
                    <w:t>摘录</w:t>
                  </w:r>
                  <w:r>
                    <w:rPr>
                      <w:rFonts w:hint="default" w:ascii="Times New Roman" w:hAnsi="Times New Roman" w:cs="Times New Roman"/>
                      <w:b w:val="0"/>
                      <w:bCs w:val="0"/>
                      <w:color w:val="auto"/>
                      <w:sz w:val="21"/>
                      <w:szCs w:val="21"/>
                      <w:lang w:eastAsia="zh-CN"/>
                    </w:rPr>
                    <w:t>）</w:t>
                  </w:r>
                </w:p>
              </w:tc>
            </w:tr>
            <w:tr w14:paraId="130CC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1" w:hRule="atLeast"/>
                <w:jc w:val="center"/>
              </w:trPr>
              <w:tc>
                <w:tcPr>
                  <w:tcW w:w="386" w:type="pct"/>
                  <w:tcBorders>
                    <w:tl2br w:val="nil"/>
                    <w:tr2bl w:val="nil"/>
                  </w:tcBorders>
                  <w:noWrap w:val="0"/>
                  <w:vAlign w:val="center"/>
                </w:tcPr>
                <w:p w14:paraId="1A5906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w:t>
                  </w:r>
                </w:p>
              </w:tc>
              <w:tc>
                <w:tcPr>
                  <w:tcW w:w="786" w:type="pct"/>
                  <w:tcBorders>
                    <w:tl2br w:val="nil"/>
                    <w:tr2bl w:val="nil"/>
                  </w:tcBorders>
                  <w:noWrap w:val="0"/>
                  <w:vAlign w:val="center"/>
                </w:tcPr>
                <w:p w14:paraId="725CA3D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w:t>
                  </w:r>
                </w:p>
              </w:tc>
              <w:tc>
                <w:tcPr>
                  <w:tcW w:w="825" w:type="pct"/>
                  <w:tcBorders>
                    <w:tl2br w:val="nil"/>
                    <w:tr2bl w:val="nil"/>
                  </w:tcBorders>
                  <w:noWrap w:val="0"/>
                  <w:vAlign w:val="center"/>
                </w:tcPr>
                <w:p w14:paraId="6DF805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总类</w:t>
                  </w:r>
                </w:p>
              </w:tc>
              <w:tc>
                <w:tcPr>
                  <w:tcW w:w="1097" w:type="pct"/>
                  <w:tcBorders>
                    <w:tl2br w:val="nil"/>
                    <w:tr2bl w:val="nil"/>
                  </w:tcBorders>
                  <w:noWrap w:val="0"/>
                  <w:vAlign w:val="center"/>
                </w:tcPr>
                <w:p w14:paraId="68CC891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大类</w:t>
                  </w:r>
                </w:p>
              </w:tc>
              <w:tc>
                <w:tcPr>
                  <w:tcW w:w="758" w:type="pct"/>
                  <w:tcBorders>
                    <w:tl2br w:val="nil"/>
                    <w:tr2bl w:val="nil"/>
                  </w:tcBorders>
                  <w:noWrap w:val="0"/>
                  <w:vAlign w:val="center"/>
                </w:tcPr>
                <w:p w14:paraId="255B0D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中类</w:t>
                  </w:r>
                </w:p>
              </w:tc>
              <w:tc>
                <w:tcPr>
                  <w:tcW w:w="1146" w:type="pct"/>
                  <w:tcBorders>
                    <w:tl2br w:val="nil"/>
                    <w:tr2bl w:val="nil"/>
                  </w:tcBorders>
                  <w:noWrap w:val="0"/>
                  <w:vAlign w:val="center"/>
                </w:tcPr>
                <w:p w14:paraId="04029F4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小类</w:t>
                  </w:r>
                </w:p>
              </w:tc>
            </w:tr>
            <w:tr w14:paraId="245A4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1" w:hRule="atLeast"/>
                <w:jc w:val="center"/>
              </w:trPr>
              <w:tc>
                <w:tcPr>
                  <w:tcW w:w="386" w:type="pct"/>
                  <w:vMerge w:val="restart"/>
                  <w:tcBorders>
                    <w:tl2br w:val="nil"/>
                    <w:tr2bl w:val="nil"/>
                  </w:tcBorders>
                  <w:noWrap w:val="0"/>
                  <w:vAlign w:val="center"/>
                </w:tcPr>
                <w:p w14:paraId="6BF728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产品</w:t>
                  </w:r>
                </w:p>
              </w:tc>
              <w:tc>
                <w:tcPr>
                  <w:tcW w:w="786" w:type="pct"/>
                  <w:tcBorders>
                    <w:tl2br w:val="nil"/>
                    <w:tr2bl w:val="nil"/>
                  </w:tcBorders>
                  <w:noWrap w:val="0"/>
                  <w:vAlign w:val="center"/>
                </w:tcPr>
                <w:p w14:paraId="695751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挤压机、牵引机</w:t>
                  </w:r>
                </w:p>
              </w:tc>
              <w:tc>
                <w:tcPr>
                  <w:tcW w:w="825" w:type="pct"/>
                  <w:vMerge w:val="restart"/>
                  <w:tcBorders>
                    <w:tl2br w:val="nil"/>
                    <w:tr2bl w:val="nil"/>
                  </w:tcBorders>
                  <w:noWrap w:val="0"/>
                  <w:vAlign w:val="center"/>
                </w:tcPr>
                <w:p w14:paraId="75B61CA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C</w:t>
                  </w:r>
                  <w:r>
                    <w:rPr>
                      <w:rFonts w:hint="default" w:ascii="Times New Roman" w:hAnsi="Times New Roman" w:cs="Times New Roman"/>
                      <w:b w:val="0"/>
                      <w:bCs w:val="0"/>
                      <w:color w:val="auto"/>
                      <w:sz w:val="21"/>
                      <w:szCs w:val="21"/>
                      <w:lang w:val="en-US" w:eastAsia="zh-CN"/>
                    </w:rPr>
                    <w:t xml:space="preserve"> </w:t>
                  </w:r>
                  <w:r>
                    <w:rPr>
                      <w:rFonts w:hint="default" w:ascii="Times New Roman" w:hAnsi="Times New Roman" w:cs="Times New Roman"/>
                      <w:b w:val="0"/>
                      <w:bCs w:val="0"/>
                      <w:color w:val="auto"/>
                      <w:sz w:val="21"/>
                      <w:szCs w:val="21"/>
                    </w:rPr>
                    <w:t>制造业</w:t>
                  </w:r>
                </w:p>
              </w:tc>
              <w:tc>
                <w:tcPr>
                  <w:tcW w:w="1097" w:type="pct"/>
                  <w:vMerge w:val="restart"/>
                  <w:tcBorders>
                    <w:tl2br w:val="nil"/>
                    <w:tr2bl w:val="nil"/>
                  </w:tcBorders>
                  <w:noWrap w:val="0"/>
                  <w:vAlign w:val="center"/>
                </w:tcPr>
                <w:p w14:paraId="1AE156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34 通用设备制造业</w:t>
                  </w:r>
                </w:p>
              </w:tc>
              <w:tc>
                <w:tcPr>
                  <w:tcW w:w="758" w:type="pct"/>
                  <w:vMerge w:val="restart"/>
                  <w:tcBorders>
                    <w:tl2br w:val="nil"/>
                    <w:tr2bl w:val="nil"/>
                  </w:tcBorders>
                  <w:noWrap w:val="0"/>
                  <w:vAlign w:val="center"/>
                </w:tcPr>
                <w:p w14:paraId="625A935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342金属加工机械</w:t>
                  </w:r>
                  <w:r>
                    <w:rPr>
                      <w:rFonts w:hint="default" w:ascii="Times New Roman" w:hAnsi="Times New Roman" w:cs="Times New Roman"/>
                      <w:b w:val="0"/>
                      <w:bCs w:val="0"/>
                      <w:color w:val="auto"/>
                      <w:sz w:val="21"/>
                      <w:szCs w:val="21"/>
                      <w:lang w:eastAsia="zh-CN"/>
                    </w:rPr>
                    <w:t>制造</w:t>
                  </w:r>
                </w:p>
              </w:tc>
              <w:tc>
                <w:tcPr>
                  <w:tcW w:w="1146" w:type="pct"/>
                  <w:tcBorders>
                    <w:tl2br w:val="nil"/>
                    <w:tr2bl w:val="nil"/>
                  </w:tcBorders>
                  <w:noWrap w:val="0"/>
                  <w:vAlign w:val="center"/>
                </w:tcPr>
                <w:p w14:paraId="5F63BAB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3</w:t>
                  </w:r>
                  <w:r>
                    <w:rPr>
                      <w:rFonts w:hint="default" w:ascii="Times New Roman" w:hAnsi="Times New Roman" w:cs="Times New Roman"/>
                      <w:b w:val="0"/>
                      <w:bCs w:val="0"/>
                      <w:color w:val="auto"/>
                      <w:sz w:val="21"/>
                      <w:szCs w:val="21"/>
                      <w:lang w:val="en-US" w:eastAsia="zh-CN"/>
                    </w:rPr>
                    <w:t>422</w:t>
                  </w:r>
                  <w:r>
                    <w:rPr>
                      <w:rFonts w:hint="default" w:ascii="Times New Roman" w:hAnsi="Times New Roman" w:cs="Times New Roman"/>
                      <w:b w:val="0"/>
                      <w:bCs w:val="0"/>
                      <w:color w:val="auto"/>
                      <w:sz w:val="21"/>
                      <w:szCs w:val="21"/>
                    </w:rPr>
                    <w:t>金属成形机床制造</w:t>
                  </w:r>
                </w:p>
              </w:tc>
            </w:tr>
            <w:tr w14:paraId="1F944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1" w:hRule="atLeast"/>
                <w:jc w:val="center"/>
              </w:trPr>
              <w:tc>
                <w:tcPr>
                  <w:tcW w:w="386" w:type="pct"/>
                  <w:vMerge w:val="continue"/>
                  <w:tcBorders>
                    <w:tl2br w:val="nil"/>
                    <w:tr2bl w:val="nil"/>
                  </w:tcBorders>
                  <w:noWrap w:val="0"/>
                  <w:vAlign w:val="center"/>
                </w:tcPr>
                <w:p w14:paraId="4ECD4A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p>
              </w:tc>
              <w:tc>
                <w:tcPr>
                  <w:tcW w:w="786" w:type="pct"/>
                  <w:tcBorders>
                    <w:tl2br w:val="nil"/>
                    <w:tr2bl w:val="nil"/>
                  </w:tcBorders>
                  <w:noWrap w:val="0"/>
                  <w:vAlign w:val="center"/>
                </w:tcPr>
                <w:p w14:paraId="5967B6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冷床</w:t>
                  </w:r>
                </w:p>
              </w:tc>
              <w:tc>
                <w:tcPr>
                  <w:tcW w:w="825" w:type="pct"/>
                  <w:vMerge w:val="continue"/>
                  <w:tcBorders>
                    <w:tl2br w:val="nil"/>
                    <w:tr2bl w:val="nil"/>
                  </w:tcBorders>
                  <w:noWrap w:val="0"/>
                  <w:vAlign w:val="center"/>
                </w:tcPr>
                <w:p w14:paraId="69BA47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p>
              </w:tc>
              <w:tc>
                <w:tcPr>
                  <w:tcW w:w="1097" w:type="pct"/>
                  <w:vMerge w:val="continue"/>
                  <w:tcBorders>
                    <w:tl2br w:val="nil"/>
                    <w:tr2bl w:val="nil"/>
                  </w:tcBorders>
                  <w:noWrap w:val="0"/>
                  <w:vAlign w:val="center"/>
                </w:tcPr>
                <w:p w14:paraId="373022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p>
              </w:tc>
              <w:tc>
                <w:tcPr>
                  <w:tcW w:w="758" w:type="pct"/>
                  <w:vMerge w:val="continue"/>
                  <w:tcBorders>
                    <w:tl2br w:val="nil"/>
                    <w:tr2bl w:val="nil"/>
                  </w:tcBorders>
                  <w:noWrap w:val="0"/>
                  <w:vAlign w:val="center"/>
                </w:tcPr>
                <w:p w14:paraId="75BCB31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p>
              </w:tc>
              <w:tc>
                <w:tcPr>
                  <w:tcW w:w="1146" w:type="pct"/>
                  <w:tcBorders>
                    <w:tl2br w:val="nil"/>
                    <w:tr2bl w:val="nil"/>
                  </w:tcBorders>
                  <w:noWrap w:val="0"/>
                  <w:vAlign w:val="center"/>
                </w:tcPr>
                <w:p w14:paraId="51AB15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3423铸造机械制造</w:t>
                  </w:r>
                </w:p>
              </w:tc>
            </w:tr>
            <w:tr w14:paraId="6242B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3" w:hRule="atLeast"/>
                <w:jc w:val="center"/>
              </w:trPr>
              <w:tc>
                <w:tcPr>
                  <w:tcW w:w="386" w:type="pct"/>
                  <w:vMerge w:val="continue"/>
                  <w:tcBorders>
                    <w:tl2br w:val="nil"/>
                    <w:tr2bl w:val="nil"/>
                  </w:tcBorders>
                  <w:noWrap w:val="0"/>
                  <w:vAlign w:val="center"/>
                </w:tcPr>
                <w:p w14:paraId="56D735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p>
              </w:tc>
              <w:tc>
                <w:tcPr>
                  <w:tcW w:w="786" w:type="pct"/>
                  <w:tcBorders>
                    <w:tl2br w:val="nil"/>
                    <w:tr2bl w:val="nil"/>
                  </w:tcBorders>
                  <w:noWrap w:val="0"/>
                  <w:vAlign w:val="center"/>
                </w:tcPr>
                <w:p w14:paraId="2BBDE1D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单棒炉、时效炉、在线淬火设备</w:t>
                  </w:r>
                </w:p>
              </w:tc>
              <w:tc>
                <w:tcPr>
                  <w:tcW w:w="825" w:type="pct"/>
                  <w:vMerge w:val="continue"/>
                  <w:tcBorders>
                    <w:tl2br w:val="nil"/>
                    <w:tr2bl w:val="nil"/>
                  </w:tcBorders>
                  <w:noWrap w:val="0"/>
                  <w:vAlign w:val="center"/>
                </w:tcPr>
                <w:p w14:paraId="674C94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p>
              </w:tc>
              <w:tc>
                <w:tcPr>
                  <w:tcW w:w="1097" w:type="pct"/>
                  <w:vMerge w:val="continue"/>
                  <w:tcBorders>
                    <w:tl2br w:val="nil"/>
                    <w:tr2bl w:val="nil"/>
                  </w:tcBorders>
                  <w:noWrap w:val="0"/>
                  <w:vAlign w:val="center"/>
                </w:tcPr>
                <w:p w14:paraId="4187594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p>
              </w:tc>
              <w:tc>
                <w:tcPr>
                  <w:tcW w:w="758" w:type="pct"/>
                  <w:tcBorders>
                    <w:tl2br w:val="nil"/>
                    <w:tr2bl w:val="nil"/>
                  </w:tcBorders>
                  <w:noWrap w:val="0"/>
                  <w:vAlign w:val="center"/>
                </w:tcPr>
                <w:p w14:paraId="7C173CF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346烘炉、风机、包装等设备制造</w:t>
                  </w:r>
                </w:p>
              </w:tc>
              <w:tc>
                <w:tcPr>
                  <w:tcW w:w="1146" w:type="pct"/>
                  <w:tcBorders>
                    <w:tl2br w:val="nil"/>
                    <w:tr2bl w:val="nil"/>
                  </w:tcBorders>
                  <w:noWrap w:val="0"/>
                  <w:vAlign w:val="center"/>
                </w:tcPr>
                <w:p w14:paraId="4926FE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3461烘炉、熔炉及电炉制造</w:t>
                  </w:r>
                </w:p>
              </w:tc>
            </w:tr>
            <w:tr w14:paraId="2DD5D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1" w:hRule="atLeast"/>
                <w:jc w:val="center"/>
              </w:trPr>
              <w:tc>
                <w:tcPr>
                  <w:tcW w:w="5000" w:type="pct"/>
                  <w:gridSpan w:val="6"/>
                  <w:tcBorders>
                    <w:tl2br w:val="nil"/>
                    <w:tr2bl w:val="nil"/>
                  </w:tcBorders>
                  <w:noWrap w:val="0"/>
                  <w:vAlign w:val="center"/>
                </w:tcPr>
                <w:p w14:paraId="0BA38AA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val="0"/>
                      <w:color w:val="auto"/>
                      <w:sz w:val="21"/>
                      <w:szCs w:val="21"/>
                      <w:lang w:eastAsia="zh-CN"/>
                    </w:rPr>
                  </w:pPr>
                  <w:r>
                    <w:rPr>
                      <w:rFonts w:hint="default" w:ascii="Times New Roman" w:hAnsi="Times New Roman" w:cs="Times New Roman"/>
                      <w:b w:val="0"/>
                      <w:bCs w:val="0"/>
                      <w:color w:val="auto"/>
                      <w:sz w:val="21"/>
                      <w:szCs w:val="21"/>
                    </w:rPr>
                    <w:t>二、《建设项目环境影响评价分类管理名录》（2021年版）</w:t>
                  </w:r>
                  <w:r>
                    <w:rPr>
                      <w:rFonts w:hint="default"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lang w:val="en-US" w:eastAsia="zh-CN"/>
                    </w:rPr>
                    <w:t>摘录</w:t>
                  </w:r>
                  <w:r>
                    <w:rPr>
                      <w:rFonts w:hint="default" w:ascii="Times New Roman" w:hAnsi="Times New Roman" w:cs="Times New Roman"/>
                      <w:b w:val="0"/>
                      <w:bCs w:val="0"/>
                      <w:color w:val="auto"/>
                      <w:sz w:val="21"/>
                      <w:szCs w:val="21"/>
                      <w:lang w:eastAsia="zh-CN"/>
                    </w:rPr>
                    <w:t>）</w:t>
                  </w:r>
                </w:p>
              </w:tc>
            </w:tr>
            <w:tr w14:paraId="1D2FD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1" w:hRule="atLeast"/>
                <w:jc w:val="center"/>
              </w:trPr>
              <w:tc>
                <w:tcPr>
                  <w:tcW w:w="386" w:type="pct"/>
                  <w:vMerge w:val="restart"/>
                  <w:tcBorders>
                    <w:tl2br w:val="nil"/>
                    <w:tr2bl w:val="nil"/>
                  </w:tcBorders>
                  <w:noWrap w:val="0"/>
                  <w:vAlign w:val="center"/>
                </w:tcPr>
                <w:p w14:paraId="05C1E52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产品</w:t>
                  </w:r>
                </w:p>
              </w:tc>
              <w:tc>
                <w:tcPr>
                  <w:tcW w:w="786" w:type="pct"/>
                  <w:vMerge w:val="restart"/>
                  <w:tcBorders>
                    <w:tl2br w:val="nil"/>
                    <w:tr2bl w:val="nil"/>
                  </w:tcBorders>
                  <w:noWrap w:val="0"/>
                  <w:vAlign w:val="center"/>
                </w:tcPr>
                <w:p w14:paraId="1F1F1E0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w:t>
                  </w:r>
                </w:p>
              </w:tc>
              <w:tc>
                <w:tcPr>
                  <w:tcW w:w="2681" w:type="pct"/>
                  <w:gridSpan w:val="3"/>
                  <w:tcBorders>
                    <w:tl2br w:val="nil"/>
                    <w:tr2bl w:val="nil"/>
                  </w:tcBorders>
                  <w:noWrap w:val="0"/>
                  <w:vAlign w:val="center"/>
                </w:tcPr>
                <w:p w14:paraId="0EC661D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rPr>
                    <w:t>三十一、通用设备制造业 34</w:t>
                  </w:r>
                </w:p>
              </w:tc>
              <w:tc>
                <w:tcPr>
                  <w:tcW w:w="1146" w:type="pct"/>
                  <w:tcBorders>
                    <w:tl2br w:val="nil"/>
                    <w:tr2bl w:val="nil"/>
                  </w:tcBorders>
                  <w:noWrap w:val="0"/>
                  <w:vAlign w:val="center"/>
                </w:tcPr>
                <w:p w14:paraId="64EFD08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w:t>
                  </w:r>
                </w:p>
              </w:tc>
            </w:tr>
            <w:tr w14:paraId="2E84D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1" w:hRule="atLeast"/>
                <w:jc w:val="center"/>
              </w:trPr>
              <w:tc>
                <w:tcPr>
                  <w:tcW w:w="386" w:type="pct"/>
                  <w:vMerge w:val="continue"/>
                  <w:tcBorders>
                    <w:tl2br w:val="nil"/>
                    <w:tr2bl w:val="nil"/>
                  </w:tcBorders>
                  <w:noWrap w:val="0"/>
                  <w:vAlign w:val="center"/>
                </w:tcPr>
                <w:p w14:paraId="688129D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p>
              </w:tc>
              <w:tc>
                <w:tcPr>
                  <w:tcW w:w="786" w:type="pct"/>
                  <w:vMerge w:val="continue"/>
                  <w:tcBorders>
                    <w:tl2br w:val="nil"/>
                    <w:tr2bl w:val="nil"/>
                  </w:tcBorders>
                  <w:noWrap w:val="0"/>
                  <w:vAlign w:val="center"/>
                </w:tcPr>
                <w:p w14:paraId="575A7A4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p>
              </w:tc>
              <w:tc>
                <w:tcPr>
                  <w:tcW w:w="825" w:type="pct"/>
                  <w:tcBorders>
                    <w:tl2br w:val="nil"/>
                    <w:tr2bl w:val="nil"/>
                  </w:tcBorders>
                  <w:noWrap w:val="0"/>
                  <w:vAlign w:val="center"/>
                </w:tcPr>
                <w:p w14:paraId="0F5BD3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报告书</w:t>
                  </w:r>
                </w:p>
              </w:tc>
              <w:tc>
                <w:tcPr>
                  <w:tcW w:w="1097" w:type="pct"/>
                  <w:tcBorders>
                    <w:tl2br w:val="nil"/>
                    <w:tr2bl w:val="nil"/>
                  </w:tcBorders>
                  <w:noWrap w:val="0"/>
                  <w:vAlign w:val="center"/>
                </w:tcPr>
                <w:p w14:paraId="3BD2A0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报告表</w:t>
                  </w:r>
                </w:p>
              </w:tc>
              <w:tc>
                <w:tcPr>
                  <w:tcW w:w="758" w:type="pct"/>
                  <w:tcBorders>
                    <w:tl2br w:val="nil"/>
                    <w:tr2bl w:val="nil"/>
                  </w:tcBorders>
                  <w:noWrap w:val="0"/>
                  <w:vAlign w:val="center"/>
                </w:tcPr>
                <w:p w14:paraId="64AB0E0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登记表</w:t>
                  </w:r>
                </w:p>
              </w:tc>
              <w:tc>
                <w:tcPr>
                  <w:tcW w:w="1146" w:type="pct"/>
                  <w:tcBorders>
                    <w:tl2br w:val="nil"/>
                    <w:tr2bl w:val="nil"/>
                  </w:tcBorders>
                  <w:noWrap w:val="0"/>
                  <w:vAlign w:val="center"/>
                </w:tcPr>
                <w:p w14:paraId="6C849DB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w:t>
                  </w:r>
                </w:p>
              </w:tc>
            </w:tr>
            <w:tr w14:paraId="0F317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45" w:hRule="atLeast"/>
                <w:jc w:val="center"/>
              </w:trPr>
              <w:tc>
                <w:tcPr>
                  <w:tcW w:w="386" w:type="pct"/>
                  <w:vMerge w:val="continue"/>
                  <w:tcBorders>
                    <w:tl2br w:val="nil"/>
                    <w:tr2bl w:val="nil"/>
                  </w:tcBorders>
                  <w:noWrap w:val="0"/>
                  <w:vAlign w:val="center"/>
                </w:tcPr>
                <w:p w14:paraId="0ACAD7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p>
              </w:tc>
              <w:tc>
                <w:tcPr>
                  <w:tcW w:w="786" w:type="pct"/>
                  <w:tcBorders>
                    <w:tl2br w:val="nil"/>
                    <w:tr2bl w:val="nil"/>
                  </w:tcBorders>
                  <w:noWrap w:val="0"/>
                  <w:vAlign w:val="center"/>
                </w:tcPr>
                <w:p w14:paraId="21D577F8">
                  <w:pPr>
                    <w:pStyle w:val="37"/>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cs="Times New Roman"/>
                      <w:b w:val="0"/>
                      <w:bCs w:val="0"/>
                      <w:color w:val="auto"/>
                      <w:sz w:val="21"/>
                      <w:szCs w:val="21"/>
                      <w:lang w:val="en-US"/>
                    </w:rPr>
                  </w:pPr>
                  <w:r>
                    <w:rPr>
                      <w:rFonts w:hint="default" w:ascii="Times New Roman" w:hAnsi="Times New Roman" w:cs="Times New Roman"/>
                      <w:b w:val="0"/>
                      <w:bCs w:val="0"/>
                      <w:color w:val="auto"/>
                      <w:sz w:val="21"/>
                      <w:szCs w:val="21"/>
                      <w:lang w:val="en-US" w:eastAsia="zh-CN"/>
                    </w:rPr>
                    <w:t>挤压机、牵引机、冷床、单棒炉、时效炉、在线淬火设备</w:t>
                  </w:r>
                </w:p>
              </w:tc>
              <w:tc>
                <w:tcPr>
                  <w:tcW w:w="825" w:type="pct"/>
                  <w:tcBorders>
                    <w:tl2br w:val="nil"/>
                    <w:tr2bl w:val="nil"/>
                  </w:tcBorders>
                  <w:noWrap w:val="0"/>
                  <w:vAlign w:val="center"/>
                </w:tcPr>
                <w:p w14:paraId="038C9BB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有电镀工艺的；年用溶剂型涂料（含稀释剂）10吨及以上的</w:t>
                  </w:r>
                </w:p>
              </w:tc>
              <w:tc>
                <w:tcPr>
                  <w:tcW w:w="1097" w:type="pct"/>
                  <w:tcBorders>
                    <w:tl2br w:val="nil"/>
                    <w:tr2bl w:val="nil"/>
                  </w:tcBorders>
                  <w:noWrap w:val="0"/>
                  <w:vAlign w:val="center"/>
                </w:tcPr>
                <w:p w14:paraId="069B1DD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其他（仅分割、焊接、组装的除外；年用非溶剂型低VOCs含量涂料10吨以下的除外）</w:t>
                  </w:r>
                </w:p>
              </w:tc>
              <w:tc>
                <w:tcPr>
                  <w:tcW w:w="758" w:type="pct"/>
                  <w:tcBorders>
                    <w:tl2br w:val="nil"/>
                    <w:tr2bl w:val="nil"/>
                  </w:tcBorders>
                  <w:noWrap w:val="0"/>
                  <w:vAlign w:val="center"/>
                </w:tcPr>
                <w:p w14:paraId="6D592DA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w:t>
                  </w:r>
                </w:p>
              </w:tc>
              <w:tc>
                <w:tcPr>
                  <w:tcW w:w="1146" w:type="pct"/>
                  <w:tcBorders>
                    <w:tl2br w:val="nil"/>
                    <w:tr2bl w:val="nil"/>
                  </w:tcBorders>
                  <w:noWrap w:val="0"/>
                  <w:vAlign w:val="center"/>
                </w:tcPr>
                <w:p w14:paraId="54671DE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本项目存在分割、焊接组装机及涂装工序，水性漆年使用量为22.15t，为报告表</w:t>
                  </w:r>
                </w:p>
              </w:tc>
            </w:tr>
          </w:tbl>
          <w:p w14:paraId="7F6EB98D">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lang w:val="en-US" w:eastAsia="zh-CN"/>
              </w:rPr>
              <w:t>本项目属于342金属加工机械制造和346烘炉、风机、包装等设备制造，</w:t>
            </w:r>
            <w:r>
              <w:rPr>
                <w:rFonts w:hint="default" w:ascii="Times New Roman" w:hAnsi="Times New Roman" w:cs="Times New Roman"/>
                <w:color w:val="auto"/>
                <w:sz w:val="24"/>
              </w:rPr>
              <w:t>根据</w:t>
            </w:r>
            <w:r>
              <w:rPr>
                <w:rFonts w:hint="default" w:ascii="Times New Roman" w:hAnsi="Times New Roman" w:eastAsia="宋体" w:cs="Times New Roman"/>
                <w:color w:val="auto"/>
                <w:sz w:val="24"/>
              </w:rPr>
              <w:t>《建设项目环境影响评价分类管理名录（2021年版）》，本项目存在分割、焊接</w:t>
            </w:r>
            <w:r>
              <w:rPr>
                <w:rFonts w:hint="default" w:ascii="Times New Roman" w:hAnsi="Times New Roman" w:cs="Times New Roman"/>
                <w:color w:val="auto"/>
                <w:sz w:val="24"/>
                <w:lang w:eastAsia="zh-CN"/>
              </w:rPr>
              <w:t>组装</w:t>
            </w:r>
            <w:r>
              <w:rPr>
                <w:rFonts w:hint="default" w:ascii="Times New Roman" w:hAnsi="Times New Roman" w:eastAsia="宋体" w:cs="Times New Roman"/>
                <w:color w:val="auto"/>
                <w:sz w:val="24"/>
              </w:rPr>
              <w:t>及涂装工序，水性漆年使用量为22.15t，需编制环境影响报告表。</w:t>
            </w:r>
          </w:p>
          <w:p w14:paraId="0D65B498">
            <w:pPr>
              <w:bidi w:val="0"/>
              <w:rPr>
                <w:rFonts w:hint="default" w:ascii="Times New Roman" w:hAnsi="Times New Roman" w:cs="Times New Roman"/>
                <w:b/>
                <w:bCs/>
                <w:color w:val="auto"/>
              </w:rPr>
            </w:pPr>
            <w:r>
              <w:rPr>
                <w:rFonts w:hint="default" w:ascii="Times New Roman" w:hAnsi="Times New Roman" w:cs="Times New Roman"/>
                <w:b/>
                <w:bCs/>
                <w:color w:val="auto"/>
                <w:lang w:val="en-US" w:eastAsia="zh-CN"/>
              </w:rPr>
              <w:t>（3）</w:t>
            </w:r>
            <w:r>
              <w:rPr>
                <w:rFonts w:hint="default" w:ascii="Times New Roman" w:hAnsi="Times New Roman" w:cs="Times New Roman"/>
                <w:b/>
                <w:bCs/>
                <w:color w:val="auto"/>
              </w:rPr>
              <w:t>排污许可管理</w:t>
            </w:r>
          </w:p>
          <w:p w14:paraId="525010EA">
            <w:pPr>
              <w:keepNext w:val="0"/>
              <w:keepLines w:val="0"/>
              <w:pageBreakBefore w:val="0"/>
              <w:widowControl w:val="0"/>
              <w:kinsoku/>
              <w:wordWrap/>
              <w:overflowPunct/>
              <w:topLinePunct w:val="0"/>
              <w:bidi w:val="0"/>
              <w:spacing w:line="360" w:lineRule="auto"/>
              <w:ind w:firstLine="420"/>
              <w:textAlignment w:val="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根据《排污许可管理条例》（国务院令第736号），排污单位应当按照条例规定申请取得排污许可证，未取得排污许可证的，不得排放污染物</w:t>
            </w:r>
            <w:r>
              <w:rPr>
                <w:rFonts w:hint="default" w:ascii="Times New Roman" w:hAnsi="Times New Roman" w:cs="Times New Roman"/>
                <w:color w:val="auto"/>
                <w:sz w:val="24"/>
                <w:szCs w:val="24"/>
                <w:lang w:eastAsia="zh-CN"/>
              </w:rPr>
              <w:t>。</w:t>
            </w:r>
          </w:p>
          <w:p w14:paraId="02120136">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eastAsia="zh-CN"/>
              </w:rPr>
            </w:pPr>
            <w:r>
              <w:rPr>
                <w:rFonts w:hint="default" w:ascii="Times New Roman" w:hAnsi="Times New Roman" w:cs="Times New Roman"/>
                <w:color w:val="auto"/>
                <w:lang w:eastAsia="zh-CN"/>
              </w:rPr>
              <w:t>表</w:t>
            </w:r>
            <w:r>
              <w:rPr>
                <w:rFonts w:hint="default" w:ascii="Times New Roman" w:hAnsi="Times New Roman" w:cs="Times New Roman"/>
                <w:color w:val="auto"/>
                <w:lang w:val="en-US" w:eastAsia="zh-CN"/>
              </w:rPr>
              <w:t>2-2</w:t>
            </w:r>
            <w:r>
              <w:rPr>
                <w:rFonts w:hint="default" w:ascii="Times New Roman" w:hAnsi="Times New Roman" w:cs="Times New Roman"/>
                <w:color w:val="auto"/>
                <w:lang w:eastAsia="zh-CN"/>
              </w:rPr>
              <w:t xml:space="preserve">  固定污染源排污许可证分类管理名录（2019 版）对照表</w:t>
            </w:r>
          </w:p>
          <w:tbl>
            <w:tblPr>
              <w:tblStyle w:val="32"/>
              <w:tblW w:w="857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52"/>
              <w:gridCol w:w="4366"/>
              <w:gridCol w:w="1082"/>
              <w:gridCol w:w="1149"/>
              <w:gridCol w:w="1329"/>
            </w:tblGrid>
            <w:tr w14:paraId="1FA4F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52" w:type="dxa"/>
                  <w:tcBorders>
                    <w:tl2br w:val="nil"/>
                    <w:tr2bl w:val="nil"/>
                  </w:tcBorders>
                  <w:noWrap w:val="0"/>
                  <w:vAlign w:val="center"/>
                </w:tcPr>
                <w:p w14:paraId="171C0D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rPr>
                    <w:t>序号</w:t>
                  </w:r>
                </w:p>
              </w:tc>
              <w:tc>
                <w:tcPr>
                  <w:tcW w:w="4366" w:type="dxa"/>
                  <w:tcBorders>
                    <w:tl2br w:val="nil"/>
                    <w:tr2bl w:val="nil"/>
                  </w:tcBorders>
                  <w:noWrap w:val="0"/>
                  <w:vAlign w:val="center"/>
                </w:tcPr>
                <w:p w14:paraId="6EAE1A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行业类别</w:t>
                  </w:r>
                </w:p>
              </w:tc>
              <w:tc>
                <w:tcPr>
                  <w:tcW w:w="1082" w:type="dxa"/>
                  <w:tcBorders>
                    <w:tl2br w:val="nil"/>
                    <w:tr2bl w:val="nil"/>
                  </w:tcBorders>
                  <w:noWrap w:val="0"/>
                  <w:vAlign w:val="center"/>
                </w:tcPr>
                <w:p w14:paraId="0B25227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重点管理</w:t>
                  </w:r>
                </w:p>
              </w:tc>
              <w:tc>
                <w:tcPr>
                  <w:tcW w:w="1149" w:type="dxa"/>
                  <w:tcBorders>
                    <w:tl2br w:val="nil"/>
                    <w:tr2bl w:val="nil"/>
                  </w:tcBorders>
                  <w:noWrap w:val="0"/>
                  <w:vAlign w:val="center"/>
                </w:tcPr>
                <w:p w14:paraId="3B7834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rPr>
                    <w:t>简化管理</w:t>
                  </w:r>
                </w:p>
              </w:tc>
              <w:tc>
                <w:tcPr>
                  <w:tcW w:w="1329" w:type="dxa"/>
                  <w:tcBorders>
                    <w:tl2br w:val="nil"/>
                    <w:tr2bl w:val="nil"/>
                  </w:tcBorders>
                  <w:noWrap w:val="0"/>
                  <w:vAlign w:val="center"/>
                </w:tcPr>
                <w:p w14:paraId="5BD4E5E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登记管理</w:t>
                  </w:r>
                </w:p>
              </w:tc>
            </w:tr>
            <w:tr w14:paraId="433F2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7" w:hRule="atLeast"/>
                <w:jc w:val="center"/>
              </w:trPr>
              <w:tc>
                <w:tcPr>
                  <w:tcW w:w="8578" w:type="dxa"/>
                  <w:gridSpan w:val="5"/>
                  <w:tcBorders>
                    <w:tl2br w:val="nil"/>
                    <w:tr2bl w:val="nil"/>
                  </w:tcBorders>
                  <w:noWrap w:val="0"/>
                  <w:vAlign w:val="center"/>
                </w:tcPr>
                <w:p w14:paraId="04998B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二十九、通用设备制造业 34</w:t>
                  </w:r>
                </w:p>
              </w:tc>
            </w:tr>
            <w:tr w14:paraId="55CE5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31" w:hRule="atLeast"/>
                <w:jc w:val="center"/>
              </w:trPr>
              <w:tc>
                <w:tcPr>
                  <w:tcW w:w="652" w:type="dxa"/>
                  <w:tcBorders>
                    <w:tl2br w:val="nil"/>
                    <w:tr2bl w:val="nil"/>
                  </w:tcBorders>
                  <w:noWrap w:val="0"/>
                  <w:vAlign w:val="center"/>
                </w:tcPr>
                <w:p w14:paraId="230CA9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83</w:t>
                  </w:r>
                </w:p>
              </w:tc>
              <w:tc>
                <w:tcPr>
                  <w:tcW w:w="4366" w:type="dxa"/>
                  <w:tcBorders>
                    <w:tl2br w:val="nil"/>
                    <w:tr2bl w:val="nil"/>
                  </w:tcBorders>
                  <w:noWrap w:val="0"/>
                  <w:vAlign w:val="center"/>
                </w:tcPr>
                <w:p w14:paraId="2FA129C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锅炉及原动设备制造 341，金属加工机械制造 342，物料搬运设备制造 343，泵、阀门、压缩机及类似机械制造 344，轴承、齿轮和传动部件制造 345，烘炉、风机、包装等设备制造 346，文化、办公用机械制造 347，通用零部件制造348，其他通用设备制造业 349</w:t>
                  </w:r>
                </w:p>
              </w:tc>
              <w:tc>
                <w:tcPr>
                  <w:tcW w:w="1082" w:type="dxa"/>
                  <w:tcBorders>
                    <w:tl2br w:val="nil"/>
                    <w:tr2bl w:val="nil"/>
                  </w:tcBorders>
                  <w:noWrap w:val="0"/>
                  <w:vAlign w:val="center"/>
                </w:tcPr>
                <w:p w14:paraId="1398EBB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涉及通用工序重点管理的</w:t>
                  </w:r>
                </w:p>
              </w:tc>
              <w:tc>
                <w:tcPr>
                  <w:tcW w:w="1149" w:type="dxa"/>
                  <w:tcBorders>
                    <w:tl2br w:val="nil"/>
                    <w:tr2bl w:val="nil"/>
                  </w:tcBorders>
                  <w:noWrap w:val="0"/>
                  <w:vAlign w:val="center"/>
                </w:tcPr>
                <w:p w14:paraId="0315D9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涉及通用工序简化管理的</w:t>
                  </w:r>
                </w:p>
              </w:tc>
              <w:tc>
                <w:tcPr>
                  <w:tcW w:w="1329" w:type="dxa"/>
                  <w:tcBorders>
                    <w:tl2br w:val="nil"/>
                    <w:tr2bl w:val="nil"/>
                  </w:tcBorders>
                  <w:noWrap w:val="0"/>
                  <w:vAlign w:val="center"/>
                </w:tcPr>
                <w:p w14:paraId="409F670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其他﹡</w:t>
                  </w:r>
                </w:p>
              </w:tc>
            </w:tr>
          </w:tbl>
          <w:p w14:paraId="366AD851">
            <w:pPr>
              <w:spacing w:line="360" w:lineRule="auto"/>
              <w:rPr>
                <w:rFonts w:hint="default" w:ascii="Times New Roman" w:hAnsi="Times New Roman" w:eastAsia="宋体" w:cs="Times New Roman"/>
                <w:color w:val="auto"/>
                <w:sz w:val="24"/>
                <w:lang w:val="en-US" w:eastAsia="zh-CN"/>
              </w:rPr>
            </w:pPr>
            <w:r>
              <w:rPr>
                <w:rFonts w:hint="default" w:ascii="Times New Roman" w:hAnsi="Times New Roman" w:cs="Times New Roman"/>
                <w:b w:val="0"/>
                <w:bCs w:val="0"/>
                <w:color w:val="auto"/>
                <w:sz w:val="24"/>
                <w:szCs w:val="24"/>
                <w:lang w:val="en-US" w:eastAsia="zh-CN"/>
              </w:rPr>
              <w:t>根据《固定污染源排污许可证分类管理名录（2019版）》二十九、通用设备制造业 34，本项目不涉及通用工序重点管理和简化管理的，属于其他，</w:t>
            </w:r>
            <w:r>
              <w:rPr>
                <w:rFonts w:hint="default" w:ascii="Times New Roman" w:hAnsi="Times New Roman" w:cs="Times New Roman"/>
                <w:color w:val="auto"/>
                <w:sz w:val="24"/>
                <w:lang w:val="en-US" w:eastAsia="zh-CN"/>
              </w:rPr>
              <w:t>为登记管理</w:t>
            </w:r>
            <w:r>
              <w:rPr>
                <w:rFonts w:hint="default" w:ascii="Times New Roman" w:hAnsi="Times New Roman" w:eastAsia="宋体" w:cs="Times New Roman"/>
                <w:color w:val="auto"/>
                <w:sz w:val="24"/>
                <w:lang w:val="en-US" w:eastAsia="zh-CN"/>
              </w:rPr>
              <w:t>。</w:t>
            </w:r>
          </w:p>
          <w:p w14:paraId="41A6BA0E">
            <w:pPr>
              <w:pStyle w:val="9"/>
              <w:rPr>
                <w:rFonts w:hint="default" w:ascii="Times New Roman" w:hAnsi="Times New Roman" w:cs="Times New Roman"/>
                <w:color w:val="auto"/>
                <w:sz w:val="24"/>
              </w:rPr>
            </w:pPr>
            <w:r>
              <w:rPr>
                <w:rFonts w:hint="default" w:ascii="Times New Roman" w:hAnsi="Times New Roman" w:eastAsia="宋体" w:cs="Times New Roman"/>
                <w:color w:val="auto"/>
                <w:sz w:val="24"/>
                <w:lang w:val="en-US" w:eastAsia="zh-CN"/>
              </w:rPr>
              <w:t>受建设单位的委托，</w:t>
            </w:r>
            <w:r>
              <w:rPr>
                <w:rFonts w:hint="default" w:ascii="Times New Roman" w:hAnsi="Times New Roman" w:eastAsia="宋体" w:cs="Times New Roman"/>
                <w:color w:val="auto"/>
                <w:sz w:val="24"/>
                <w:lang w:val="en-US" w:eastAsia="zh-CN"/>
              </w:rPr>
              <w:fldChar w:fldCharType="begin"/>
            </w:r>
            <w:r>
              <w:rPr>
                <w:rFonts w:hint="default" w:ascii="Times New Roman" w:hAnsi="Times New Roman" w:eastAsia="宋体" w:cs="Times New Roman"/>
                <w:color w:val="auto"/>
                <w:sz w:val="24"/>
                <w:lang w:val="en-US" w:eastAsia="zh-CN"/>
              </w:rPr>
              <w:instrText xml:space="preserve"> HYPERLINK "javascript:viewHomeCompanyInfoView('2862087779951590341')" </w:instrText>
            </w:r>
            <w:r>
              <w:rPr>
                <w:rFonts w:hint="default" w:ascii="Times New Roman" w:hAnsi="Times New Roman" w:eastAsia="宋体" w:cs="Times New Roman"/>
                <w:color w:val="auto"/>
                <w:sz w:val="24"/>
                <w:lang w:val="en-US" w:eastAsia="zh-CN"/>
              </w:rPr>
              <w:fldChar w:fldCharType="separate"/>
            </w:r>
            <w:r>
              <w:rPr>
                <w:rFonts w:hint="default" w:ascii="Times New Roman" w:hAnsi="Times New Roman" w:eastAsia="宋体" w:cs="Times New Roman"/>
                <w:color w:val="auto"/>
                <w:sz w:val="24"/>
                <w:lang w:val="en-US" w:eastAsia="zh-CN"/>
              </w:rPr>
              <w:t>安徽碳峰专业咨询有限公司</w:t>
            </w:r>
            <w:r>
              <w:rPr>
                <w:rFonts w:hint="default" w:ascii="Times New Roman" w:hAnsi="Times New Roman" w:eastAsia="宋体" w:cs="Times New Roman"/>
                <w:color w:val="auto"/>
                <w:sz w:val="24"/>
                <w:lang w:val="en-US" w:eastAsia="zh-CN"/>
              </w:rPr>
              <w:fldChar w:fldCharType="end"/>
            </w:r>
            <w:r>
              <w:rPr>
                <w:rFonts w:hint="default" w:ascii="Times New Roman" w:hAnsi="Times New Roman" w:eastAsia="宋体" w:cs="Times New Roman"/>
                <w:color w:val="auto"/>
                <w:sz w:val="24"/>
                <w:lang w:val="en-US" w:eastAsia="zh-CN"/>
              </w:rPr>
              <w:t>承担该项目环境影响评价工作，接受委托后，</w:t>
            </w:r>
            <w:r>
              <w:rPr>
                <w:rFonts w:hint="default" w:ascii="Times New Roman" w:hAnsi="Times New Roman" w:eastAsia="宋体" w:cs="Times New Roman"/>
                <w:color w:val="auto"/>
                <w:sz w:val="24"/>
                <w:lang w:val="en-US" w:eastAsia="zh-CN"/>
              </w:rPr>
              <w:fldChar w:fldCharType="begin"/>
            </w:r>
            <w:r>
              <w:rPr>
                <w:rFonts w:hint="default" w:ascii="Times New Roman" w:hAnsi="Times New Roman" w:eastAsia="宋体" w:cs="Times New Roman"/>
                <w:color w:val="auto"/>
                <w:sz w:val="24"/>
                <w:lang w:val="en-US" w:eastAsia="zh-CN"/>
              </w:rPr>
              <w:instrText xml:space="preserve"> HYPERLINK "javascript:viewHomeCompanyInfoView('2862087779951590341')" </w:instrText>
            </w:r>
            <w:r>
              <w:rPr>
                <w:rFonts w:hint="default" w:ascii="Times New Roman" w:hAnsi="Times New Roman" w:eastAsia="宋体" w:cs="Times New Roman"/>
                <w:color w:val="auto"/>
                <w:sz w:val="24"/>
                <w:lang w:val="en-US" w:eastAsia="zh-CN"/>
              </w:rPr>
              <w:fldChar w:fldCharType="separate"/>
            </w:r>
            <w:r>
              <w:rPr>
                <w:rFonts w:hint="default" w:ascii="Times New Roman" w:hAnsi="Times New Roman" w:eastAsia="宋体" w:cs="Times New Roman"/>
                <w:color w:val="auto"/>
                <w:sz w:val="24"/>
                <w:lang w:val="en-US" w:eastAsia="zh-CN"/>
              </w:rPr>
              <w:t>安徽碳峰专业咨询有限公司</w:t>
            </w:r>
            <w:r>
              <w:rPr>
                <w:rFonts w:hint="default" w:ascii="Times New Roman" w:hAnsi="Times New Roman" w:eastAsia="宋体" w:cs="Times New Roman"/>
                <w:color w:val="auto"/>
                <w:sz w:val="24"/>
                <w:lang w:val="en-US" w:eastAsia="zh-CN"/>
              </w:rPr>
              <w:fldChar w:fldCharType="end"/>
            </w:r>
            <w:r>
              <w:rPr>
                <w:rFonts w:hint="default" w:ascii="Times New Roman" w:hAnsi="Times New Roman" w:eastAsia="宋体" w:cs="Times New Roman"/>
                <w:color w:val="auto"/>
                <w:sz w:val="24"/>
                <w:lang w:val="en-US" w:eastAsia="zh-CN"/>
              </w:rPr>
              <w:t>立即组织工程技术人员对本项目进行了实地考察，对建设地周围环境状况进行了调查，收集了</w:t>
            </w:r>
            <w:r>
              <w:rPr>
                <w:rFonts w:hint="default" w:ascii="Times New Roman" w:hAnsi="Times New Roman" w:cs="Times New Roman"/>
                <w:color w:val="auto"/>
                <w:sz w:val="24"/>
              </w:rPr>
              <w:t>当地的环保、水文、气象、地质等有关资料，针对</w:t>
            </w:r>
            <w:r>
              <w:rPr>
                <w:rFonts w:hint="default" w:ascii="Times New Roman" w:hAnsi="Times New Roman" w:cs="Times New Roman"/>
                <w:color w:val="auto"/>
                <w:sz w:val="24"/>
                <w:lang w:eastAsia="zh-CN"/>
              </w:rPr>
              <w:t>本项目</w:t>
            </w:r>
            <w:r>
              <w:rPr>
                <w:rFonts w:hint="default" w:ascii="Times New Roman" w:hAnsi="Times New Roman" w:cs="Times New Roman"/>
                <w:color w:val="auto"/>
                <w:sz w:val="24"/>
              </w:rPr>
              <w:t>可能涉及的污染问题，从工程角度和环境角度进行了分析，并对工程中的污染等问题提出了相应的防治对策和管理措施，尤其对工程可能带来的环境正负影响和效益进行了客观的论述，在此基础上，按有关技术要求编写了《</w:t>
            </w:r>
            <w:r>
              <w:rPr>
                <w:rFonts w:hint="default" w:ascii="Times New Roman" w:hAnsi="Times New Roman" w:eastAsia="宋体" w:cs="Times New Roman"/>
                <w:color w:val="auto"/>
                <w:kern w:val="0"/>
                <w:sz w:val="24"/>
                <w:szCs w:val="24"/>
                <w:lang w:eastAsia="zh-CN"/>
              </w:rPr>
              <w:t>年产220套金属制品加工专用设备制造项目</w:t>
            </w:r>
            <w:r>
              <w:rPr>
                <w:rFonts w:hint="default" w:ascii="Times New Roman" w:hAnsi="Times New Roman" w:cs="Times New Roman"/>
                <w:color w:val="auto"/>
                <w:sz w:val="24"/>
              </w:rPr>
              <w:t>环境影响报告表》，呈报环境保护主管部门审批。</w:t>
            </w:r>
          </w:p>
          <w:p w14:paraId="67B95B7B">
            <w:pPr>
              <w:pStyle w:val="9"/>
              <w:ind w:left="0" w:leftChars="0" w:firstLine="0" w:firstLineChars="0"/>
              <w:rPr>
                <w:rFonts w:hint="default" w:ascii="Times New Roman" w:hAnsi="Times New Roman" w:cs="Times New Roman"/>
                <w:b/>
                <w:bCs/>
                <w:color w:val="auto"/>
                <w:lang w:val="en-US"/>
              </w:rPr>
            </w:pPr>
            <w:r>
              <w:rPr>
                <w:rFonts w:hint="default" w:ascii="Times New Roman" w:hAnsi="Times New Roman" w:cs="Times New Roman"/>
                <w:b/>
                <w:bCs/>
                <w:color w:val="auto"/>
                <w:lang w:val="en-US" w:eastAsia="zh-CN"/>
              </w:rPr>
              <w:t>2.2 项目概况</w:t>
            </w:r>
          </w:p>
          <w:p w14:paraId="5CAE9B31">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项目名称：</w:t>
            </w:r>
            <w:r>
              <w:rPr>
                <w:rFonts w:hint="default" w:ascii="Times New Roman" w:hAnsi="Times New Roman" w:eastAsia="宋体" w:cs="Times New Roman"/>
                <w:color w:val="auto"/>
                <w:kern w:val="0"/>
                <w:sz w:val="24"/>
                <w:szCs w:val="24"/>
                <w:lang w:eastAsia="zh-CN"/>
              </w:rPr>
              <w:t>年产220套金属制品加工专用设备制造项目</w:t>
            </w:r>
            <w:r>
              <w:rPr>
                <w:rFonts w:hint="default" w:ascii="Times New Roman" w:hAnsi="Times New Roman" w:cs="Times New Roman"/>
                <w:color w:val="auto"/>
                <w:sz w:val="24"/>
              </w:rPr>
              <w:t>；</w:t>
            </w:r>
          </w:p>
          <w:p w14:paraId="5FEEB691">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建设单位：</w:t>
            </w:r>
            <w:r>
              <w:rPr>
                <w:rFonts w:hint="default" w:ascii="Times New Roman" w:hAnsi="Times New Roman" w:cs="Times New Roman"/>
                <w:color w:val="auto"/>
                <w:sz w:val="24"/>
                <w:lang w:val="en-US" w:eastAsia="zh-CN"/>
              </w:rPr>
              <w:t>安徽丰平智能装备有限公司</w:t>
            </w:r>
            <w:r>
              <w:rPr>
                <w:rFonts w:hint="default" w:ascii="Times New Roman" w:hAnsi="Times New Roman" w:cs="Times New Roman"/>
                <w:color w:val="auto"/>
                <w:sz w:val="24"/>
              </w:rPr>
              <w:t>；</w:t>
            </w:r>
          </w:p>
          <w:p w14:paraId="6DCB5EEA">
            <w:pPr>
              <w:spacing w:line="360" w:lineRule="auto"/>
              <w:ind w:firstLine="480" w:firstLineChars="200"/>
              <w:rPr>
                <w:rFonts w:hint="default" w:ascii="Times New Roman" w:hAnsi="Times New Roman" w:cs="Times New Roman"/>
                <w:color w:val="auto"/>
                <w:sz w:val="24"/>
                <w:lang w:val="en-US"/>
              </w:rPr>
            </w:pPr>
            <w:r>
              <w:rPr>
                <w:rFonts w:hint="default" w:ascii="Times New Roman" w:hAnsi="Times New Roman" w:cs="Times New Roman"/>
                <w:color w:val="auto"/>
                <w:sz w:val="24"/>
              </w:rPr>
              <w:t>建设地点：</w:t>
            </w:r>
            <w:r>
              <w:rPr>
                <w:rFonts w:hint="default" w:ascii="Times New Roman" w:hAnsi="Times New Roman" w:eastAsia="宋体" w:cs="Times New Roman"/>
                <w:color w:val="auto"/>
                <w:kern w:val="0"/>
                <w:sz w:val="24"/>
                <w:szCs w:val="24"/>
                <w:lang w:eastAsia="zh-CN"/>
              </w:rPr>
              <w:t>安徽省</w:t>
            </w:r>
            <w:r>
              <w:rPr>
                <w:rFonts w:hint="default" w:ascii="Times New Roman" w:hAnsi="Times New Roman" w:cs="Times New Roman"/>
                <w:color w:val="auto"/>
                <w:kern w:val="0"/>
                <w:sz w:val="24"/>
                <w:szCs w:val="24"/>
                <w:lang w:val="en-US" w:eastAsia="zh-CN"/>
              </w:rPr>
              <w:t>池州</w:t>
            </w:r>
            <w:r>
              <w:rPr>
                <w:rFonts w:hint="default" w:ascii="Times New Roman" w:hAnsi="Times New Roman" w:eastAsia="宋体" w:cs="Times New Roman"/>
                <w:color w:val="auto"/>
                <w:kern w:val="0"/>
                <w:sz w:val="24"/>
                <w:szCs w:val="24"/>
                <w:lang w:eastAsia="zh-CN"/>
              </w:rPr>
              <w:t>市</w:t>
            </w:r>
            <w:r>
              <w:rPr>
                <w:rFonts w:hint="default" w:ascii="Times New Roman" w:hAnsi="Times New Roman" w:cs="Times New Roman"/>
                <w:color w:val="auto"/>
                <w:kern w:val="0"/>
                <w:sz w:val="24"/>
                <w:szCs w:val="24"/>
                <w:lang w:val="en-US" w:eastAsia="zh-CN"/>
              </w:rPr>
              <w:t>青阳</w:t>
            </w:r>
            <w:r>
              <w:rPr>
                <w:rFonts w:hint="default" w:ascii="Times New Roman" w:hAnsi="Times New Roman" w:eastAsia="宋体" w:cs="Times New Roman"/>
                <w:color w:val="auto"/>
                <w:kern w:val="0"/>
                <w:sz w:val="24"/>
                <w:szCs w:val="24"/>
                <w:lang w:eastAsia="zh-CN"/>
              </w:rPr>
              <w:t>县</w:t>
            </w:r>
            <w:r>
              <w:rPr>
                <w:rFonts w:hint="default" w:ascii="Times New Roman" w:hAnsi="Times New Roman" w:eastAsia="宋体" w:cs="Times New Roman"/>
                <w:color w:val="auto"/>
                <w:kern w:val="0"/>
                <w:sz w:val="24"/>
                <w:szCs w:val="24"/>
                <w:lang w:val="en-US" w:eastAsia="zh-CN"/>
              </w:rPr>
              <w:t>经济开发区东河园区</w:t>
            </w:r>
            <w:r>
              <w:rPr>
                <w:rFonts w:hint="default" w:ascii="Times New Roman" w:hAnsi="Times New Roman" w:cs="Times New Roman"/>
                <w:color w:val="auto"/>
                <w:kern w:val="0"/>
                <w:sz w:val="24"/>
                <w:szCs w:val="24"/>
                <w:lang w:val="en-US" w:eastAsia="zh-CN"/>
              </w:rPr>
              <w:t>空置标准化</w:t>
            </w:r>
            <w:r>
              <w:rPr>
                <w:rFonts w:hint="default" w:ascii="Times New Roman" w:hAnsi="Times New Roman" w:eastAsia="宋体" w:cs="Times New Roman"/>
                <w:color w:val="auto"/>
                <w:kern w:val="0"/>
                <w:sz w:val="24"/>
                <w:szCs w:val="24"/>
                <w:lang w:val="en-US" w:eastAsia="zh-CN"/>
              </w:rPr>
              <w:t>厂房</w:t>
            </w:r>
            <w:r>
              <w:rPr>
                <w:rFonts w:hint="default" w:ascii="Times New Roman" w:hAnsi="Times New Roman" w:cs="Times New Roman"/>
                <w:color w:val="auto"/>
                <w:kern w:val="0"/>
                <w:sz w:val="24"/>
                <w:szCs w:val="24"/>
                <w:lang w:val="en-US" w:eastAsia="zh-CN"/>
              </w:rPr>
              <w:t>；</w:t>
            </w:r>
          </w:p>
          <w:p w14:paraId="35335F54">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建设性质：新建；</w:t>
            </w:r>
          </w:p>
          <w:p w14:paraId="6173D472">
            <w:pPr>
              <w:spacing w:line="360" w:lineRule="auto"/>
              <w:ind w:firstLine="480" w:firstLineChars="20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投资总额：</w:t>
            </w:r>
            <w:r>
              <w:rPr>
                <w:rFonts w:hint="default" w:ascii="Times New Roman" w:hAnsi="Times New Roman" w:cs="Times New Roman"/>
                <w:color w:val="auto"/>
                <w:sz w:val="24"/>
                <w:lang w:val="en-US" w:eastAsia="zh-CN"/>
              </w:rPr>
              <w:t>总投资11000</w:t>
            </w:r>
            <w:r>
              <w:rPr>
                <w:rFonts w:hint="default" w:ascii="Times New Roman" w:hAnsi="Times New Roman" w:cs="Times New Roman"/>
                <w:color w:val="auto"/>
                <w:sz w:val="24"/>
              </w:rPr>
              <w:t>万元</w:t>
            </w:r>
            <w:r>
              <w:rPr>
                <w:rFonts w:hint="default" w:ascii="Times New Roman" w:hAnsi="Times New Roman" w:cs="Times New Roman"/>
                <w:color w:val="auto"/>
                <w:sz w:val="24"/>
                <w:lang w:eastAsia="zh-CN"/>
              </w:rPr>
              <w:t>；</w:t>
            </w:r>
            <w:r>
              <w:rPr>
                <w:rFonts w:hint="default" w:ascii="Times New Roman" w:hAnsi="Times New Roman" w:cs="Times New Roman"/>
                <w:color w:val="auto"/>
                <w:sz w:val="24"/>
                <w:lang w:val="en-US" w:eastAsia="zh-CN"/>
              </w:rPr>
              <w:t>其中环保投资3</w:t>
            </w:r>
            <w:r>
              <w:rPr>
                <w:rFonts w:hint="eastAsia" w:cs="Times New Roman"/>
                <w:color w:val="auto"/>
                <w:sz w:val="24"/>
                <w:lang w:val="en-US" w:eastAsia="zh-CN"/>
              </w:rPr>
              <w:t>7</w:t>
            </w:r>
            <w:r>
              <w:rPr>
                <w:rFonts w:hint="default" w:ascii="Times New Roman" w:hAnsi="Times New Roman" w:cs="Times New Roman"/>
                <w:color w:val="auto"/>
                <w:sz w:val="24"/>
                <w:lang w:val="en-US" w:eastAsia="zh-CN"/>
              </w:rPr>
              <w:t>万元；</w:t>
            </w:r>
          </w:p>
          <w:p w14:paraId="07F67625">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职工人数：全厂</w:t>
            </w:r>
            <w:bookmarkStart w:id="7" w:name="_Hlk5377993"/>
            <w:r>
              <w:rPr>
                <w:rFonts w:hint="default" w:ascii="Times New Roman" w:hAnsi="Times New Roman" w:cs="Times New Roman"/>
                <w:color w:val="auto"/>
                <w:sz w:val="24"/>
              </w:rPr>
              <w:t>定员</w:t>
            </w:r>
            <w:r>
              <w:rPr>
                <w:rFonts w:hint="default" w:ascii="Times New Roman" w:hAnsi="Times New Roman" w:cs="Times New Roman"/>
                <w:color w:val="auto"/>
                <w:sz w:val="24"/>
                <w:lang w:val="en-US" w:eastAsia="zh-CN"/>
              </w:rPr>
              <w:t>20</w:t>
            </w:r>
            <w:r>
              <w:rPr>
                <w:rFonts w:hint="default" w:ascii="Times New Roman" w:hAnsi="Times New Roman" w:cs="Times New Roman"/>
                <w:color w:val="auto"/>
                <w:sz w:val="24"/>
              </w:rPr>
              <w:t>人</w:t>
            </w:r>
            <w:bookmarkEnd w:id="7"/>
            <w:r>
              <w:rPr>
                <w:rFonts w:hint="default" w:ascii="Times New Roman" w:hAnsi="Times New Roman" w:cs="Times New Roman"/>
                <w:color w:val="auto"/>
                <w:sz w:val="24"/>
              </w:rPr>
              <w:t>；</w:t>
            </w:r>
          </w:p>
          <w:p w14:paraId="6389B8F0">
            <w:pPr>
              <w:spacing w:line="360" w:lineRule="auto"/>
              <w:ind w:firstLine="480" w:firstLineChars="20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作业制度</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年工作3</w:t>
            </w:r>
            <w:r>
              <w:rPr>
                <w:rFonts w:hint="default" w:ascii="Times New Roman" w:hAnsi="Times New Roman" w:cs="Times New Roman"/>
                <w:color w:val="auto"/>
                <w:sz w:val="24"/>
                <w:lang w:val="en-US" w:eastAsia="zh-CN"/>
              </w:rPr>
              <w:t>3</w:t>
            </w:r>
            <w:r>
              <w:rPr>
                <w:rFonts w:hint="default" w:ascii="Times New Roman" w:hAnsi="Times New Roman" w:cs="Times New Roman"/>
                <w:color w:val="auto"/>
                <w:sz w:val="24"/>
              </w:rPr>
              <w:t>0天，实行单</w:t>
            </w:r>
            <w:r>
              <w:rPr>
                <w:rFonts w:hint="default" w:ascii="Times New Roman" w:hAnsi="Times New Roman" w:cs="Times New Roman"/>
                <w:color w:val="auto"/>
                <w:sz w:val="24"/>
                <w:lang w:val="en-US" w:eastAsia="zh-CN"/>
              </w:rPr>
              <w:t>班</w:t>
            </w:r>
            <w:r>
              <w:rPr>
                <w:rFonts w:hint="default" w:ascii="Times New Roman" w:hAnsi="Times New Roman" w:cs="Times New Roman"/>
                <w:color w:val="auto"/>
                <w:sz w:val="24"/>
              </w:rPr>
              <w:t>工作制，</w:t>
            </w:r>
            <w:r>
              <w:rPr>
                <w:rFonts w:hint="default" w:ascii="Times New Roman" w:hAnsi="Times New Roman" w:cs="Times New Roman"/>
                <w:color w:val="auto"/>
                <w:sz w:val="24"/>
                <w:lang w:val="en-US" w:eastAsia="zh-CN"/>
              </w:rPr>
              <w:t>每班</w:t>
            </w:r>
            <w:r>
              <w:rPr>
                <w:rFonts w:hint="default" w:ascii="Times New Roman" w:hAnsi="Times New Roman" w:cs="Times New Roman"/>
                <w:color w:val="auto"/>
                <w:sz w:val="24"/>
              </w:rPr>
              <w:t>8h</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全年工作时间</w:t>
            </w:r>
            <w:r>
              <w:rPr>
                <w:rFonts w:hint="default" w:ascii="Times New Roman" w:hAnsi="Times New Roman" w:cs="Times New Roman"/>
                <w:color w:val="auto"/>
                <w:sz w:val="24"/>
                <w:lang w:val="en-US" w:eastAsia="zh-CN"/>
              </w:rPr>
              <w:t>2640</w:t>
            </w:r>
            <w:r>
              <w:rPr>
                <w:rFonts w:hint="default" w:ascii="Times New Roman" w:hAnsi="Times New Roman" w:cs="Times New Roman"/>
                <w:color w:val="auto"/>
                <w:sz w:val="24"/>
                <w:lang w:eastAsia="zh-CN"/>
              </w:rPr>
              <w:t>h。</w:t>
            </w:r>
          </w:p>
          <w:p w14:paraId="7DFA6CA3">
            <w:pPr>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cs="Times New Roman"/>
                <w:color w:val="auto"/>
                <w:sz w:val="24"/>
              </w:rPr>
            </w:pPr>
            <w:r>
              <w:rPr>
                <w:rFonts w:hint="default" w:ascii="Times New Roman" w:hAnsi="Times New Roman" w:cs="Times New Roman"/>
                <w:color w:val="auto"/>
                <w:sz w:val="24"/>
              </w:rPr>
              <w:t>周边概况：</w:t>
            </w:r>
            <w:r>
              <w:rPr>
                <w:rFonts w:hint="default" w:ascii="Times New Roman" w:hAnsi="Times New Roman" w:cs="Times New Roman"/>
                <w:color w:val="auto"/>
                <w:sz w:val="24"/>
                <w:lang w:eastAsia="zh-CN"/>
              </w:rPr>
              <w:t>本项目</w:t>
            </w:r>
            <w:r>
              <w:rPr>
                <w:rFonts w:hint="default" w:ascii="Times New Roman" w:hAnsi="Times New Roman" w:cs="Times New Roman"/>
                <w:color w:val="auto"/>
                <w:sz w:val="24"/>
              </w:rPr>
              <w:t>位于</w:t>
            </w:r>
            <w:r>
              <w:rPr>
                <w:rFonts w:hint="default" w:ascii="Times New Roman" w:hAnsi="Times New Roman" w:eastAsia="宋体" w:cs="Times New Roman"/>
                <w:color w:val="auto"/>
                <w:kern w:val="0"/>
                <w:sz w:val="24"/>
                <w:szCs w:val="24"/>
                <w:lang w:val="en-US" w:eastAsia="zh-CN"/>
              </w:rPr>
              <w:t>安徽省池州市青阳县经济开发区东河园区安徽赛王仓储有限公司厂区内</w:t>
            </w:r>
            <w:r>
              <w:rPr>
                <w:rFonts w:hint="eastAsia" w:cs="Times New Roman"/>
                <w:color w:val="auto"/>
                <w:kern w:val="0"/>
                <w:sz w:val="24"/>
                <w:szCs w:val="24"/>
                <w:lang w:val="en-US" w:eastAsia="zh-CN"/>
              </w:rPr>
              <w:t>新建空置厂房（单层钢结构厂房，长120m、宽72m、高12m）</w:t>
            </w:r>
            <w:r>
              <w:rPr>
                <w:rFonts w:hint="default" w:ascii="Times New Roman" w:hAnsi="Times New Roman" w:cs="Times New Roman"/>
                <w:color w:val="auto"/>
                <w:sz w:val="24"/>
              </w:rPr>
              <w:t>，</w:t>
            </w:r>
            <w:r>
              <w:rPr>
                <w:rFonts w:hint="default" w:ascii="Times New Roman" w:hAnsi="Times New Roman" w:cs="Times New Roman"/>
                <w:color w:val="auto"/>
                <w:sz w:val="24"/>
                <w:lang w:val="en-US" w:eastAsia="zh-CN"/>
              </w:rPr>
              <w:t>厂界西北侧为5.47m人才公寓，东侧为城东路，南侧为乔木路，西侧围墙外为池州赛唯特电子科技有限公司。</w:t>
            </w:r>
            <w:r>
              <w:rPr>
                <w:rFonts w:hint="default" w:ascii="Times New Roman" w:hAnsi="Times New Roman" w:cs="Times New Roman"/>
                <w:color w:val="auto"/>
                <w:sz w:val="24"/>
                <w:lang w:eastAsia="zh-CN"/>
              </w:rPr>
              <w:t>本项目</w:t>
            </w:r>
            <w:r>
              <w:rPr>
                <w:rFonts w:hint="default" w:ascii="Times New Roman" w:hAnsi="Times New Roman" w:cs="Times New Roman"/>
                <w:color w:val="auto"/>
                <w:sz w:val="24"/>
              </w:rPr>
              <w:t>周边无特殊保护文物古迹、自然保护区和特殊环境制约因素。详见附图</w:t>
            </w:r>
            <w:r>
              <w:rPr>
                <w:rFonts w:hint="default" w:ascii="Times New Roman" w:hAnsi="Times New Roman" w:cs="Times New Roman"/>
                <w:color w:val="auto"/>
                <w:sz w:val="24"/>
                <w:lang w:val="en-US" w:eastAsia="zh-CN"/>
              </w:rPr>
              <w:t>11项目</w:t>
            </w:r>
            <w:r>
              <w:rPr>
                <w:rFonts w:hint="default" w:ascii="Times New Roman" w:hAnsi="Times New Roman" w:cs="Times New Roman"/>
                <w:color w:val="auto"/>
                <w:sz w:val="24"/>
              </w:rPr>
              <w:t>周边关系图。</w:t>
            </w:r>
          </w:p>
          <w:p w14:paraId="56F35172">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color w:val="auto"/>
                <w:sz w:val="24"/>
              </w:rPr>
            </w:pPr>
            <w:r>
              <w:rPr>
                <w:rFonts w:hint="default" w:ascii="Times New Roman" w:hAnsi="Times New Roman" w:cs="Times New Roman"/>
                <w:b/>
                <w:color w:val="auto"/>
                <w:sz w:val="24"/>
              </w:rPr>
              <w:t>2.3工程建设内容及规模</w:t>
            </w:r>
          </w:p>
          <w:p w14:paraId="7A448455">
            <w:pPr>
              <w:bidi w:val="0"/>
              <w:rPr>
                <w:rFonts w:hint="default" w:ascii="Times New Roman" w:hAnsi="Times New Roman" w:cs="Times New Roman"/>
                <w:color w:val="auto"/>
              </w:rPr>
            </w:pPr>
            <w:r>
              <w:rPr>
                <w:rFonts w:hint="default" w:ascii="Times New Roman" w:hAnsi="Times New Roman" w:cs="Times New Roman"/>
                <w:color w:val="auto"/>
                <w:lang w:eastAsia="zh-CN"/>
              </w:rPr>
              <w:t>本项目</w:t>
            </w:r>
            <w:r>
              <w:rPr>
                <w:rFonts w:hint="default" w:ascii="Times New Roman" w:hAnsi="Times New Roman" w:cs="Times New Roman"/>
                <w:color w:val="auto"/>
              </w:rPr>
              <w:t>为新建项目，建设项目组成详见表2-3：</w:t>
            </w:r>
          </w:p>
          <w:p w14:paraId="3E916645">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表</w:t>
            </w:r>
            <w:r>
              <w:rPr>
                <w:rFonts w:hint="default" w:ascii="Times New Roman" w:hAnsi="Times New Roman" w:cs="Times New Roman"/>
                <w:color w:val="auto"/>
              </w:rPr>
              <w:t>2-3</w:t>
            </w:r>
            <w:r>
              <w:rPr>
                <w:rFonts w:hint="default" w:ascii="Times New Roman" w:hAnsi="Times New Roman" w:cs="Times New Roman"/>
                <w:color w:val="auto"/>
                <w:lang w:val="en-US" w:eastAsia="zh-CN"/>
              </w:rPr>
              <w:t>本</w:t>
            </w:r>
            <w:r>
              <w:rPr>
                <w:rFonts w:hint="default" w:ascii="Times New Roman" w:hAnsi="Times New Roman" w:cs="Times New Roman"/>
                <w:color w:val="auto"/>
              </w:rPr>
              <w:t>项目</w:t>
            </w:r>
            <w:r>
              <w:rPr>
                <w:rFonts w:hint="default" w:ascii="Times New Roman" w:hAnsi="Times New Roman" w:cs="Times New Roman"/>
                <w:color w:val="auto"/>
                <w:lang w:val="en-US" w:eastAsia="zh-CN"/>
              </w:rPr>
              <w:t>主要工程内容及规模</w:t>
            </w:r>
            <w:r>
              <w:rPr>
                <w:rFonts w:hint="default" w:ascii="Times New Roman" w:hAnsi="Times New Roman" w:cs="Times New Roman"/>
                <w:color w:val="auto"/>
              </w:rPr>
              <w:t>组成一览表</w:t>
            </w:r>
          </w:p>
          <w:tbl>
            <w:tblPr>
              <w:tblStyle w:val="31"/>
              <w:tblW w:w="858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28"/>
              <w:gridCol w:w="737"/>
              <w:gridCol w:w="247"/>
              <w:gridCol w:w="557"/>
              <w:gridCol w:w="5659"/>
              <w:gridCol w:w="661"/>
            </w:tblGrid>
            <w:tr w14:paraId="69019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3" w:hRule="atLeast"/>
                <w:jc w:val="center"/>
              </w:trPr>
              <w:tc>
                <w:tcPr>
                  <w:tcW w:w="423" w:type="pct"/>
                  <w:tcBorders>
                    <w:tl2br w:val="nil"/>
                    <w:tr2bl w:val="nil"/>
                  </w:tcBorders>
                  <w:noWrap w:val="0"/>
                  <w:vAlign w:val="center"/>
                </w:tcPr>
                <w:p w14:paraId="4CFC56A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工程类别</w:t>
                  </w:r>
                </w:p>
              </w:tc>
              <w:tc>
                <w:tcPr>
                  <w:tcW w:w="897" w:type="pct"/>
                  <w:gridSpan w:val="3"/>
                  <w:tcBorders>
                    <w:tl2br w:val="nil"/>
                    <w:tr2bl w:val="nil"/>
                  </w:tcBorders>
                  <w:noWrap w:val="0"/>
                  <w:vAlign w:val="center"/>
                </w:tcPr>
                <w:p w14:paraId="17BA5C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单项工程名称</w:t>
                  </w:r>
                </w:p>
              </w:tc>
              <w:tc>
                <w:tcPr>
                  <w:tcW w:w="3294" w:type="pct"/>
                  <w:tcBorders>
                    <w:tl2br w:val="nil"/>
                    <w:tr2bl w:val="nil"/>
                  </w:tcBorders>
                  <w:noWrap w:val="0"/>
                  <w:vAlign w:val="center"/>
                </w:tcPr>
                <w:p w14:paraId="55839DE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工程</w:t>
                  </w:r>
                  <w:r>
                    <w:rPr>
                      <w:rFonts w:hint="default" w:ascii="Times New Roman" w:hAnsi="Times New Roman" w:cs="Times New Roman"/>
                      <w:b/>
                      <w:bCs/>
                      <w:color w:val="auto"/>
                      <w:lang w:val="en-US" w:eastAsia="zh-CN"/>
                    </w:rPr>
                    <w:t>建设</w:t>
                  </w:r>
                  <w:r>
                    <w:rPr>
                      <w:rFonts w:hint="default" w:ascii="Times New Roman" w:hAnsi="Times New Roman" w:cs="Times New Roman"/>
                      <w:b/>
                      <w:bCs/>
                      <w:color w:val="auto"/>
                    </w:rPr>
                    <w:t>内容及规模</w:t>
                  </w:r>
                </w:p>
              </w:tc>
              <w:tc>
                <w:tcPr>
                  <w:tcW w:w="384" w:type="pct"/>
                  <w:tcBorders>
                    <w:tl2br w:val="nil"/>
                    <w:tr2bl w:val="nil"/>
                  </w:tcBorders>
                  <w:noWrap w:val="0"/>
                  <w:vAlign w:val="center"/>
                </w:tcPr>
                <w:p w14:paraId="0219741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备注</w:t>
                  </w:r>
                </w:p>
              </w:tc>
            </w:tr>
            <w:tr w14:paraId="3BD282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pct"/>
                  <w:vMerge w:val="restart"/>
                  <w:tcBorders>
                    <w:tl2br w:val="nil"/>
                    <w:tr2bl w:val="nil"/>
                  </w:tcBorders>
                  <w:noWrap w:val="0"/>
                  <w:vAlign w:val="center"/>
                </w:tcPr>
                <w:p w14:paraId="589D569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主体工程</w:t>
                  </w:r>
                </w:p>
              </w:tc>
              <w:tc>
                <w:tcPr>
                  <w:tcW w:w="897" w:type="pct"/>
                  <w:gridSpan w:val="3"/>
                  <w:tcBorders>
                    <w:tl2br w:val="nil"/>
                    <w:tr2bl w:val="nil"/>
                  </w:tcBorders>
                  <w:noWrap w:val="0"/>
                  <w:vAlign w:val="center"/>
                </w:tcPr>
                <w:p w14:paraId="2FCB01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激光切割下料区</w:t>
                  </w:r>
                </w:p>
              </w:tc>
              <w:tc>
                <w:tcPr>
                  <w:tcW w:w="3294" w:type="pct"/>
                  <w:tcBorders>
                    <w:tl2br w:val="nil"/>
                    <w:tr2bl w:val="nil"/>
                  </w:tcBorders>
                  <w:noWrap w:val="0"/>
                  <w:vAlign w:val="center"/>
                </w:tcPr>
                <w:p w14:paraId="257ACF39">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位于</w:t>
                  </w:r>
                  <w:r>
                    <w:rPr>
                      <w:rFonts w:hint="default" w:ascii="Times New Roman" w:hAnsi="Times New Roman" w:cs="Times New Roman"/>
                      <w:b w:val="0"/>
                      <w:bCs/>
                      <w:color w:val="auto"/>
                      <w:lang w:eastAsia="zh-CN"/>
                    </w:rPr>
                    <w:t>厂房（厂房长120m、宽72m、高</w:t>
                  </w:r>
                  <w:r>
                    <w:rPr>
                      <w:rFonts w:hint="eastAsia" w:ascii="Times New Roman" w:hAnsi="Times New Roman" w:cs="Times New Roman"/>
                      <w:b w:val="0"/>
                      <w:bCs/>
                      <w:color w:val="auto"/>
                      <w:lang w:val="en-US" w:eastAsia="zh-CN"/>
                    </w:rPr>
                    <w:t>12</w:t>
                  </w:r>
                  <w:r>
                    <w:rPr>
                      <w:rFonts w:hint="default" w:ascii="Times New Roman" w:hAnsi="Times New Roman" w:cs="Times New Roman"/>
                      <w:b w:val="0"/>
                      <w:bCs/>
                      <w:color w:val="auto"/>
                      <w:lang w:eastAsia="zh-CN"/>
                    </w:rPr>
                    <w:t>m）</w:t>
                  </w:r>
                  <w:r>
                    <w:rPr>
                      <w:rFonts w:hint="default" w:ascii="Times New Roman" w:hAnsi="Times New Roman" w:cs="Times New Roman"/>
                      <w:b w:val="0"/>
                      <w:bCs/>
                      <w:color w:val="auto"/>
                      <w:lang w:val="en-US" w:eastAsia="zh-CN"/>
                    </w:rPr>
                    <w:t>东北侧，总占地面积180m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，主要布设1台激光切割机，</w:t>
                  </w:r>
                  <w:r>
                    <w:rPr>
                      <w:rFonts w:hint="eastAsia" w:ascii="Times New Roman" w:hAnsi="Times New Roman" w:cs="Times New Roman"/>
                      <w:b w:val="0"/>
                      <w:bCs/>
                      <w:color w:val="auto"/>
                      <w:lang w:val="en-US" w:eastAsia="zh-CN"/>
                    </w:rPr>
                    <w:t>年切割约864t钢材</w:t>
                  </w:r>
                  <w:r>
                    <w:rPr>
                      <w:rFonts w:hint="default" w:ascii="Times New Roman" w:hAnsi="Times New Roman" w:cs="Times New Roman"/>
                      <w:b w:val="0"/>
                      <w:bCs/>
                      <w:color w:val="auto"/>
                      <w:lang w:val="en-US" w:eastAsia="zh-CN"/>
                    </w:rPr>
                    <w:t>。</w:t>
                  </w:r>
                </w:p>
              </w:tc>
              <w:tc>
                <w:tcPr>
                  <w:tcW w:w="384" w:type="pct"/>
                  <w:tcBorders>
                    <w:tl2br w:val="nil"/>
                    <w:tr2bl w:val="nil"/>
                  </w:tcBorders>
                  <w:noWrap w:val="0"/>
                  <w:vAlign w:val="center"/>
                </w:tcPr>
                <w:p w14:paraId="3C995B0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新建</w:t>
                  </w:r>
                </w:p>
              </w:tc>
            </w:tr>
            <w:tr w14:paraId="3F2E1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continue"/>
                  <w:tcBorders>
                    <w:tl2br w:val="nil"/>
                    <w:tr2bl w:val="nil"/>
                  </w:tcBorders>
                  <w:noWrap w:val="0"/>
                  <w:vAlign w:val="center"/>
                </w:tcPr>
                <w:p w14:paraId="16276B3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6E46293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锯床切割下料区</w:t>
                  </w:r>
                </w:p>
              </w:tc>
              <w:tc>
                <w:tcPr>
                  <w:tcW w:w="3294" w:type="pct"/>
                  <w:tcBorders>
                    <w:tl2br w:val="nil"/>
                    <w:tr2bl w:val="nil"/>
                  </w:tcBorders>
                  <w:noWrap w:val="0"/>
                  <w:vAlign w:val="center"/>
                </w:tcPr>
                <w:p w14:paraId="530F9443">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位于</w:t>
                  </w:r>
                  <w:r>
                    <w:rPr>
                      <w:rFonts w:hint="default" w:ascii="Times New Roman" w:hAnsi="Times New Roman" w:cs="Times New Roman"/>
                      <w:b w:val="0"/>
                      <w:bCs/>
                      <w:color w:val="auto"/>
                      <w:lang w:eastAsia="zh-CN"/>
                    </w:rPr>
                    <w:t>厂房</w:t>
                  </w:r>
                  <w:r>
                    <w:rPr>
                      <w:rFonts w:hint="default" w:ascii="Times New Roman" w:hAnsi="Times New Roman" w:cs="Times New Roman"/>
                      <w:b w:val="0"/>
                      <w:bCs/>
                      <w:color w:val="auto"/>
                      <w:lang w:val="en-US" w:eastAsia="zh-CN"/>
                    </w:rPr>
                    <w:t>东侧，总占地面积180m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，主要布设2台锯床，</w:t>
                  </w:r>
                  <w:r>
                    <w:rPr>
                      <w:rFonts w:hint="eastAsia" w:ascii="Times New Roman" w:hAnsi="Times New Roman" w:cs="Times New Roman"/>
                      <w:b w:val="0"/>
                      <w:bCs/>
                      <w:color w:val="auto"/>
                      <w:lang w:val="en-US" w:eastAsia="zh-CN"/>
                    </w:rPr>
                    <w:t>年切割约1983t钢材</w:t>
                  </w:r>
                  <w:r>
                    <w:rPr>
                      <w:rFonts w:hint="default" w:ascii="Times New Roman" w:hAnsi="Times New Roman" w:cs="Times New Roman"/>
                      <w:b w:val="0"/>
                      <w:bCs/>
                      <w:color w:val="auto"/>
                      <w:lang w:val="en-US" w:eastAsia="zh-CN"/>
                    </w:rPr>
                    <w:t>。</w:t>
                  </w:r>
                </w:p>
              </w:tc>
              <w:tc>
                <w:tcPr>
                  <w:tcW w:w="384" w:type="pct"/>
                  <w:tcBorders>
                    <w:tl2br w:val="nil"/>
                    <w:tr2bl w:val="nil"/>
                  </w:tcBorders>
                  <w:noWrap w:val="0"/>
                  <w:vAlign w:val="center"/>
                </w:tcPr>
                <w:p w14:paraId="6BD2A23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新建</w:t>
                  </w:r>
                </w:p>
              </w:tc>
            </w:tr>
            <w:tr w14:paraId="71412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pct"/>
                  <w:vMerge w:val="continue"/>
                  <w:tcBorders>
                    <w:tl2br w:val="nil"/>
                    <w:tr2bl w:val="nil"/>
                  </w:tcBorders>
                  <w:noWrap w:val="0"/>
                  <w:vAlign w:val="center"/>
                </w:tcPr>
                <w:p w14:paraId="392087F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123137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机加工区</w:t>
                  </w:r>
                </w:p>
              </w:tc>
              <w:tc>
                <w:tcPr>
                  <w:tcW w:w="3294" w:type="pct"/>
                  <w:tcBorders>
                    <w:tl2br w:val="nil"/>
                    <w:tr2bl w:val="nil"/>
                  </w:tcBorders>
                  <w:noWrap w:val="0"/>
                  <w:vAlign w:val="center"/>
                </w:tcPr>
                <w:p w14:paraId="2DF40829">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位于项目</w:t>
                  </w:r>
                  <w:r>
                    <w:rPr>
                      <w:rFonts w:hint="default" w:ascii="Times New Roman" w:hAnsi="Times New Roman" w:cs="Times New Roman"/>
                      <w:b w:val="0"/>
                      <w:bCs/>
                      <w:color w:val="auto"/>
                      <w:lang w:val="en-US" w:eastAsia="zh-CN"/>
                    </w:rPr>
                    <w:t>锯床切割下料区北侧</w:t>
                  </w:r>
                  <w:r>
                    <w:rPr>
                      <w:rFonts w:hint="default" w:ascii="Times New Roman" w:hAnsi="Times New Roman" w:cs="Times New Roman"/>
                      <w:b w:val="0"/>
                      <w:bCs/>
                      <w:color w:val="auto"/>
                    </w:rPr>
                    <w:t>，</w:t>
                  </w:r>
                  <w:r>
                    <w:rPr>
                      <w:rFonts w:hint="default" w:ascii="Times New Roman" w:hAnsi="Times New Roman" w:cs="Times New Roman"/>
                      <w:b w:val="0"/>
                      <w:bCs/>
                      <w:color w:val="auto"/>
                      <w:lang w:val="en-US" w:eastAsia="zh-CN"/>
                    </w:rPr>
                    <w:t>总占地面积为</w:t>
                  </w:r>
                  <w:r>
                    <w:rPr>
                      <w:rFonts w:hint="eastAsia" w:ascii="Times New Roman" w:hAnsi="Times New Roman" w:cs="Times New Roman"/>
                      <w:b w:val="0"/>
                      <w:bCs/>
                      <w:color w:val="auto"/>
                      <w:lang w:val="en-US" w:eastAsia="zh-CN"/>
                    </w:rPr>
                    <w:t>490</w:t>
                  </w:r>
                  <w:r>
                    <w:rPr>
                      <w:rFonts w:hint="default" w:ascii="Times New Roman" w:hAnsi="Times New Roman" w:cs="Times New Roman"/>
                      <w:b w:val="0"/>
                      <w:bCs/>
                      <w:color w:val="auto"/>
                      <w:lang w:val="en-US" w:eastAsia="zh-CN"/>
                    </w:rPr>
                    <w:t>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，主要布设2台剪板机、1台折弯机，用于钢材的剪切和折弯等机加工</w:t>
                  </w:r>
                  <w:r>
                    <w:rPr>
                      <w:rFonts w:hint="eastAsia" w:ascii="Times New Roman" w:hAnsi="Times New Roman" w:cs="Times New Roman"/>
                      <w:b w:val="0"/>
                      <w:bCs/>
                      <w:color w:val="auto"/>
                      <w:lang w:val="en-US" w:eastAsia="zh-CN"/>
                    </w:rPr>
                    <w:t>；</w:t>
                  </w:r>
                  <w:r>
                    <w:rPr>
                      <w:rFonts w:hint="default" w:ascii="Times New Roman" w:hAnsi="Times New Roman" w:cs="Times New Roman"/>
                      <w:b w:val="0"/>
                      <w:bCs/>
                      <w:color w:val="auto"/>
                      <w:lang w:val="en-US" w:eastAsia="zh-CN"/>
                    </w:rPr>
                    <w:t>2台数控车床、2台摇臂钻床、2台铣床、2台台钻，用于钢材的冲孔，铣槽等机加工</w:t>
                  </w:r>
                  <w:r>
                    <w:rPr>
                      <w:rFonts w:hint="eastAsia" w:ascii="Times New Roman" w:hAnsi="Times New Roman" w:cs="Times New Roman"/>
                      <w:b w:val="0"/>
                      <w:bCs/>
                      <w:color w:val="auto"/>
                      <w:lang w:val="en-US" w:eastAsia="zh-CN"/>
                    </w:rPr>
                    <w:t>；</w:t>
                  </w:r>
                  <w:r>
                    <w:rPr>
                      <w:rFonts w:hint="default" w:ascii="Times New Roman" w:hAnsi="Times New Roman" w:cs="Times New Roman"/>
                      <w:b w:val="0"/>
                      <w:bCs/>
                      <w:color w:val="auto"/>
                      <w:lang w:val="en-US" w:eastAsia="zh-CN"/>
                    </w:rPr>
                    <w:t>2台铣床，用于钢材的铣槽等机加工。</w:t>
                  </w:r>
                </w:p>
              </w:tc>
              <w:tc>
                <w:tcPr>
                  <w:tcW w:w="384" w:type="pct"/>
                  <w:tcBorders>
                    <w:tl2br w:val="nil"/>
                    <w:tr2bl w:val="nil"/>
                  </w:tcBorders>
                  <w:noWrap w:val="0"/>
                  <w:vAlign w:val="center"/>
                </w:tcPr>
                <w:p w14:paraId="78D4E3F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新建</w:t>
                  </w:r>
                </w:p>
              </w:tc>
            </w:tr>
            <w:tr w14:paraId="3FFFC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continue"/>
                  <w:tcBorders>
                    <w:tl2br w:val="nil"/>
                    <w:tr2bl w:val="nil"/>
                  </w:tcBorders>
                  <w:noWrap w:val="0"/>
                  <w:vAlign w:val="center"/>
                </w:tcPr>
                <w:p w14:paraId="6F40CF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2E39C4E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焊接区</w:t>
                  </w:r>
                </w:p>
              </w:tc>
              <w:tc>
                <w:tcPr>
                  <w:tcW w:w="3294" w:type="pct"/>
                  <w:tcBorders>
                    <w:tl2br w:val="nil"/>
                    <w:tr2bl w:val="nil"/>
                  </w:tcBorders>
                  <w:noWrap w:val="0"/>
                  <w:vAlign w:val="center"/>
                </w:tcPr>
                <w:p w14:paraId="53E61028">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位于</w:t>
                  </w:r>
                  <w:r>
                    <w:rPr>
                      <w:rFonts w:hint="default" w:ascii="Times New Roman" w:hAnsi="Times New Roman" w:cs="Times New Roman"/>
                      <w:b w:val="0"/>
                      <w:bCs/>
                      <w:color w:val="auto"/>
                      <w:lang w:val="en-US" w:eastAsia="zh-CN"/>
                    </w:rPr>
                    <w:t>机加工区西侧</w:t>
                  </w:r>
                  <w:r>
                    <w:rPr>
                      <w:rFonts w:hint="default" w:ascii="Times New Roman" w:hAnsi="Times New Roman" w:cs="Times New Roman"/>
                      <w:b w:val="0"/>
                      <w:bCs/>
                      <w:color w:val="auto"/>
                    </w:rPr>
                    <w:t>，</w:t>
                  </w:r>
                  <w:r>
                    <w:rPr>
                      <w:rFonts w:hint="default" w:ascii="Times New Roman" w:hAnsi="Times New Roman" w:cs="Times New Roman"/>
                      <w:b w:val="0"/>
                      <w:bCs/>
                      <w:color w:val="auto"/>
                      <w:lang w:val="en-US" w:eastAsia="zh-CN"/>
                    </w:rPr>
                    <w:t>总占地面积为100m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，主要布设2台氩弧焊机、2台电弧焊机、2台CO</w:t>
                  </w:r>
                  <w:r>
                    <w:rPr>
                      <w:rFonts w:hint="default" w:ascii="Times New Roman" w:hAnsi="Times New Roman" w:cs="Times New Roman"/>
                      <w:b w:val="0"/>
                      <w:bCs/>
                      <w:color w:val="auto"/>
                      <w:vertAlign w:val="subscript"/>
                      <w:lang w:val="en-US" w:eastAsia="zh-CN"/>
                    </w:rPr>
                    <w:t>2</w:t>
                  </w:r>
                  <w:r>
                    <w:rPr>
                      <w:rFonts w:hint="default" w:ascii="Times New Roman" w:hAnsi="Times New Roman" w:cs="Times New Roman"/>
                      <w:b w:val="0"/>
                      <w:bCs/>
                      <w:color w:val="auto"/>
                      <w:lang w:val="en-US" w:eastAsia="zh-CN"/>
                    </w:rPr>
                    <w:t>气体保护焊机，</w:t>
                  </w:r>
                  <w:r>
                    <w:rPr>
                      <w:rFonts w:hint="eastAsia" w:ascii="Times New Roman" w:hAnsi="Times New Roman" w:cs="Times New Roman"/>
                      <w:b w:val="0"/>
                      <w:bCs/>
                      <w:color w:val="auto"/>
                      <w:lang w:val="en-US" w:eastAsia="zh-CN"/>
                    </w:rPr>
                    <w:t>年焊接约325t</w:t>
                  </w:r>
                  <w:r>
                    <w:rPr>
                      <w:rFonts w:hint="default" w:ascii="Times New Roman" w:hAnsi="Times New Roman" w:cs="Times New Roman"/>
                      <w:b w:val="0"/>
                      <w:bCs/>
                      <w:color w:val="auto"/>
                      <w:lang w:val="en-US" w:eastAsia="zh-CN"/>
                    </w:rPr>
                    <w:t>金属部件。</w:t>
                  </w:r>
                </w:p>
              </w:tc>
              <w:tc>
                <w:tcPr>
                  <w:tcW w:w="384" w:type="pct"/>
                  <w:tcBorders>
                    <w:tl2br w:val="nil"/>
                    <w:tr2bl w:val="nil"/>
                  </w:tcBorders>
                  <w:noWrap w:val="0"/>
                  <w:vAlign w:val="center"/>
                </w:tcPr>
                <w:p w14:paraId="3F5613A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新建</w:t>
                  </w:r>
                </w:p>
              </w:tc>
            </w:tr>
            <w:tr w14:paraId="1ED26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pct"/>
                  <w:vMerge w:val="continue"/>
                  <w:tcBorders>
                    <w:tl2br w:val="nil"/>
                    <w:tr2bl w:val="nil"/>
                  </w:tcBorders>
                  <w:noWrap w:val="0"/>
                  <w:vAlign w:val="center"/>
                </w:tcPr>
                <w:p w14:paraId="464531F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3455F59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组装区</w:t>
                  </w:r>
                </w:p>
              </w:tc>
              <w:tc>
                <w:tcPr>
                  <w:tcW w:w="3294" w:type="pct"/>
                  <w:tcBorders>
                    <w:tl2br w:val="nil"/>
                    <w:tr2bl w:val="nil"/>
                  </w:tcBorders>
                  <w:noWrap w:val="0"/>
                  <w:vAlign w:val="center"/>
                </w:tcPr>
                <w:p w14:paraId="06E031E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位于厂房中部，占地约4000m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，对各部件机加工组装，组装后作为成品区。</w:t>
                  </w:r>
                </w:p>
              </w:tc>
              <w:tc>
                <w:tcPr>
                  <w:tcW w:w="384" w:type="pct"/>
                  <w:tcBorders>
                    <w:tl2br w:val="nil"/>
                    <w:tr2bl w:val="nil"/>
                  </w:tcBorders>
                  <w:noWrap w:val="0"/>
                  <w:vAlign w:val="center"/>
                </w:tcPr>
                <w:p w14:paraId="07FC7C0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新建</w:t>
                  </w:r>
                </w:p>
              </w:tc>
            </w:tr>
            <w:tr w14:paraId="119ED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pct"/>
                  <w:vMerge w:val="continue"/>
                  <w:tcBorders>
                    <w:tl2br w:val="nil"/>
                    <w:tr2bl w:val="nil"/>
                  </w:tcBorders>
                  <w:noWrap w:val="0"/>
                  <w:vAlign w:val="center"/>
                </w:tcPr>
                <w:p w14:paraId="613042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62F9378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喷漆房</w:t>
                  </w:r>
                </w:p>
              </w:tc>
              <w:tc>
                <w:tcPr>
                  <w:tcW w:w="3294" w:type="pct"/>
                  <w:tcBorders>
                    <w:tl2br w:val="nil"/>
                    <w:tr2bl w:val="nil"/>
                  </w:tcBorders>
                  <w:noWrap w:val="0"/>
                  <w:vAlign w:val="center"/>
                </w:tcPr>
                <w:p w14:paraId="4730FC0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位于厂房西侧，占地约</w:t>
                  </w:r>
                  <w:r>
                    <w:rPr>
                      <w:rFonts w:hint="eastAsia" w:ascii="Times New Roman" w:hAnsi="Times New Roman" w:cs="Times New Roman"/>
                      <w:b w:val="0"/>
                      <w:bCs/>
                      <w:color w:val="auto"/>
                      <w:lang w:val="en-US" w:eastAsia="zh-CN"/>
                    </w:rPr>
                    <w:t>60</w:t>
                  </w:r>
                  <w:r>
                    <w:rPr>
                      <w:rFonts w:hint="default" w:ascii="Times New Roman" w:hAnsi="Times New Roman" w:cs="Times New Roman"/>
                      <w:b w:val="0"/>
                      <w:bCs/>
                      <w:color w:val="auto"/>
                      <w:lang w:val="en-US" w:eastAsia="zh-CN"/>
                    </w:rPr>
                    <w:t>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，为移动式喷漆房，采用人工手持喷枪进行工件</w:t>
                  </w:r>
                  <w:r>
                    <w:rPr>
                      <w:rFonts w:hint="eastAsia" w:ascii="Times New Roman" w:hAnsi="Times New Roman" w:cs="Times New Roman"/>
                      <w:b w:val="0"/>
                      <w:bCs/>
                      <w:color w:val="auto"/>
                      <w:lang w:val="en-US" w:eastAsia="zh-CN"/>
                    </w:rPr>
                    <w:t>喷漆和喷枪清洗</w:t>
                  </w:r>
                  <w:r>
                    <w:rPr>
                      <w:rFonts w:hint="default" w:ascii="Times New Roman" w:hAnsi="Times New Roman" w:cs="Times New Roman"/>
                      <w:b w:val="0"/>
                      <w:bCs/>
                      <w:color w:val="auto"/>
                      <w:lang w:val="en-US" w:eastAsia="zh-CN"/>
                    </w:rPr>
                    <w:t>。</w:t>
                  </w:r>
                </w:p>
              </w:tc>
              <w:tc>
                <w:tcPr>
                  <w:tcW w:w="384" w:type="pct"/>
                  <w:tcBorders>
                    <w:tl2br w:val="nil"/>
                    <w:tr2bl w:val="nil"/>
                  </w:tcBorders>
                  <w:noWrap w:val="0"/>
                  <w:vAlign w:val="center"/>
                </w:tcPr>
                <w:p w14:paraId="2D88AFD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新建</w:t>
                  </w:r>
                </w:p>
              </w:tc>
            </w:tr>
            <w:tr w14:paraId="121C9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pct"/>
                  <w:vMerge w:val="continue"/>
                  <w:tcBorders>
                    <w:tl2br w:val="nil"/>
                    <w:tr2bl w:val="nil"/>
                  </w:tcBorders>
                  <w:noWrap w:val="0"/>
                  <w:vAlign w:val="center"/>
                </w:tcPr>
                <w:p w14:paraId="57CD44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1938987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晾干房</w:t>
                  </w:r>
                </w:p>
              </w:tc>
              <w:tc>
                <w:tcPr>
                  <w:tcW w:w="3294" w:type="pct"/>
                  <w:tcBorders>
                    <w:tl2br w:val="nil"/>
                    <w:tr2bl w:val="nil"/>
                  </w:tcBorders>
                  <w:noWrap w:val="0"/>
                  <w:vAlign w:val="center"/>
                </w:tcPr>
                <w:p w14:paraId="62BE476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位于厂房西侧，占地约</w:t>
                  </w:r>
                  <w:r>
                    <w:rPr>
                      <w:rFonts w:hint="eastAsia" w:ascii="Times New Roman" w:hAnsi="Times New Roman" w:cs="Times New Roman"/>
                      <w:b w:val="0"/>
                      <w:bCs/>
                      <w:color w:val="auto"/>
                      <w:lang w:val="en-US" w:eastAsia="zh-CN"/>
                    </w:rPr>
                    <w:t>60</w:t>
                  </w:r>
                  <w:r>
                    <w:rPr>
                      <w:rFonts w:hint="default" w:ascii="Times New Roman" w:hAnsi="Times New Roman" w:cs="Times New Roman"/>
                      <w:b w:val="0"/>
                      <w:bCs/>
                      <w:color w:val="auto"/>
                      <w:lang w:val="en-US" w:eastAsia="zh-CN"/>
                    </w:rPr>
                    <w:t>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，用于工件</w:t>
                  </w:r>
                  <w:r>
                    <w:rPr>
                      <w:rFonts w:hint="eastAsia" w:ascii="Times New Roman" w:hAnsi="Times New Roman" w:cs="Times New Roman"/>
                      <w:b w:val="0"/>
                      <w:bCs/>
                      <w:color w:val="auto"/>
                      <w:lang w:val="en-US" w:eastAsia="zh-CN"/>
                    </w:rPr>
                    <w:t>面漆</w:t>
                  </w:r>
                  <w:r>
                    <w:rPr>
                      <w:rFonts w:hint="default" w:ascii="Times New Roman" w:hAnsi="Times New Roman" w:cs="Times New Roman"/>
                      <w:b w:val="0"/>
                      <w:bCs/>
                      <w:color w:val="auto"/>
                      <w:lang w:val="en-US" w:eastAsia="zh-CN"/>
                    </w:rPr>
                    <w:t>晾干</w:t>
                  </w:r>
                  <w:r>
                    <w:rPr>
                      <w:rFonts w:hint="eastAsia" w:ascii="Times New Roman" w:hAnsi="Times New Roman" w:cs="Times New Roman"/>
                      <w:b w:val="0"/>
                      <w:bCs/>
                      <w:color w:val="auto"/>
                      <w:lang w:val="en-US" w:eastAsia="zh-CN"/>
                    </w:rPr>
                    <w:t>，冬季温度较低时采用远红外灯管加热晾干</w:t>
                  </w:r>
                  <w:r>
                    <w:rPr>
                      <w:rFonts w:hint="default" w:ascii="Times New Roman" w:hAnsi="Times New Roman" w:cs="Times New Roman"/>
                      <w:b w:val="0"/>
                      <w:bCs/>
                      <w:color w:val="auto"/>
                      <w:lang w:val="en-US" w:eastAsia="zh-CN"/>
                    </w:rPr>
                    <w:t>。</w:t>
                  </w:r>
                </w:p>
              </w:tc>
              <w:tc>
                <w:tcPr>
                  <w:tcW w:w="384" w:type="pct"/>
                  <w:tcBorders>
                    <w:tl2br w:val="nil"/>
                    <w:tr2bl w:val="nil"/>
                  </w:tcBorders>
                  <w:noWrap w:val="0"/>
                  <w:vAlign w:val="center"/>
                </w:tcPr>
                <w:p w14:paraId="296F669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新建</w:t>
                  </w:r>
                </w:p>
              </w:tc>
            </w:tr>
            <w:tr w14:paraId="6EED7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pct"/>
                  <w:vMerge w:val="restart"/>
                  <w:tcBorders>
                    <w:tl2br w:val="nil"/>
                    <w:tr2bl w:val="nil"/>
                  </w:tcBorders>
                  <w:noWrap w:val="0"/>
                  <w:vAlign w:val="center"/>
                </w:tcPr>
                <w:p w14:paraId="0E0817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储运工程</w:t>
                  </w:r>
                </w:p>
              </w:tc>
              <w:tc>
                <w:tcPr>
                  <w:tcW w:w="572" w:type="pct"/>
                  <w:gridSpan w:val="2"/>
                  <w:vMerge w:val="restart"/>
                  <w:tcBorders>
                    <w:tl2br w:val="nil"/>
                    <w:tr2bl w:val="nil"/>
                  </w:tcBorders>
                  <w:noWrap w:val="0"/>
                  <w:vAlign w:val="center"/>
                </w:tcPr>
                <w:p w14:paraId="000D176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rPr>
                  </w:pPr>
                  <w:r>
                    <w:rPr>
                      <w:rFonts w:hint="default" w:ascii="Times New Roman" w:hAnsi="Times New Roman" w:cs="Times New Roman"/>
                      <w:b w:val="0"/>
                      <w:bCs/>
                      <w:color w:val="auto"/>
                      <w:lang w:val="en-US" w:eastAsia="zh-CN"/>
                    </w:rPr>
                    <w:t>原料堆放区</w:t>
                  </w:r>
                </w:p>
              </w:tc>
              <w:tc>
                <w:tcPr>
                  <w:tcW w:w="324" w:type="pct"/>
                  <w:tcBorders>
                    <w:tl2br w:val="nil"/>
                    <w:tr2bl w:val="nil"/>
                  </w:tcBorders>
                  <w:noWrap w:val="0"/>
                  <w:vAlign w:val="center"/>
                </w:tcPr>
                <w:p w14:paraId="3AE2303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w:t>
                  </w:r>
                </w:p>
              </w:tc>
              <w:tc>
                <w:tcPr>
                  <w:tcW w:w="3294" w:type="pct"/>
                  <w:tcBorders>
                    <w:tl2br w:val="nil"/>
                    <w:tr2bl w:val="nil"/>
                  </w:tcBorders>
                  <w:noWrap w:val="0"/>
                  <w:vAlign w:val="center"/>
                </w:tcPr>
                <w:p w14:paraId="2F628A15">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lang w:val="en-US"/>
                    </w:rPr>
                  </w:pPr>
                  <w:r>
                    <w:rPr>
                      <w:rFonts w:hint="default" w:ascii="Times New Roman" w:hAnsi="Times New Roman" w:cs="Times New Roman"/>
                      <w:b w:val="0"/>
                      <w:bCs/>
                      <w:color w:val="auto"/>
                      <w:lang w:val="en-US" w:eastAsia="zh-CN"/>
                    </w:rPr>
                    <w:t>位于厂房东南侧，占地约450m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，存放外购的钢材。</w:t>
                  </w:r>
                </w:p>
              </w:tc>
              <w:tc>
                <w:tcPr>
                  <w:tcW w:w="384" w:type="pct"/>
                  <w:tcBorders>
                    <w:tl2br w:val="nil"/>
                    <w:tr2bl w:val="nil"/>
                  </w:tcBorders>
                  <w:noWrap w:val="0"/>
                  <w:vAlign w:val="center"/>
                </w:tcPr>
                <w:p w14:paraId="1162BFE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新建</w:t>
                  </w:r>
                </w:p>
              </w:tc>
            </w:tr>
            <w:tr w14:paraId="5516B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continue"/>
                  <w:tcBorders>
                    <w:tl2br w:val="nil"/>
                    <w:tr2bl w:val="nil"/>
                  </w:tcBorders>
                  <w:noWrap w:val="0"/>
                  <w:vAlign w:val="center"/>
                </w:tcPr>
                <w:p w14:paraId="71627DB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572" w:type="pct"/>
                  <w:gridSpan w:val="2"/>
                  <w:vMerge w:val="continue"/>
                  <w:tcBorders>
                    <w:tl2br w:val="nil"/>
                    <w:tr2bl w:val="nil"/>
                  </w:tcBorders>
                  <w:noWrap w:val="0"/>
                  <w:vAlign w:val="center"/>
                </w:tcPr>
                <w:p w14:paraId="56F6880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c>
                <w:tcPr>
                  <w:tcW w:w="324" w:type="pct"/>
                  <w:tcBorders>
                    <w:tl2br w:val="nil"/>
                    <w:tr2bl w:val="nil"/>
                  </w:tcBorders>
                  <w:noWrap w:val="0"/>
                  <w:vAlign w:val="center"/>
                </w:tcPr>
                <w:p w14:paraId="0AA1180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w:t>
                  </w:r>
                </w:p>
              </w:tc>
              <w:tc>
                <w:tcPr>
                  <w:tcW w:w="3294" w:type="pct"/>
                  <w:tcBorders>
                    <w:tl2br w:val="nil"/>
                    <w:tr2bl w:val="nil"/>
                  </w:tcBorders>
                  <w:noWrap w:val="0"/>
                  <w:vAlign w:val="center"/>
                </w:tcPr>
                <w:p w14:paraId="17DF1EEE">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位于厂房北侧，占地约550m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，存放外购的钢材，钢材加工结束后作为成品区。</w:t>
                  </w:r>
                </w:p>
              </w:tc>
              <w:tc>
                <w:tcPr>
                  <w:tcW w:w="384" w:type="pct"/>
                  <w:tcBorders>
                    <w:tl2br w:val="nil"/>
                    <w:tr2bl w:val="nil"/>
                  </w:tcBorders>
                  <w:noWrap w:val="0"/>
                  <w:vAlign w:val="center"/>
                </w:tcPr>
                <w:p w14:paraId="41A51DF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新建</w:t>
                  </w:r>
                </w:p>
              </w:tc>
            </w:tr>
            <w:tr w14:paraId="15795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continue"/>
                  <w:tcBorders>
                    <w:tl2br w:val="nil"/>
                    <w:tr2bl w:val="nil"/>
                  </w:tcBorders>
                  <w:noWrap w:val="0"/>
                  <w:vAlign w:val="center"/>
                </w:tcPr>
                <w:p w14:paraId="5B2C74A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4D6D638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零部件仓库</w:t>
                  </w:r>
                </w:p>
              </w:tc>
              <w:tc>
                <w:tcPr>
                  <w:tcW w:w="3294" w:type="pct"/>
                  <w:tcBorders>
                    <w:tl2br w:val="nil"/>
                    <w:tr2bl w:val="nil"/>
                  </w:tcBorders>
                  <w:noWrap w:val="0"/>
                  <w:vAlign w:val="center"/>
                </w:tcPr>
                <w:p w14:paraId="77A71C2F">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位于厂房内东侧，占地面积约为340m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，主要贮存订购的气缸等内部组件以及金属零部件</w:t>
                  </w:r>
                  <w:r>
                    <w:rPr>
                      <w:rFonts w:hint="eastAsia" w:ascii="Times New Roman" w:hAnsi="Times New Roman" w:cs="Times New Roman"/>
                      <w:b w:val="0"/>
                      <w:bCs/>
                      <w:color w:val="auto"/>
                      <w:lang w:val="en-US" w:eastAsia="zh-CN"/>
                    </w:rPr>
                    <w:t>。</w:t>
                  </w:r>
                </w:p>
              </w:tc>
              <w:tc>
                <w:tcPr>
                  <w:tcW w:w="384" w:type="pct"/>
                  <w:tcBorders>
                    <w:tl2br w:val="nil"/>
                    <w:tr2bl w:val="nil"/>
                  </w:tcBorders>
                  <w:noWrap w:val="0"/>
                  <w:vAlign w:val="center"/>
                </w:tcPr>
                <w:p w14:paraId="23D858A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auto"/>
                      <w:lang w:eastAsia="zh-CN"/>
                    </w:rPr>
                  </w:pPr>
                  <w:r>
                    <w:rPr>
                      <w:rFonts w:hint="eastAsia" w:ascii="Times New Roman" w:hAnsi="Times New Roman" w:cs="Times New Roman"/>
                      <w:b w:val="0"/>
                      <w:bCs/>
                      <w:color w:val="auto"/>
                      <w:lang w:eastAsia="zh-CN"/>
                    </w:rPr>
                    <w:t>新建</w:t>
                  </w:r>
                </w:p>
              </w:tc>
            </w:tr>
            <w:tr w14:paraId="49BEA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continue"/>
                  <w:tcBorders>
                    <w:tl2br w:val="nil"/>
                    <w:tr2bl w:val="nil"/>
                  </w:tcBorders>
                  <w:noWrap w:val="0"/>
                  <w:vAlign w:val="center"/>
                </w:tcPr>
                <w:p w14:paraId="71B86A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5C00E74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辅料</w:t>
                  </w:r>
                  <w:r>
                    <w:rPr>
                      <w:rFonts w:hint="eastAsia" w:ascii="Times New Roman" w:hAnsi="Times New Roman" w:cs="Times New Roman"/>
                      <w:b w:val="0"/>
                      <w:bCs/>
                      <w:color w:val="auto"/>
                      <w:lang w:val="en-US" w:eastAsia="zh-CN"/>
                    </w:rPr>
                    <w:t>库</w:t>
                  </w:r>
                </w:p>
              </w:tc>
              <w:tc>
                <w:tcPr>
                  <w:tcW w:w="3294" w:type="pct"/>
                  <w:tcBorders>
                    <w:tl2br w:val="nil"/>
                    <w:tr2bl w:val="nil"/>
                  </w:tcBorders>
                  <w:noWrap w:val="0"/>
                  <w:vAlign w:val="center"/>
                </w:tcPr>
                <w:p w14:paraId="0AF54D7B">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位于厂房内西侧，占地面积为72m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，主要存放</w:t>
                  </w:r>
                  <w:r>
                    <w:rPr>
                      <w:rFonts w:hint="eastAsia" w:ascii="Times New Roman" w:hAnsi="Times New Roman" w:cs="Times New Roman"/>
                      <w:b w:val="0"/>
                      <w:bCs/>
                      <w:color w:val="auto"/>
                      <w:lang w:val="en-US" w:eastAsia="zh-CN"/>
                    </w:rPr>
                    <w:t>水性丙烯酸面漆</w:t>
                  </w:r>
                  <w:r>
                    <w:rPr>
                      <w:rFonts w:hint="default" w:ascii="Times New Roman" w:hAnsi="Times New Roman" w:cs="Times New Roman"/>
                      <w:b w:val="0"/>
                      <w:bCs/>
                      <w:color w:val="auto"/>
                      <w:lang w:val="en-US" w:eastAsia="zh-CN"/>
                    </w:rPr>
                    <w:t>以及润滑油。</w:t>
                  </w:r>
                </w:p>
              </w:tc>
              <w:tc>
                <w:tcPr>
                  <w:tcW w:w="384" w:type="pct"/>
                  <w:tcBorders>
                    <w:tl2br w:val="nil"/>
                    <w:tr2bl w:val="nil"/>
                  </w:tcBorders>
                  <w:noWrap w:val="0"/>
                  <w:vAlign w:val="center"/>
                </w:tcPr>
                <w:p w14:paraId="1020D81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新建</w:t>
                  </w:r>
                </w:p>
              </w:tc>
            </w:tr>
            <w:tr w14:paraId="49FFF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continue"/>
                  <w:tcBorders>
                    <w:tl2br w:val="nil"/>
                    <w:tr2bl w:val="nil"/>
                  </w:tcBorders>
                  <w:noWrap w:val="0"/>
                  <w:vAlign w:val="center"/>
                </w:tcPr>
                <w:p w14:paraId="5B72C70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p>
              </w:tc>
              <w:tc>
                <w:tcPr>
                  <w:tcW w:w="897" w:type="pct"/>
                  <w:gridSpan w:val="3"/>
                  <w:tcBorders>
                    <w:tl2br w:val="nil"/>
                    <w:tr2bl w:val="nil"/>
                  </w:tcBorders>
                  <w:noWrap w:val="0"/>
                  <w:vAlign w:val="center"/>
                </w:tcPr>
                <w:p w14:paraId="48B0C19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气瓶存放区</w:t>
                  </w:r>
                </w:p>
              </w:tc>
              <w:tc>
                <w:tcPr>
                  <w:tcW w:w="3294" w:type="pct"/>
                  <w:tcBorders>
                    <w:tl2br w:val="nil"/>
                    <w:tr2bl w:val="nil"/>
                  </w:tcBorders>
                  <w:noWrap w:val="0"/>
                  <w:vAlign w:val="center"/>
                </w:tcPr>
                <w:p w14:paraId="6704A926">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位于厂房内东北侧，占地面积为15m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，主要</w:t>
                  </w:r>
                  <w:r>
                    <w:rPr>
                      <w:rFonts w:hint="eastAsia" w:ascii="Times New Roman" w:hAnsi="Times New Roman" w:cs="Times New Roman"/>
                      <w:b w:val="0"/>
                      <w:bCs/>
                      <w:color w:val="auto"/>
                      <w:lang w:val="en-US" w:eastAsia="zh-CN"/>
                    </w:rPr>
                    <w:t>存放CO</w:t>
                  </w:r>
                  <w:r>
                    <w:rPr>
                      <w:rFonts w:hint="eastAsia" w:ascii="Times New Roman" w:hAnsi="Times New Roman" w:cs="Times New Roman"/>
                      <w:b w:val="0"/>
                      <w:bCs/>
                      <w:color w:val="auto"/>
                      <w:vertAlign w:val="subscript"/>
                      <w:lang w:val="en-US" w:eastAsia="zh-CN"/>
                    </w:rPr>
                    <w:t>2</w:t>
                  </w:r>
                  <w:r>
                    <w:rPr>
                      <w:rFonts w:hint="eastAsia" w:ascii="Times New Roman" w:hAnsi="Times New Roman" w:cs="Times New Roman"/>
                      <w:b w:val="0"/>
                      <w:bCs/>
                      <w:color w:val="auto"/>
                      <w:lang w:val="en-US" w:eastAsia="zh-CN"/>
                    </w:rPr>
                    <w:t>和氩气（气瓶包装）</w:t>
                  </w:r>
                  <w:r>
                    <w:rPr>
                      <w:rFonts w:hint="default" w:ascii="Times New Roman" w:hAnsi="Times New Roman" w:cs="Times New Roman"/>
                      <w:b w:val="0"/>
                      <w:bCs/>
                      <w:color w:val="auto"/>
                      <w:lang w:val="en-US" w:eastAsia="zh-CN"/>
                    </w:rPr>
                    <w:t>。</w:t>
                  </w:r>
                </w:p>
              </w:tc>
              <w:tc>
                <w:tcPr>
                  <w:tcW w:w="384" w:type="pct"/>
                  <w:tcBorders>
                    <w:tl2br w:val="nil"/>
                    <w:tr2bl w:val="nil"/>
                  </w:tcBorders>
                  <w:noWrap w:val="0"/>
                  <w:vAlign w:val="center"/>
                </w:tcPr>
                <w:p w14:paraId="12330C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4D585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pct"/>
                  <w:vMerge w:val="continue"/>
                  <w:tcBorders>
                    <w:tl2br w:val="nil"/>
                    <w:tr2bl w:val="nil"/>
                  </w:tcBorders>
                  <w:noWrap w:val="0"/>
                  <w:vAlign w:val="center"/>
                </w:tcPr>
                <w:p w14:paraId="10BD5C8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490319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成品区</w:t>
                  </w:r>
                </w:p>
              </w:tc>
              <w:tc>
                <w:tcPr>
                  <w:tcW w:w="3294" w:type="pct"/>
                  <w:tcBorders>
                    <w:tl2br w:val="nil"/>
                    <w:tr2bl w:val="nil"/>
                  </w:tcBorders>
                  <w:noWrap w:val="0"/>
                  <w:vAlign w:val="center"/>
                </w:tcPr>
                <w:p w14:paraId="30AC63CE">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vertAlign w:val="baseline"/>
                      <w:lang w:val="en-US" w:eastAsia="zh-CN"/>
                    </w:rPr>
                  </w:pPr>
                  <w:r>
                    <w:rPr>
                      <w:rFonts w:hint="default" w:ascii="Times New Roman" w:hAnsi="Times New Roman" w:cs="Times New Roman"/>
                      <w:b w:val="0"/>
                      <w:bCs/>
                      <w:color w:val="auto"/>
                      <w:lang w:val="en-US" w:eastAsia="zh-CN"/>
                    </w:rPr>
                    <w:t>位于厂房内中部组装线区域，占地面积为4000m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vertAlign w:val="baseline"/>
                      <w:lang w:val="en-US" w:eastAsia="zh-CN"/>
                    </w:rPr>
                    <w:t>。</w:t>
                  </w:r>
                </w:p>
              </w:tc>
              <w:tc>
                <w:tcPr>
                  <w:tcW w:w="384" w:type="pct"/>
                  <w:tcBorders>
                    <w:tl2br w:val="nil"/>
                    <w:tr2bl w:val="nil"/>
                  </w:tcBorders>
                  <w:noWrap w:val="0"/>
                  <w:vAlign w:val="center"/>
                </w:tcPr>
                <w:p w14:paraId="0DE5CDC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新建</w:t>
                  </w:r>
                </w:p>
              </w:tc>
            </w:tr>
            <w:tr w14:paraId="6B424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pct"/>
                  <w:tcBorders>
                    <w:tl2br w:val="nil"/>
                    <w:tr2bl w:val="nil"/>
                  </w:tcBorders>
                  <w:noWrap w:val="0"/>
                  <w:vAlign w:val="center"/>
                </w:tcPr>
                <w:p w14:paraId="2DB0070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辅助工程</w:t>
                  </w:r>
                </w:p>
              </w:tc>
              <w:tc>
                <w:tcPr>
                  <w:tcW w:w="897" w:type="pct"/>
                  <w:gridSpan w:val="3"/>
                  <w:tcBorders>
                    <w:tl2br w:val="nil"/>
                    <w:tr2bl w:val="nil"/>
                  </w:tcBorders>
                  <w:noWrap w:val="0"/>
                  <w:vAlign w:val="center"/>
                </w:tcPr>
                <w:p w14:paraId="41225F1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办公区域</w:t>
                  </w:r>
                </w:p>
              </w:tc>
              <w:tc>
                <w:tcPr>
                  <w:tcW w:w="3294" w:type="pct"/>
                  <w:tcBorders>
                    <w:tl2br w:val="nil"/>
                    <w:tr2bl w:val="nil"/>
                  </w:tcBorders>
                  <w:noWrap w:val="0"/>
                  <w:vAlign w:val="center"/>
                </w:tcPr>
                <w:p w14:paraId="0C786C7A">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位于厂房内西北侧，主要设临时办公室，占地约50m</w:t>
                  </w:r>
                  <w:r>
                    <w:rPr>
                      <w:rFonts w:hint="default" w:ascii="Times New Roman" w:hAnsi="Times New Roman" w:cs="Times New Roman"/>
                      <w:b w:val="0"/>
                      <w:bCs/>
                      <w:color w:val="auto"/>
                      <w:vertAlign w:val="superscript"/>
                      <w:lang w:val="en-US" w:eastAsia="zh-CN"/>
                    </w:rPr>
                    <w:t>2</w:t>
                  </w:r>
                  <w:r>
                    <w:rPr>
                      <w:rFonts w:hint="default" w:ascii="Times New Roman" w:hAnsi="Times New Roman" w:cs="Times New Roman"/>
                      <w:b w:val="0"/>
                      <w:bCs/>
                      <w:color w:val="auto"/>
                      <w:lang w:val="en-US" w:eastAsia="zh-CN"/>
                    </w:rPr>
                    <w:t>，用于职工办公用</w:t>
                  </w:r>
                  <w:r>
                    <w:rPr>
                      <w:rFonts w:hint="eastAsia" w:ascii="Times New Roman" w:hAnsi="Times New Roman" w:cs="Times New Roman"/>
                      <w:b w:val="0"/>
                      <w:bCs/>
                      <w:color w:val="auto"/>
                      <w:lang w:val="en-US" w:eastAsia="zh-CN"/>
                    </w:rPr>
                    <w:t>。</w:t>
                  </w:r>
                </w:p>
              </w:tc>
              <w:tc>
                <w:tcPr>
                  <w:tcW w:w="384" w:type="pct"/>
                  <w:tcBorders>
                    <w:tl2br w:val="nil"/>
                    <w:tr2bl w:val="nil"/>
                  </w:tcBorders>
                  <w:noWrap w:val="0"/>
                  <w:vAlign w:val="center"/>
                </w:tcPr>
                <w:p w14:paraId="14C596F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新建</w:t>
                  </w:r>
                </w:p>
              </w:tc>
            </w:tr>
            <w:tr w14:paraId="2CF4A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restart"/>
                  <w:tcBorders>
                    <w:tl2br w:val="nil"/>
                    <w:tr2bl w:val="nil"/>
                  </w:tcBorders>
                  <w:noWrap w:val="0"/>
                  <w:vAlign w:val="center"/>
                </w:tcPr>
                <w:p w14:paraId="1779E9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公用工程</w:t>
                  </w:r>
                </w:p>
              </w:tc>
              <w:tc>
                <w:tcPr>
                  <w:tcW w:w="897" w:type="pct"/>
                  <w:gridSpan w:val="3"/>
                  <w:tcBorders>
                    <w:tl2br w:val="nil"/>
                    <w:tr2bl w:val="nil"/>
                  </w:tcBorders>
                  <w:noWrap w:val="0"/>
                  <w:vAlign w:val="center"/>
                </w:tcPr>
                <w:p w14:paraId="32BA04F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供水工程</w:t>
                  </w:r>
                </w:p>
              </w:tc>
              <w:tc>
                <w:tcPr>
                  <w:tcW w:w="3294" w:type="pct"/>
                  <w:tcBorders>
                    <w:tl2br w:val="nil"/>
                    <w:tr2bl w:val="nil"/>
                  </w:tcBorders>
                  <w:noWrap w:val="0"/>
                  <w:vAlign w:val="center"/>
                </w:tcPr>
                <w:p w14:paraId="4F5C8495">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市政供水，厂区内建设供水管网；年用水量为13</w:t>
                  </w:r>
                  <w:r>
                    <w:rPr>
                      <w:rFonts w:hint="eastAsia" w:ascii="Times New Roman" w:hAnsi="Times New Roman" w:cs="Times New Roman"/>
                      <w:b w:val="0"/>
                      <w:bCs/>
                      <w:color w:val="auto"/>
                      <w:lang w:val="en-US" w:eastAsia="zh-CN"/>
                    </w:rPr>
                    <w:t>36.33</w:t>
                  </w:r>
                  <w:r>
                    <w:rPr>
                      <w:rFonts w:hint="default" w:ascii="Times New Roman" w:hAnsi="Times New Roman" w:cs="Times New Roman"/>
                      <w:b w:val="0"/>
                      <w:bCs/>
                      <w:color w:val="auto"/>
                      <w:lang w:val="en-US" w:eastAsia="zh-CN"/>
                    </w:rPr>
                    <w:t>t</w:t>
                  </w:r>
                  <w:r>
                    <w:rPr>
                      <w:rFonts w:hint="eastAsia" w:ascii="Times New Roman" w:hAnsi="Times New Roman" w:cs="Times New Roman"/>
                      <w:b w:val="0"/>
                      <w:bCs/>
                      <w:color w:val="auto"/>
                      <w:lang w:val="en-US" w:eastAsia="zh-CN"/>
                    </w:rPr>
                    <w:t>。</w:t>
                  </w:r>
                </w:p>
              </w:tc>
              <w:tc>
                <w:tcPr>
                  <w:tcW w:w="384" w:type="pct"/>
                  <w:tcBorders>
                    <w:tl2br w:val="nil"/>
                    <w:tr2bl w:val="nil"/>
                  </w:tcBorders>
                  <w:noWrap w:val="0"/>
                  <w:vAlign w:val="center"/>
                </w:tcPr>
                <w:p w14:paraId="2A12EDA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依托</w:t>
                  </w:r>
                </w:p>
              </w:tc>
            </w:tr>
            <w:tr w14:paraId="3A69D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continue"/>
                  <w:tcBorders>
                    <w:tl2br w:val="nil"/>
                    <w:tr2bl w:val="nil"/>
                  </w:tcBorders>
                  <w:noWrap w:val="0"/>
                  <w:vAlign w:val="center"/>
                </w:tcPr>
                <w:p w14:paraId="3ABD6BB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7EBFC6D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排水工程</w:t>
                  </w:r>
                </w:p>
              </w:tc>
              <w:tc>
                <w:tcPr>
                  <w:tcW w:w="3294" w:type="pct"/>
                  <w:tcBorders>
                    <w:tl2br w:val="nil"/>
                    <w:tr2bl w:val="nil"/>
                  </w:tcBorders>
                  <w:noWrap w:val="0"/>
                  <w:vAlign w:val="center"/>
                </w:tcPr>
                <w:p w14:paraId="367D4FC4">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项目采用雨污分流制。雨水由厂区雨水管收集后外排；</w:t>
                  </w:r>
                  <w:r>
                    <w:rPr>
                      <w:rFonts w:hint="default" w:ascii="Times New Roman" w:hAnsi="Times New Roman" w:cs="Times New Roman"/>
                      <w:b w:val="0"/>
                      <w:bCs/>
                      <w:color w:val="auto"/>
                      <w:lang w:val="en-US" w:eastAsia="zh-CN"/>
                    </w:rPr>
                    <w:t>生活污水经化粪池预处理后满足青阳县污水处理厂接管限值（未作规定的执行《污水综合排放标准》（GB8978-1996）表4中三级标准）与空压系统冷凝水经厂区污水总排口排入市政污水管网排入青阳县污水处理厂深度处理。</w:t>
                  </w:r>
                </w:p>
              </w:tc>
              <w:tc>
                <w:tcPr>
                  <w:tcW w:w="384" w:type="pct"/>
                  <w:tcBorders>
                    <w:tl2br w:val="nil"/>
                    <w:tr2bl w:val="nil"/>
                  </w:tcBorders>
                  <w:noWrap w:val="0"/>
                  <w:vAlign w:val="center"/>
                </w:tcPr>
                <w:p w14:paraId="75A136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eastAsia="zh-CN"/>
                    </w:rPr>
                  </w:pPr>
                  <w:r>
                    <w:rPr>
                      <w:rFonts w:hint="default" w:ascii="Times New Roman" w:hAnsi="Times New Roman" w:cs="Times New Roman"/>
                      <w:b w:val="0"/>
                      <w:bCs/>
                      <w:color w:val="auto"/>
                      <w:lang w:val="en-US" w:eastAsia="zh-CN"/>
                    </w:rPr>
                    <w:t>依托</w:t>
                  </w:r>
                </w:p>
              </w:tc>
            </w:tr>
            <w:tr w14:paraId="363B8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pct"/>
                  <w:vMerge w:val="continue"/>
                  <w:tcBorders>
                    <w:tl2br w:val="nil"/>
                    <w:tr2bl w:val="nil"/>
                  </w:tcBorders>
                  <w:noWrap w:val="0"/>
                  <w:vAlign w:val="center"/>
                </w:tcPr>
                <w:p w14:paraId="38306A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154F224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供电工程</w:t>
                  </w:r>
                </w:p>
              </w:tc>
              <w:tc>
                <w:tcPr>
                  <w:tcW w:w="3294" w:type="pct"/>
                  <w:tcBorders>
                    <w:tl2br w:val="nil"/>
                    <w:tr2bl w:val="nil"/>
                  </w:tcBorders>
                  <w:noWrap w:val="0"/>
                  <w:vAlign w:val="center"/>
                </w:tcPr>
                <w:p w14:paraId="5C0B6EE9">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lang w:eastAsia="zh-CN"/>
                    </w:rPr>
                  </w:pPr>
                  <w:r>
                    <w:rPr>
                      <w:rFonts w:hint="default" w:ascii="Times New Roman" w:hAnsi="Times New Roman" w:cs="Times New Roman"/>
                      <w:b w:val="0"/>
                      <w:bCs/>
                      <w:color w:val="auto"/>
                    </w:rPr>
                    <w:t>依托区域市政供电系统，由市政电网供给，年耗电</w:t>
                  </w:r>
                  <w:r>
                    <w:rPr>
                      <w:rFonts w:hint="default" w:ascii="Times New Roman" w:hAnsi="Times New Roman" w:cs="Times New Roman"/>
                      <w:b w:val="0"/>
                      <w:bCs/>
                      <w:color w:val="auto"/>
                      <w:lang w:eastAsia="zh-CN"/>
                    </w:rPr>
                    <w:t>100万kW</w:t>
                  </w:r>
                  <w:r>
                    <w:rPr>
                      <w:rFonts w:hint="default" w:ascii="Times New Roman" w:hAnsi="Times New Roman" w:cs="Times New Roman"/>
                      <w:b w:val="0"/>
                      <w:bCs/>
                      <w:color w:val="auto"/>
                      <w:lang w:val="en-US" w:eastAsia="zh-CN"/>
                    </w:rPr>
                    <w:t xml:space="preserve"> </w:t>
                  </w:r>
                  <w:r>
                    <w:rPr>
                      <w:rFonts w:hint="default" w:ascii="Times New Roman" w:hAnsi="Times New Roman" w:cs="Times New Roman"/>
                      <w:b w:val="0"/>
                      <w:bCs/>
                      <w:color w:val="auto"/>
                      <w:lang w:eastAsia="zh-CN"/>
                    </w:rPr>
                    <w:t>h。</w:t>
                  </w:r>
                </w:p>
              </w:tc>
              <w:tc>
                <w:tcPr>
                  <w:tcW w:w="384" w:type="pct"/>
                  <w:tcBorders>
                    <w:tl2br w:val="nil"/>
                    <w:tr2bl w:val="nil"/>
                  </w:tcBorders>
                  <w:noWrap w:val="0"/>
                  <w:vAlign w:val="center"/>
                </w:tcPr>
                <w:p w14:paraId="04B3E3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新建</w:t>
                  </w:r>
                </w:p>
              </w:tc>
            </w:tr>
            <w:tr w14:paraId="6E806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restart"/>
                  <w:tcBorders>
                    <w:tl2br w:val="nil"/>
                    <w:tr2bl w:val="nil"/>
                  </w:tcBorders>
                  <w:noWrap w:val="0"/>
                  <w:vAlign w:val="center"/>
                </w:tcPr>
                <w:p w14:paraId="0ACEDB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环保</w:t>
                  </w:r>
                </w:p>
                <w:p w14:paraId="570A760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工程</w:t>
                  </w:r>
                </w:p>
              </w:tc>
              <w:tc>
                <w:tcPr>
                  <w:tcW w:w="897" w:type="pct"/>
                  <w:gridSpan w:val="3"/>
                  <w:tcBorders>
                    <w:tl2br w:val="nil"/>
                    <w:tr2bl w:val="nil"/>
                  </w:tcBorders>
                  <w:noWrap w:val="0"/>
                  <w:vAlign w:val="center"/>
                </w:tcPr>
                <w:p w14:paraId="0DD3A0E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废水治理</w:t>
                  </w:r>
                </w:p>
              </w:tc>
              <w:tc>
                <w:tcPr>
                  <w:tcW w:w="3294" w:type="pct"/>
                  <w:tcBorders>
                    <w:tl2br w:val="nil"/>
                    <w:tr2bl w:val="nil"/>
                  </w:tcBorders>
                  <w:noWrap w:val="0"/>
                  <w:vAlign w:val="center"/>
                </w:tcPr>
                <w:p w14:paraId="3D72A0CF">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b w:val="0"/>
                      <w:bCs/>
                      <w:color w:val="auto"/>
                      <w:lang w:val="zh-CN" w:eastAsia="zh-CN"/>
                    </w:rPr>
                  </w:pPr>
                  <w:r>
                    <w:rPr>
                      <w:rFonts w:hint="default" w:ascii="Times New Roman" w:hAnsi="Times New Roman" w:cs="Times New Roman"/>
                      <w:b w:val="0"/>
                      <w:bCs/>
                      <w:color w:val="auto"/>
                      <w:lang w:val="en-US" w:eastAsia="zh-CN"/>
                    </w:rPr>
                    <w:t>本项目运营期主要为空压系统冷凝水和生活污水，生活污水经化粪池预处理后满足青阳县污水处理厂接管限值（未作规定的执行《污水综合排放标准》（GB8978-1996）表4中三级标准）与空压系统冷凝水经厂区污水总排口排入市政污水管网排入青阳县污水处理厂深度处理，尾水最终排入青通河。</w:t>
                  </w:r>
                </w:p>
              </w:tc>
              <w:tc>
                <w:tcPr>
                  <w:tcW w:w="384" w:type="pct"/>
                  <w:tcBorders>
                    <w:tl2br w:val="nil"/>
                    <w:tr2bl w:val="nil"/>
                  </w:tcBorders>
                  <w:noWrap w:val="0"/>
                  <w:vAlign w:val="center"/>
                </w:tcPr>
                <w:p w14:paraId="49FDF3A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新建</w:t>
                  </w:r>
                </w:p>
              </w:tc>
            </w:tr>
            <w:tr w14:paraId="67DBC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7" w:hRule="atLeast"/>
                <w:jc w:val="center"/>
              </w:trPr>
              <w:tc>
                <w:tcPr>
                  <w:tcW w:w="423" w:type="pct"/>
                  <w:vMerge w:val="continue"/>
                  <w:tcBorders>
                    <w:tl2br w:val="nil"/>
                    <w:tr2bl w:val="nil"/>
                  </w:tcBorders>
                  <w:noWrap w:val="0"/>
                  <w:vAlign w:val="center"/>
                </w:tcPr>
                <w:p w14:paraId="1E722D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3DD60B8B">
                  <w:pPr>
                    <w:pStyle w:val="37"/>
                    <w:keepNext w:val="0"/>
                    <w:keepLines w:val="0"/>
                    <w:pageBreakBefore w:val="0"/>
                    <w:widowControl w:val="0"/>
                    <w:kinsoku/>
                    <w:wordWrap/>
                    <w:overflowPunct w:val="0"/>
                    <w:topLinePunct/>
                    <w:autoSpaceDE w:val="0"/>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废气治理</w:t>
                  </w:r>
                </w:p>
              </w:tc>
              <w:tc>
                <w:tcPr>
                  <w:tcW w:w="3294" w:type="pct"/>
                  <w:tcBorders>
                    <w:tl2br w:val="nil"/>
                    <w:tr2bl w:val="nil"/>
                  </w:tcBorders>
                  <w:noWrap w:val="0"/>
                  <w:vAlign w:val="center"/>
                </w:tcPr>
                <w:p w14:paraId="0BE493E5">
                  <w:pPr>
                    <w:pStyle w:val="37"/>
                    <w:keepNext w:val="0"/>
                    <w:keepLines w:val="0"/>
                    <w:pageBreakBefore w:val="0"/>
                    <w:widowControl w:val="0"/>
                    <w:kinsoku/>
                    <w:wordWrap/>
                    <w:overflowPunct w:val="0"/>
                    <w:topLinePunct/>
                    <w:autoSpaceDE w:val="0"/>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①激光切割粉尘通过下吸式集气罩收集后经一套布袋除尘器处理后由一根不低于15m排气筒（DA001）排放；</w:t>
                  </w:r>
                </w:p>
                <w:p w14:paraId="53E56E0B">
                  <w:pPr>
                    <w:pStyle w:val="37"/>
                    <w:keepNext w:val="0"/>
                    <w:keepLines w:val="0"/>
                    <w:pageBreakBefore w:val="0"/>
                    <w:widowControl w:val="0"/>
                    <w:kinsoku/>
                    <w:wordWrap/>
                    <w:overflowPunct w:val="0"/>
                    <w:topLinePunct/>
                    <w:autoSpaceDE w:val="0"/>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②锯床下料切割废气</w:t>
                  </w:r>
                  <w:r>
                    <w:rPr>
                      <w:rFonts w:hint="eastAsia" w:ascii="Times New Roman" w:hAnsi="Times New Roman" w:cs="Times New Roman"/>
                      <w:b w:val="0"/>
                      <w:bCs/>
                      <w:color w:val="auto"/>
                      <w:lang w:val="en-US" w:eastAsia="zh-CN"/>
                    </w:rPr>
                    <w:t>通过移动式袋式除尘器收集处理后通过</w:t>
                  </w:r>
                  <w:r>
                    <w:rPr>
                      <w:rFonts w:hint="default" w:ascii="Times New Roman" w:hAnsi="Times New Roman" w:cs="Times New Roman"/>
                      <w:b w:val="0"/>
                      <w:bCs/>
                      <w:color w:val="auto"/>
                      <w:lang w:val="en-US" w:eastAsia="zh-CN"/>
                    </w:rPr>
                    <w:t>车间无组织排放；</w:t>
                  </w:r>
                </w:p>
                <w:p w14:paraId="79E614D1">
                  <w:pPr>
                    <w:pStyle w:val="37"/>
                    <w:keepNext w:val="0"/>
                    <w:keepLines w:val="0"/>
                    <w:pageBreakBefore w:val="0"/>
                    <w:widowControl w:val="0"/>
                    <w:kinsoku/>
                    <w:wordWrap/>
                    <w:overflowPunct w:val="0"/>
                    <w:topLinePunct/>
                    <w:autoSpaceDE w:val="0"/>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③焊接产生的颗粒物经移动式烟尘净化器处理后通过车间无组织排放；</w:t>
                  </w:r>
                </w:p>
                <w:p w14:paraId="762879BF">
                  <w:pPr>
                    <w:pStyle w:val="37"/>
                    <w:keepNext w:val="0"/>
                    <w:keepLines w:val="0"/>
                    <w:pageBreakBefore w:val="0"/>
                    <w:widowControl w:val="0"/>
                    <w:kinsoku/>
                    <w:wordWrap/>
                    <w:overflowPunct w:val="0"/>
                    <w:topLinePunct/>
                    <w:autoSpaceDE w:val="0"/>
                    <w:autoSpaceDN/>
                    <w:bidi w:val="0"/>
                    <w:adjustRightInd w:val="0"/>
                    <w:snapToGrid w:val="0"/>
                    <w:spacing w:after="0"/>
                    <w:jc w:val="both"/>
                    <w:textAlignment w:val="auto"/>
                    <w:rPr>
                      <w:rFonts w:hint="eastAsia"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④喷漆产生的颗粒物（漆雾）和有机废气粉尘经喷漆房密闭负压收集</w:t>
                  </w:r>
                  <w:r>
                    <w:rPr>
                      <w:rFonts w:hint="eastAsia" w:ascii="Times New Roman" w:hAnsi="Times New Roman" w:cs="Times New Roman"/>
                      <w:b w:val="0"/>
                      <w:bCs/>
                      <w:color w:val="auto"/>
                      <w:lang w:val="en-US" w:eastAsia="zh-CN"/>
                    </w:rPr>
                    <w:t>先经干式漆雾过滤器</w:t>
                  </w:r>
                  <w:r>
                    <w:rPr>
                      <w:rFonts w:hint="default" w:ascii="Times New Roman" w:hAnsi="Times New Roman" w:cs="Times New Roman"/>
                      <w:b w:val="0"/>
                      <w:bCs/>
                      <w:color w:val="auto"/>
                      <w:lang w:val="en-US" w:eastAsia="zh-CN"/>
                    </w:rPr>
                    <w:t>处理再经两级活性炭吸附装置处理后由一根不低于15m排气筒（DA002）排放</w:t>
                  </w:r>
                  <w:r>
                    <w:rPr>
                      <w:rFonts w:hint="eastAsia" w:ascii="Times New Roman" w:hAnsi="Times New Roman" w:cs="Times New Roman"/>
                      <w:b w:val="0"/>
                      <w:bCs/>
                      <w:color w:val="auto"/>
                      <w:lang w:val="en-US" w:eastAsia="zh-CN"/>
                    </w:rPr>
                    <w:t>；</w:t>
                  </w:r>
                </w:p>
                <w:p w14:paraId="0225F8A2">
                  <w:pPr>
                    <w:pStyle w:val="37"/>
                    <w:keepNext w:val="0"/>
                    <w:keepLines w:val="0"/>
                    <w:pageBreakBefore w:val="0"/>
                    <w:widowControl w:val="0"/>
                    <w:kinsoku/>
                    <w:wordWrap/>
                    <w:overflowPunct w:val="0"/>
                    <w:topLinePunct/>
                    <w:autoSpaceDE w:val="0"/>
                    <w:autoSpaceDN/>
                    <w:bidi w:val="0"/>
                    <w:adjustRightInd w:val="0"/>
                    <w:snapToGrid w:val="0"/>
                    <w:spacing w:after="0"/>
                    <w:jc w:val="both"/>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⑤</w:t>
                  </w:r>
                  <w:r>
                    <w:rPr>
                      <w:rFonts w:hint="default" w:ascii="Times New Roman" w:hAnsi="Times New Roman" w:cs="Times New Roman"/>
                      <w:b w:val="0"/>
                      <w:bCs/>
                      <w:color w:val="auto"/>
                      <w:lang w:val="en-US" w:eastAsia="zh-CN"/>
                    </w:rPr>
                    <w:t>晾干产生的有机废气经</w:t>
                  </w:r>
                  <w:r>
                    <w:rPr>
                      <w:rFonts w:hint="eastAsia" w:ascii="Times New Roman" w:hAnsi="Times New Roman" w:cs="Times New Roman"/>
                      <w:b w:val="0"/>
                      <w:bCs/>
                      <w:color w:val="auto"/>
                      <w:lang w:val="en-US" w:eastAsia="zh-CN"/>
                    </w:rPr>
                    <w:t>晾干</w:t>
                  </w:r>
                  <w:r>
                    <w:rPr>
                      <w:rFonts w:hint="default" w:ascii="Times New Roman" w:hAnsi="Times New Roman" w:cs="Times New Roman"/>
                      <w:b w:val="0"/>
                      <w:bCs/>
                      <w:color w:val="auto"/>
                      <w:lang w:val="en-US" w:eastAsia="zh-CN"/>
                    </w:rPr>
                    <w:t>房密闭负压收集</w:t>
                  </w:r>
                  <w:r>
                    <w:rPr>
                      <w:rFonts w:hint="eastAsia" w:ascii="Times New Roman" w:hAnsi="Times New Roman" w:cs="Times New Roman"/>
                      <w:b w:val="0"/>
                      <w:bCs/>
                      <w:color w:val="auto"/>
                      <w:lang w:val="en-US" w:eastAsia="zh-CN"/>
                    </w:rPr>
                    <w:t>后与喷漆废气合并进入</w:t>
                  </w:r>
                  <w:r>
                    <w:rPr>
                      <w:rFonts w:hint="default" w:ascii="Times New Roman" w:hAnsi="Times New Roman" w:cs="Times New Roman"/>
                      <w:b w:val="0"/>
                      <w:bCs/>
                      <w:color w:val="auto"/>
                      <w:lang w:val="en-US" w:eastAsia="zh-CN"/>
                    </w:rPr>
                    <w:t>两级活性炭吸附装置处理后由一根不低于15m排气筒（DA002）排放。</w:t>
                  </w:r>
                </w:p>
              </w:tc>
              <w:tc>
                <w:tcPr>
                  <w:tcW w:w="384" w:type="pct"/>
                  <w:tcBorders>
                    <w:tl2br w:val="nil"/>
                    <w:tr2bl w:val="nil"/>
                  </w:tcBorders>
                  <w:noWrap w:val="0"/>
                  <w:vAlign w:val="center"/>
                </w:tcPr>
                <w:p w14:paraId="4F9A598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新建</w:t>
                  </w:r>
                </w:p>
              </w:tc>
            </w:tr>
            <w:tr w14:paraId="204C6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continue"/>
                  <w:tcBorders>
                    <w:tl2br w:val="nil"/>
                    <w:tr2bl w:val="nil"/>
                  </w:tcBorders>
                  <w:noWrap w:val="0"/>
                  <w:vAlign w:val="center"/>
                </w:tcPr>
                <w:p w14:paraId="4976E9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14BFED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噪声治理</w:t>
                  </w:r>
                </w:p>
              </w:tc>
              <w:tc>
                <w:tcPr>
                  <w:tcW w:w="3294" w:type="pct"/>
                  <w:tcBorders>
                    <w:tl2br w:val="nil"/>
                    <w:tr2bl w:val="nil"/>
                  </w:tcBorders>
                  <w:noWrap w:val="0"/>
                  <w:vAlign w:val="center"/>
                </w:tcPr>
                <w:p w14:paraId="39BF7285">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选择低噪声设备，减振、隔声，确保厂界达标。</w:t>
                  </w:r>
                </w:p>
              </w:tc>
              <w:tc>
                <w:tcPr>
                  <w:tcW w:w="384" w:type="pct"/>
                  <w:tcBorders>
                    <w:tl2br w:val="nil"/>
                    <w:tr2bl w:val="nil"/>
                  </w:tcBorders>
                  <w:noWrap w:val="0"/>
                  <w:vAlign w:val="center"/>
                </w:tcPr>
                <w:p w14:paraId="40187C5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新建</w:t>
                  </w:r>
                </w:p>
              </w:tc>
            </w:tr>
            <w:tr w14:paraId="2ED5B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pct"/>
                  <w:vMerge w:val="continue"/>
                  <w:tcBorders>
                    <w:tl2br w:val="nil"/>
                    <w:tr2bl w:val="nil"/>
                  </w:tcBorders>
                  <w:noWrap w:val="0"/>
                  <w:vAlign w:val="center"/>
                </w:tcPr>
                <w:p w14:paraId="463FED1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429" w:type="pct"/>
                  <w:vMerge w:val="restart"/>
                  <w:tcBorders>
                    <w:tl2br w:val="nil"/>
                    <w:tr2bl w:val="nil"/>
                  </w:tcBorders>
                  <w:noWrap w:val="0"/>
                  <w:vAlign w:val="center"/>
                </w:tcPr>
                <w:p w14:paraId="4FE6F48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固废处置</w:t>
                  </w:r>
                </w:p>
              </w:tc>
              <w:tc>
                <w:tcPr>
                  <w:tcW w:w="468" w:type="pct"/>
                  <w:gridSpan w:val="2"/>
                  <w:tcBorders>
                    <w:tl2br w:val="nil"/>
                    <w:tr2bl w:val="nil"/>
                  </w:tcBorders>
                  <w:noWrap w:val="0"/>
                  <w:vAlign w:val="center"/>
                </w:tcPr>
                <w:p w14:paraId="72D44E1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sz w:val="21"/>
                      <w:szCs w:val="21"/>
                      <w:lang w:val="en-US" w:eastAsia="zh-CN"/>
                    </w:rPr>
                    <w:t>一般固废</w:t>
                  </w:r>
                </w:p>
              </w:tc>
              <w:tc>
                <w:tcPr>
                  <w:tcW w:w="3294" w:type="pct"/>
                  <w:tcBorders>
                    <w:tl2br w:val="nil"/>
                    <w:tr2bl w:val="nil"/>
                  </w:tcBorders>
                  <w:noWrap w:val="0"/>
                  <w:vAlign w:val="center"/>
                </w:tcPr>
                <w:p w14:paraId="394D9426">
                  <w:pPr>
                    <w:pStyle w:val="37"/>
                    <w:keepNext w:val="0"/>
                    <w:keepLines w:val="0"/>
                    <w:pageBreakBefore w:val="0"/>
                    <w:widowControl w:val="0"/>
                    <w:kinsoku/>
                    <w:wordWrap/>
                    <w:overflowPunct/>
                    <w:topLinePunct w:val="0"/>
                    <w:autoSpaceDE/>
                    <w:autoSpaceDN/>
                    <w:bidi w:val="0"/>
                    <w:adjustRightInd w:val="0"/>
                    <w:snapToGrid w:val="0"/>
                    <w:spacing w:after="0"/>
                    <w:jc w:val="both"/>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设置生活垃圾桶若干，并委托园区环卫部门集中处置；</w:t>
                  </w:r>
                </w:p>
                <w:p w14:paraId="56AE791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both"/>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sz w:val="21"/>
                      <w:szCs w:val="21"/>
                    </w:rPr>
                    <w:t>一般固废库布置在厂房内</w:t>
                  </w:r>
                  <w:r>
                    <w:rPr>
                      <w:rFonts w:hint="default" w:ascii="Times New Roman" w:hAnsi="Times New Roman" w:cs="Times New Roman"/>
                      <w:b w:val="0"/>
                      <w:bCs/>
                      <w:color w:val="auto"/>
                      <w:sz w:val="21"/>
                      <w:szCs w:val="21"/>
                      <w:lang w:val="en-US" w:eastAsia="zh-CN"/>
                    </w:rPr>
                    <w:t>东南</w:t>
                  </w:r>
                  <w:r>
                    <w:rPr>
                      <w:rFonts w:hint="default" w:ascii="Times New Roman" w:hAnsi="Times New Roman" w:cs="Times New Roman"/>
                      <w:b w:val="0"/>
                      <w:bCs/>
                      <w:color w:val="auto"/>
                      <w:sz w:val="21"/>
                      <w:szCs w:val="21"/>
                    </w:rPr>
                    <w:t>侧，占地面积为</w:t>
                  </w:r>
                  <w:r>
                    <w:rPr>
                      <w:rFonts w:hint="default" w:ascii="Times New Roman" w:hAnsi="Times New Roman" w:cs="Times New Roman"/>
                      <w:b w:val="0"/>
                      <w:bCs/>
                      <w:color w:val="auto"/>
                      <w:sz w:val="21"/>
                      <w:szCs w:val="21"/>
                      <w:lang w:val="en-US" w:eastAsia="zh-CN"/>
                    </w:rPr>
                    <w:t>20</w:t>
                  </w:r>
                  <w:r>
                    <w:rPr>
                      <w:rFonts w:hint="default" w:ascii="Times New Roman" w:hAnsi="Times New Roman" w:cs="Times New Roman"/>
                      <w:b w:val="0"/>
                      <w:bCs/>
                      <w:color w:val="auto"/>
                      <w:sz w:val="21"/>
                      <w:szCs w:val="21"/>
                    </w:rPr>
                    <w:t>m</w:t>
                  </w:r>
                  <w:r>
                    <w:rPr>
                      <w:rFonts w:hint="default" w:ascii="Times New Roman" w:hAnsi="Times New Roman" w:cs="Times New Roman"/>
                      <w:b w:val="0"/>
                      <w:bCs/>
                      <w:color w:val="auto"/>
                      <w:sz w:val="21"/>
                      <w:szCs w:val="21"/>
                      <w:vertAlign w:val="superscript"/>
                    </w:rPr>
                    <w:t>2</w:t>
                  </w:r>
                  <w:r>
                    <w:rPr>
                      <w:rFonts w:hint="default" w:ascii="Times New Roman" w:hAnsi="Times New Roman" w:cs="Times New Roman"/>
                      <w:b w:val="0"/>
                      <w:bCs/>
                      <w:color w:val="auto"/>
                      <w:sz w:val="21"/>
                      <w:szCs w:val="21"/>
                    </w:rPr>
                    <w:t>，</w:t>
                  </w:r>
                  <w:r>
                    <w:rPr>
                      <w:rFonts w:hint="default" w:ascii="Times New Roman" w:hAnsi="Times New Roman" w:cs="Times New Roman"/>
                      <w:b w:val="0"/>
                      <w:bCs/>
                      <w:color w:val="auto"/>
                      <w:sz w:val="21"/>
                      <w:szCs w:val="21"/>
                      <w:lang w:val="en-US" w:eastAsia="zh-CN"/>
                    </w:rPr>
                    <w:t>用于暂存废包材、沉降金属碎屑、过滤金属碎屑、焊渣、布袋除尘器收集粉尘（激光切割、锯床切割）、废布袋</w:t>
                  </w:r>
                  <w:r>
                    <w:rPr>
                      <w:rFonts w:hint="default" w:ascii="Times New Roman" w:hAnsi="Times New Roman" w:cs="Times New Roman"/>
                      <w:b w:val="0"/>
                      <w:bCs/>
                      <w:color w:val="auto"/>
                      <w:sz w:val="21"/>
                      <w:szCs w:val="21"/>
                      <w:lang w:eastAsia="zh-CN"/>
                    </w:rPr>
                    <w:t>；</w:t>
                  </w:r>
                  <w:r>
                    <w:rPr>
                      <w:rFonts w:hint="default" w:ascii="Times New Roman" w:hAnsi="Times New Roman" w:cs="Times New Roman"/>
                      <w:b w:val="0"/>
                      <w:bCs/>
                      <w:color w:val="auto"/>
                      <w:sz w:val="21"/>
                      <w:szCs w:val="21"/>
                      <w:lang w:val="en-US" w:eastAsia="zh-CN"/>
                    </w:rPr>
                    <w:t>边角料堆放区位于厂房西侧，占地80m</w:t>
                  </w:r>
                  <w:r>
                    <w:rPr>
                      <w:rFonts w:hint="default" w:ascii="Times New Roman" w:hAnsi="Times New Roman" w:cs="Times New Roman"/>
                      <w:b w:val="0"/>
                      <w:bCs/>
                      <w:color w:val="auto"/>
                      <w:sz w:val="21"/>
                      <w:szCs w:val="21"/>
                      <w:vertAlign w:val="superscript"/>
                      <w:lang w:val="en-US" w:eastAsia="zh-CN"/>
                    </w:rPr>
                    <w:t>2</w:t>
                  </w:r>
                  <w:r>
                    <w:rPr>
                      <w:rFonts w:hint="default" w:ascii="Times New Roman" w:hAnsi="Times New Roman" w:cs="Times New Roman"/>
                      <w:b w:val="0"/>
                      <w:bCs/>
                      <w:color w:val="auto"/>
                      <w:sz w:val="21"/>
                      <w:szCs w:val="21"/>
                      <w:lang w:val="en-US" w:eastAsia="zh-CN"/>
                    </w:rPr>
                    <w:t>，用于暂存切割、冲孔等工序边角料；废气瓶暂存于厂区东侧储气瓶区，占地48m</w:t>
                  </w:r>
                  <w:r>
                    <w:rPr>
                      <w:rFonts w:hint="default" w:ascii="Times New Roman" w:hAnsi="Times New Roman" w:cs="Times New Roman"/>
                      <w:b w:val="0"/>
                      <w:bCs/>
                      <w:color w:val="auto"/>
                      <w:sz w:val="21"/>
                      <w:szCs w:val="21"/>
                      <w:vertAlign w:val="superscript"/>
                      <w:lang w:val="en-US" w:eastAsia="zh-CN"/>
                    </w:rPr>
                    <w:t>2</w:t>
                  </w:r>
                  <w:r>
                    <w:rPr>
                      <w:rFonts w:hint="default" w:ascii="Times New Roman" w:hAnsi="Times New Roman" w:cs="Times New Roman"/>
                      <w:b w:val="0"/>
                      <w:bCs/>
                      <w:color w:val="auto"/>
                      <w:sz w:val="21"/>
                      <w:szCs w:val="21"/>
                      <w:lang w:val="en-US" w:eastAsia="zh-CN"/>
                    </w:rPr>
                    <w:t>，交由厂家定期回收。</w:t>
                  </w:r>
                </w:p>
              </w:tc>
              <w:tc>
                <w:tcPr>
                  <w:tcW w:w="384" w:type="pct"/>
                  <w:tcBorders>
                    <w:tl2br w:val="nil"/>
                    <w:tr2bl w:val="nil"/>
                  </w:tcBorders>
                  <w:noWrap w:val="0"/>
                  <w:vAlign w:val="center"/>
                </w:tcPr>
                <w:p w14:paraId="51705BD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新建</w:t>
                  </w:r>
                </w:p>
              </w:tc>
            </w:tr>
            <w:tr w14:paraId="05F39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continue"/>
                  <w:tcBorders>
                    <w:tl2br w:val="nil"/>
                    <w:tr2bl w:val="nil"/>
                  </w:tcBorders>
                  <w:noWrap w:val="0"/>
                  <w:vAlign w:val="center"/>
                </w:tcPr>
                <w:p w14:paraId="5CDE143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429" w:type="pct"/>
                  <w:vMerge w:val="continue"/>
                  <w:tcBorders>
                    <w:tl2br w:val="nil"/>
                    <w:tr2bl w:val="nil"/>
                  </w:tcBorders>
                  <w:noWrap w:val="0"/>
                  <w:vAlign w:val="center"/>
                </w:tcPr>
                <w:p w14:paraId="283442B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468" w:type="pct"/>
                  <w:gridSpan w:val="2"/>
                  <w:tcBorders>
                    <w:tl2br w:val="nil"/>
                    <w:tr2bl w:val="nil"/>
                  </w:tcBorders>
                  <w:noWrap w:val="0"/>
                  <w:vAlign w:val="center"/>
                </w:tcPr>
                <w:p w14:paraId="7D0A55C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sz w:val="21"/>
                      <w:szCs w:val="21"/>
                      <w:lang w:val="en-US" w:eastAsia="zh-CN"/>
                    </w:rPr>
                    <w:t>危险废物</w:t>
                  </w:r>
                </w:p>
              </w:tc>
              <w:tc>
                <w:tcPr>
                  <w:tcW w:w="3294" w:type="pct"/>
                  <w:tcBorders>
                    <w:tl2br w:val="nil"/>
                    <w:tr2bl w:val="nil"/>
                  </w:tcBorders>
                  <w:noWrap w:val="0"/>
                  <w:vAlign w:val="center"/>
                </w:tcPr>
                <w:p w14:paraId="76569C2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both"/>
                    <w:textAlignment w:val="auto"/>
                    <w:rPr>
                      <w:rFonts w:hint="default" w:ascii="Times New Roman" w:hAnsi="Times New Roman" w:cs="Times New Roman"/>
                      <w:b w:val="0"/>
                      <w:bCs/>
                      <w:color w:val="auto"/>
                    </w:rPr>
                  </w:pPr>
                  <w:r>
                    <w:rPr>
                      <w:rFonts w:hint="default" w:ascii="Times New Roman" w:hAnsi="Times New Roman" w:cs="Times New Roman"/>
                      <w:b w:val="0"/>
                      <w:bCs/>
                      <w:color w:val="auto"/>
                      <w:sz w:val="21"/>
                      <w:szCs w:val="21"/>
                    </w:rPr>
                    <w:t>危废库布置在</w:t>
                  </w:r>
                  <w:r>
                    <w:rPr>
                      <w:rFonts w:hint="default" w:ascii="Times New Roman" w:hAnsi="Times New Roman" w:cs="Times New Roman"/>
                      <w:b w:val="0"/>
                      <w:bCs/>
                      <w:color w:val="auto"/>
                      <w:sz w:val="21"/>
                      <w:szCs w:val="21"/>
                      <w:lang w:val="en-US" w:eastAsia="zh-CN"/>
                    </w:rPr>
                    <w:t>厂房</w:t>
                  </w:r>
                  <w:r>
                    <w:rPr>
                      <w:rFonts w:hint="default" w:ascii="Times New Roman" w:hAnsi="Times New Roman" w:cs="Times New Roman"/>
                      <w:b w:val="0"/>
                      <w:bCs/>
                      <w:color w:val="auto"/>
                      <w:sz w:val="21"/>
                      <w:szCs w:val="21"/>
                    </w:rPr>
                    <w:t>内</w:t>
                  </w:r>
                  <w:r>
                    <w:rPr>
                      <w:rFonts w:hint="default" w:ascii="Times New Roman" w:hAnsi="Times New Roman" w:cs="Times New Roman"/>
                      <w:b w:val="0"/>
                      <w:bCs/>
                      <w:color w:val="auto"/>
                      <w:sz w:val="21"/>
                      <w:szCs w:val="21"/>
                      <w:lang w:eastAsia="zh-CN"/>
                    </w:rPr>
                    <w:t>西</w:t>
                  </w:r>
                  <w:r>
                    <w:rPr>
                      <w:rFonts w:hint="default" w:ascii="Times New Roman" w:hAnsi="Times New Roman" w:cs="Times New Roman"/>
                      <w:b w:val="0"/>
                      <w:bCs/>
                      <w:color w:val="auto"/>
                      <w:sz w:val="21"/>
                      <w:szCs w:val="21"/>
                      <w:lang w:val="en-US" w:eastAsia="zh-CN"/>
                    </w:rPr>
                    <w:t>南</w:t>
                  </w:r>
                  <w:r>
                    <w:rPr>
                      <w:rFonts w:hint="default" w:ascii="Times New Roman" w:hAnsi="Times New Roman" w:cs="Times New Roman"/>
                      <w:b w:val="0"/>
                      <w:bCs/>
                      <w:color w:val="auto"/>
                      <w:sz w:val="21"/>
                      <w:szCs w:val="21"/>
                    </w:rPr>
                    <w:t>侧，占地面积</w:t>
                  </w:r>
                  <w:r>
                    <w:rPr>
                      <w:rFonts w:hint="default" w:ascii="Times New Roman" w:hAnsi="Times New Roman" w:cs="Times New Roman"/>
                      <w:b w:val="0"/>
                      <w:bCs/>
                      <w:color w:val="auto"/>
                      <w:sz w:val="21"/>
                      <w:szCs w:val="21"/>
                      <w:lang w:val="en-US" w:eastAsia="zh-CN"/>
                    </w:rPr>
                    <w:t>10</w:t>
                  </w:r>
                  <w:r>
                    <w:rPr>
                      <w:rFonts w:hint="default" w:ascii="Times New Roman" w:hAnsi="Times New Roman" w:cs="Times New Roman"/>
                      <w:b w:val="0"/>
                      <w:bCs/>
                      <w:color w:val="auto"/>
                      <w:sz w:val="21"/>
                      <w:szCs w:val="21"/>
                    </w:rPr>
                    <w:t>m</w:t>
                  </w:r>
                  <w:r>
                    <w:rPr>
                      <w:rFonts w:hint="default" w:ascii="Times New Roman" w:hAnsi="Times New Roman" w:cs="Times New Roman"/>
                      <w:b w:val="0"/>
                      <w:bCs/>
                      <w:color w:val="auto"/>
                      <w:sz w:val="21"/>
                      <w:szCs w:val="21"/>
                      <w:vertAlign w:val="superscript"/>
                    </w:rPr>
                    <w:t>2</w:t>
                  </w:r>
                  <w:r>
                    <w:rPr>
                      <w:rFonts w:hint="default" w:ascii="Times New Roman" w:hAnsi="Times New Roman" w:cs="Times New Roman"/>
                      <w:b w:val="0"/>
                      <w:bCs/>
                      <w:color w:val="auto"/>
                      <w:sz w:val="21"/>
                      <w:szCs w:val="21"/>
                    </w:rPr>
                    <w:t>，危废交由</w:t>
                  </w:r>
                  <w:r>
                    <w:rPr>
                      <w:rFonts w:hint="default" w:ascii="Times New Roman" w:hAnsi="Times New Roman" w:cs="Times New Roman"/>
                      <w:b w:val="0"/>
                      <w:bCs/>
                      <w:color w:val="auto"/>
                      <w:sz w:val="21"/>
                      <w:szCs w:val="21"/>
                      <w:lang w:eastAsia="zh-CN"/>
                    </w:rPr>
                    <w:t>有</w:t>
                  </w:r>
                  <w:r>
                    <w:rPr>
                      <w:rFonts w:hint="default" w:ascii="Times New Roman" w:hAnsi="Times New Roman" w:cs="Times New Roman"/>
                      <w:b w:val="0"/>
                      <w:bCs/>
                      <w:color w:val="auto"/>
                      <w:sz w:val="21"/>
                      <w:szCs w:val="21"/>
                    </w:rPr>
                    <w:t>资质单位处置。</w:t>
                  </w:r>
                </w:p>
              </w:tc>
              <w:tc>
                <w:tcPr>
                  <w:tcW w:w="384" w:type="pct"/>
                  <w:tcBorders>
                    <w:tl2br w:val="nil"/>
                    <w:tr2bl w:val="nil"/>
                  </w:tcBorders>
                  <w:noWrap w:val="0"/>
                  <w:vAlign w:val="center"/>
                </w:tcPr>
                <w:p w14:paraId="3F22B1E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新建</w:t>
                  </w:r>
                </w:p>
              </w:tc>
            </w:tr>
            <w:tr w14:paraId="7978F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continue"/>
                  <w:tcBorders>
                    <w:tl2br w:val="nil"/>
                    <w:tr2bl w:val="nil"/>
                  </w:tcBorders>
                  <w:noWrap w:val="0"/>
                  <w:vAlign w:val="center"/>
                </w:tcPr>
                <w:p w14:paraId="4884D4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5902C86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rPr>
                  </w:pPr>
                  <w:r>
                    <w:rPr>
                      <w:rFonts w:hint="default" w:ascii="Times New Roman" w:hAnsi="Times New Roman" w:eastAsia="宋体" w:cs="Times New Roman"/>
                      <w:b w:val="0"/>
                      <w:bCs/>
                      <w:color w:val="auto"/>
                      <w:sz w:val="21"/>
                      <w:szCs w:val="21"/>
                    </w:rPr>
                    <w:t>地下水、土壤</w:t>
                  </w:r>
                </w:p>
              </w:tc>
              <w:tc>
                <w:tcPr>
                  <w:tcW w:w="3294" w:type="pct"/>
                  <w:tcBorders>
                    <w:tl2br w:val="nil"/>
                    <w:tr2bl w:val="nil"/>
                  </w:tcBorders>
                  <w:noWrap w:val="0"/>
                  <w:vAlign w:val="center"/>
                </w:tcPr>
                <w:p w14:paraId="4F2C0F3A">
                  <w:pPr>
                    <w:pStyle w:val="37"/>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both"/>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厂区设置重点防渗</w:t>
                  </w:r>
                  <w:r>
                    <w:rPr>
                      <w:rFonts w:hint="eastAsia" w:ascii="Times New Roman" w:hAnsi="Times New Roman" w:cs="Times New Roman"/>
                      <w:b w:val="0"/>
                      <w:bCs/>
                      <w:color w:val="auto"/>
                      <w:sz w:val="21"/>
                      <w:szCs w:val="21"/>
                      <w:lang w:eastAsia="zh-CN"/>
                    </w:rPr>
                    <w:t>和</w:t>
                  </w:r>
                  <w:r>
                    <w:rPr>
                      <w:rFonts w:hint="default" w:ascii="Times New Roman" w:hAnsi="Times New Roman" w:cs="Times New Roman"/>
                      <w:b w:val="0"/>
                      <w:bCs/>
                      <w:color w:val="auto"/>
                      <w:sz w:val="21"/>
                      <w:szCs w:val="21"/>
                    </w:rPr>
                    <w:t>一般防渗：</w:t>
                  </w:r>
                </w:p>
                <w:p w14:paraId="19454C5A">
                  <w:pPr>
                    <w:keepNext w:val="0"/>
                    <w:keepLines w:val="0"/>
                    <w:pageBreakBefore w:val="0"/>
                    <w:widowControl w:val="0"/>
                    <w:kinsoku/>
                    <w:wordWrap/>
                    <w:overflowPunct/>
                    <w:topLinePunct w:val="0"/>
                    <w:autoSpaceDE/>
                    <w:autoSpaceDN/>
                    <w:bidi w:val="0"/>
                    <w:spacing w:line="240" w:lineRule="auto"/>
                    <w:ind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sz w:val="21"/>
                      <w:szCs w:val="21"/>
                    </w:rPr>
                    <w:t>危废暂存库按照《危险废物贮存污染控制标准》（GB18597-2023）要求进行防渗设计；辅料库和危废暂存间四周设计截流措施（集液槽</w:t>
                  </w:r>
                  <w:r>
                    <w:rPr>
                      <w:rFonts w:hint="eastAsia" w:cs="Times New Roman"/>
                      <w:b w:val="0"/>
                      <w:bCs/>
                      <w:color w:val="auto"/>
                      <w:sz w:val="21"/>
                      <w:szCs w:val="21"/>
                      <w:lang w:eastAsia="zh-CN"/>
                    </w:rPr>
                    <w:t>）</w:t>
                  </w:r>
                  <w:r>
                    <w:rPr>
                      <w:rFonts w:hint="default" w:ascii="Times New Roman" w:hAnsi="Times New Roman" w:cs="Times New Roman"/>
                      <w:b w:val="0"/>
                      <w:bCs/>
                      <w:color w:val="auto"/>
                      <w:sz w:val="21"/>
                      <w:szCs w:val="21"/>
                    </w:rPr>
                    <w:t>做重点防渗</w:t>
                  </w:r>
                  <w:r>
                    <w:rPr>
                      <w:rFonts w:hint="eastAsia" w:cs="Times New Roman"/>
                      <w:b w:val="0"/>
                      <w:bCs/>
                      <w:color w:val="auto"/>
                      <w:sz w:val="21"/>
                      <w:szCs w:val="21"/>
                      <w:lang w:eastAsia="zh-CN"/>
                    </w:rPr>
                    <w:t>；</w:t>
                  </w:r>
                  <w:r>
                    <w:rPr>
                      <w:rFonts w:hint="default" w:ascii="Times New Roman" w:hAnsi="Times New Roman" w:cs="Times New Roman"/>
                      <w:b w:val="0"/>
                      <w:bCs/>
                      <w:color w:val="auto"/>
                      <w:sz w:val="21"/>
                      <w:szCs w:val="21"/>
                    </w:rPr>
                    <w:t>辅料库、喷漆房</w:t>
                  </w:r>
                  <w:r>
                    <w:rPr>
                      <w:rFonts w:hint="eastAsia" w:cs="Times New Roman"/>
                      <w:b w:val="0"/>
                      <w:bCs/>
                      <w:color w:val="auto"/>
                      <w:sz w:val="21"/>
                      <w:szCs w:val="21"/>
                      <w:lang w:eastAsia="zh-CN"/>
                    </w:rPr>
                    <w:t>、晾干房做一般防渗</w:t>
                  </w:r>
                  <w:r>
                    <w:rPr>
                      <w:rFonts w:hint="default" w:ascii="Times New Roman" w:hAnsi="Times New Roman" w:cs="Times New Roman"/>
                      <w:b w:val="0"/>
                      <w:bCs/>
                      <w:color w:val="auto"/>
                      <w:sz w:val="21"/>
                      <w:szCs w:val="21"/>
                      <w:lang w:val="en-US" w:eastAsia="zh-CN"/>
                    </w:rPr>
                    <w:t>；其他生产、储存区域、一般固废库、办公区等</w:t>
                  </w:r>
                  <w:r>
                    <w:rPr>
                      <w:rFonts w:hint="eastAsia" w:cs="Times New Roman"/>
                      <w:b w:val="0"/>
                      <w:bCs/>
                      <w:color w:val="auto"/>
                      <w:sz w:val="21"/>
                      <w:szCs w:val="21"/>
                      <w:lang w:val="en-US" w:eastAsia="zh-CN"/>
                    </w:rPr>
                    <w:t>做简单</w:t>
                  </w:r>
                  <w:r>
                    <w:rPr>
                      <w:rFonts w:hint="default" w:ascii="Times New Roman" w:hAnsi="Times New Roman" w:cs="Times New Roman"/>
                      <w:b w:val="0"/>
                      <w:bCs/>
                      <w:color w:val="auto"/>
                      <w:sz w:val="21"/>
                      <w:szCs w:val="21"/>
                      <w:lang w:val="en-US" w:eastAsia="zh-CN"/>
                    </w:rPr>
                    <w:t>防渗</w:t>
                  </w:r>
                  <w:r>
                    <w:rPr>
                      <w:rFonts w:hint="default" w:ascii="Times New Roman" w:hAnsi="Times New Roman" w:cs="Times New Roman"/>
                      <w:b w:val="0"/>
                      <w:bCs/>
                      <w:color w:val="auto"/>
                      <w:sz w:val="21"/>
                      <w:szCs w:val="21"/>
                    </w:rPr>
                    <w:t>。</w:t>
                  </w:r>
                </w:p>
              </w:tc>
              <w:tc>
                <w:tcPr>
                  <w:tcW w:w="384" w:type="pct"/>
                  <w:tcBorders>
                    <w:tl2br w:val="nil"/>
                    <w:tr2bl w:val="nil"/>
                  </w:tcBorders>
                  <w:noWrap w:val="0"/>
                  <w:vAlign w:val="center"/>
                </w:tcPr>
                <w:p w14:paraId="242B262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新建</w:t>
                  </w:r>
                </w:p>
              </w:tc>
            </w:tr>
            <w:tr w14:paraId="0AA69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23" w:type="pct"/>
                  <w:vMerge w:val="continue"/>
                  <w:tcBorders>
                    <w:tl2br w:val="nil"/>
                    <w:tr2bl w:val="nil"/>
                  </w:tcBorders>
                  <w:noWrap w:val="0"/>
                  <w:vAlign w:val="center"/>
                </w:tcPr>
                <w:p w14:paraId="035C1B8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897" w:type="pct"/>
                  <w:gridSpan w:val="3"/>
                  <w:tcBorders>
                    <w:tl2br w:val="nil"/>
                    <w:tr2bl w:val="nil"/>
                  </w:tcBorders>
                  <w:noWrap w:val="0"/>
                  <w:vAlign w:val="center"/>
                </w:tcPr>
                <w:p w14:paraId="18835AE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rPr>
                  </w:pPr>
                  <w:r>
                    <w:rPr>
                      <w:rFonts w:hint="default" w:ascii="Times New Roman" w:hAnsi="Times New Roman" w:cs="Times New Roman"/>
                      <w:b w:val="0"/>
                      <w:bCs/>
                      <w:color w:val="auto"/>
                      <w:sz w:val="21"/>
                      <w:szCs w:val="21"/>
                      <w:lang w:val="en-US" w:eastAsia="zh-CN"/>
                    </w:rPr>
                    <w:t>环境风险</w:t>
                  </w:r>
                </w:p>
              </w:tc>
              <w:tc>
                <w:tcPr>
                  <w:tcW w:w="3294" w:type="pct"/>
                  <w:tcBorders>
                    <w:tl2br w:val="nil"/>
                    <w:tr2bl w:val="nil"/>
                  </w:tcBorders>
                  <w:noWrap w:val="0"/>
                  <w:vAlign w:val="center"/>
                </w:tcPr>
                <w:p w14:paraId="5342BCDB">
                  <w:pPr>
                    <w:keepNext w:val="0"/>
                    <w:keepLines w:val="0"/>
                    <w:pageBreakBefore w:val="0"/>
                    <w:widowControl w:val="0"/>
                    <w:kinsoku/>
                    <w:wordWrap/>
                    <w:overflowPunct/>
                    <w:topLinePunct w:val="0"/>
                    <w:autoSpaceDE/>
                    <w:autoSpaceDN/>
                    <w:bidi w:val="0"/>
                    <w:spacing w:line="240" w:lineRule="auto"/>
                    <w:ind w:firstLine="0" w:firstLineChars="0"/>
                    <w:textAlignment w:val="auto"/>
                    <w:rPr>
                      <w:rFonts w:hint="default" w:ascii="Times New Roman" w:hAnsi="Times New Roman" w:cs="Times New Roman"/>
                      <w:b w:val="0"/>
                      <w:bCs/>
                      <w:color w:val="auto"/>
                    </w:rPr>
                  </w:pPr>
                  <w:r>
                    <w:rPr>
                      <w:rFonts w:hint="eastAsia" w:cs="Times New Roman"/>
                      <w:color w:val="auto"/>
                      <w:kern w:val="0"/>
                      <w:sz w:val="21"/>
                      <w:szCs w:val="21"/>
                      <w:highlight w:val="none"/>
                      <w:lang w:val="en-US" w:eastAsia="zh-CN"/>
                    </w:rPr>
                    <w:t>辅料库和危废暂存间四周设计截流措施（集液槽，做重点防渗）；</w:t>
                  </w:r>
                  <w:r>
                    <w:rPr>
                      <w:rFonts w:hint="default" w:ascii="Times New Roman" w:hAnsi="Times New Roman" w:cs="Times New Roman"/>
                      <w:color w:val="auto"/>
                      <w:kern w:val="0"/>
                      <w:sz w:val="21"/>
                      <w:szCs w:val="21"/>
                      <w:highlight w:val="none"/>
                      <w:lang w:val="en-US" w:eastAsia="zh-CN"/>
                    </w:rPr>
                    <w:t>加强安全教育培训和宣传</w:t>
                  </w:r>
                  <w:r>
                    <w:rPr>
                      <w:rFonts w:hint="eastAsia" w:cs="Times New Roman"/>
                      <w:color w:val="auto"/>
                      <w:kern w:val="0"/>
                      <w:sz w:val="21"/>
                      <w:szCs w:val="21"/>
                      <w:highlight w:val="none"/>
                      <w:lang w:val="en-US" w:eastAsia="zh-CN"/>
                    </w:rPr>
                    <w:t>；</w:t>
                  </w:r>
                  <w:r>
                    <w:rPr>
                      <w:rFonts w:hint="default" w:ascii="Times New Roman" w:hAnsi="Times New Roman" w:cs="Times New Roman"/>
                      <w:color w:val="auto"/>
                      <w:kern w:val="0"/>
                      <w:sz w:val="21"/>
                      <w:szCs w:val="21"/>
                      <w:highlight w:val="none"/>
                      <w:lang w:val="en-US" w:eastAsia="zh-CN"/>
                    </w:rPr>
                    <w:t>配备完善的消防措施；制定环保管理制度；</w:t>
                  </w:r>
                  <w:r>
                    <w:rPr>
                      <w:rFonts w:hint="eastAsia" w:cs="Times New Roman"/>
                      <w:color w:val="auto"/>
                      <w:kern w:val="0"/>
                      <w:sz w:val="21"/>
                      <w:szCs w:val="21"/>
                      <w:highlight w:val="none"/>
                      <w:lang w:val="en-US" w:eastAsia="zh-CN"/>
                    </w:rPr>
                    <w:t>编制</w:t>
                  </w:r>
                  <w:r>
                    <w:rPr>
                      <w:rFonts w:hint="default" w:ascii="Times New Roman" w:hAnsi="Times New Roman" w:cs="Times New Roman"/>
                      <w:color w:val="auto"/>
                      <w:kern w:val="0"/>
                      <w:sz w:val="21"/>
                      <w:szCs w:val="21"/>
                      <w:highlight w:val="none"/>
                      <w:lang w:val="en-US" w:eastAsia="zh-CN"/>
                    </w:rPr>
                    <w:t>应急预案</w:t>
                  </w:r>
                  <w:r>
                    <w:rPr>
                      <w:rFonts w:hint="eastAsia" w:cs="Times New Roman"/>
                      <w:color w:val="auto"/>
                      <w:kern w:val="0"/>
                      <w:sz w:val="21"/>
                      <w:szCs w:val="21"/>
                      <w:highlight w:val="none"/>
                      <w:lang w:val="en-US" w:eastAsia="zh-CN"/>
                    </w:rPr>
                    <w:t>。</w:t>
                  </w:r>
                </w:p>
              </w:tc>
              <w:tc>
                <w:tcPr>
                  <w:tcW w:w="384" w:type="pct"/>
                  <w:tcBorders>
                    <w:tl2br w:val="nil"/>
                    <w:tr2bl w:val="nil"/>
                  </w:tcBorders>
                  <w:noWrap w:val="0"/>
                  <w:vAlign w:val="center"/>
                </w:tcPr>
                <w:p w14:paraId="0B43B8C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新建</w:t>
                  </w:r>
                </w:p>
              </w:tc>
            </w:tr>
          </w:tbl>
          <w:p w14:paraId="003119D5">
            <w:pPr>
              <w:bidi w:val="0"/>
              <w:spacing w:line="240" w:lineRule="auto"/>
              <w:rPr>
                <w:rFonts w:hint="default"/>
              </w:rPr>
            </w:pPr>
          </w:p>
          <w:p w14:paraId="4F06954D">
            <w:pPr>
              <w:spacing w:line="360" w:lineRule="auto"/>
              <w:ind w:left="0" w:leftChars="0" w:firstLine="0" w:firstLineChars="0"/>
              <w:rPr>
                <w:rFonts w:hint="default" w:ascii="Times New Roman" w:hAnsi="Times New Roman" w:eastAsia="宋体" w:cs="Times New Roman"/>
                <w:b/>
                <w:color w:val="auto"/>
                <w:sz w:val="24"/>
                <w:lang w:eastAsia="zh-CN"/>
              </w:rPr>
            </w:pPr>
            <w:r>
              <w:rPr>
                <w:rFonts w:hint="default" w:ascii="Times New Roman" w:hAnsi="Times New Roman" w:cs="Times New Roman"/>
                <w:b/>
                <w:color w:val="auto"/>
                <w:sz w:val="24"/>
              </w:rPr>
              <w:t>2.4主要设备</w:t>
            </w:r>
          </w:p>
          <w:p w14:paraId="0F625DB6">
            <w:pPr>
              <w:pStyle w:val="38"/>
              <w:bidi w:val="0"/>
              <w:rPr>
                <w:rFonts w:hint="default" w:ascii="Times New Roman" w:hAnsi="Times New Roman" w:cs="Times New Roman"/>
                <w:color w:val="auto"/>
              </w:rPr>
            </w:pPr>
            <w:r>
              <w:rPr>
                <w:rFonts w:hint="default" w:ascii="Times New Roman" w:hAnsi="Times New Roman" w:cs="Times New Roman"/>
                <w:color w:val="auto"/>
              </w:rPr>
              <w:t>表2-</w:t>
            </w:r>
            <w:r>
              <w:rPr>
                <w:rFonts w:hint="default" w:ascii="Times New Roman" w:hAnsi="Times New Roman" w:cs="Times New Roman"/>
                <w:color w:val="auto"/>
                <w:lang w:val="en-US" w:eastAsia="zh-CN"/>
              </w:rPr>
              <w:t xml:space="preserve">4 </w:t>
            </w:r>
            <w:r>
              <w:rPr>
                <w:rFonts w:hint="eastAsia" w:cs="Times New Roman"/>
                <w:color w:val="auto"/>
                <w:lang w:val="en-US" w:eastAsia="zh-CN"/>
              </w:rPr>
              <w:t xml:space="preserve"> </w:t>
            </w:r>
            <w:r>
              <w:rPr>
                <w:rFonts w:hint="default" w:ascii="Times New Roman" w:hAnsi="Times New Roman" w:cs="Times New Roman"/>
                <w:color w:val="auto"/>
              </w:rPr>
              <w:t>项目主要设备一览表</w:t>
            </w:r>
          </w:p>
          <w:tbl>
            <w:tblPr>
              <w:tblStyle w:val="31"/>
              <w:tblW w:w="85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29"/>
              <w:gridCol w:w="2110"/>
              <w:gridCol w:w="1925"/>
              <w:gridCol w:w="1232"/>
              <w:gridCol w:w="1726"/>
              <w:gridCol w:w="909"/>
            </w:tblGrid>
            <w:tr w14:paraId="2F257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9" w:hRule="atLeast"/>
                <w:jc w:val="center"/>
              </w:trPr>
              <w:tc>
                <w:tcPr>
                  <w:tcW w:w="368" w:type="pct"/>
                  <w:tcBorders>
                    <w:tl2br w:val="nil"/>
                    <w:tr2bl w:val="nil"/>
                  </w:tcBorders>
                  <w:noWrap w:val="0"/>
                  <w:vAlign w:val="center"/>
                </w:tcPr>
                <w:p w14:paraId="7B36561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lang w:val="en-US" w:eastAsia="zh-CN"/>
                    </w:rPr>
                    <w:t>序号</w:t>
                  </w:r>
                </w:p>
              </w:tc>
              <w:tc>
                <w:tcPr>
                  <w:tcW w:w="1236" w:type="pct"/>
                  <w:tcBorders>
                    <w:tl2br w:val="nil"/>
                    <w:tr2bl w:val="nil"/>
                  </w:tcBorders>
                  <w:noWrap w:val="0"/>
                  <w:vAlign w:val="center"/>
                </w:tcPr>
                <w:p w14:paraId="27D1A31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lang w:val="en-US" w:eastAsia="zh-CN"/>
                    </w:rPr>
                    <w:t>名称</w:t>
                  </w:r>
                </w:p>
              </w:tc>
              <w:tc>
                <w:tcPr>
                  <w:tcW w:w="1128" w:type="pct"/>
                  <w:tcBorders>
                    <w:tl2br w:val="nil"/>
                    <w:tr2bl w:val="nil"/>
                  </w:tcBorders>
                  <w:noWrap w:val="0"/>
                  <w:vAlign w:val="center"/>
                </w:tcPr>
                <w:p w14:paraId="371995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rPr>
                  </w:pPr>
                  <w:r>
                    <w:rPr>
                      <w:rFonts w:hint="default" w:ascii="Times New Roman" w:hAnsi="Times New Roman" w:cs="Times New Roman"/>
                      <w:b/>
                      <w:bCs/>
                      <w:color w:val="auto"/>
                      <w:lang w:val="en-US" w:eastAsia="zh-CN"/>
                    </w:rPr>
                    <w:t>规格型号</w:t>
                  </w:r>
                </w:p>
              </w:tc>
              <w:tc>
                <w:tcPr>
                  <w:tcW w:w="722" w:type="pct"/>
                  <w:tcBorders>
                    <w:tl2br w:val="nil"/>
                    <w:tr2bl w:val="nil"/>
                  </w:tcBorders>
                  <w:noWrap w:val="0"/>
                  <w:vAlign w:val="center"/>
                </w:tcPr>
                <w:p w14:paraId="1EE442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lang w:val="en-US" w:eastAsia="zh-CN"/>
                    </w:rPr>
                    <w:t>单位</w:t>
                  </w:r>
                </w:p>
              </w:tc>
              <w:tc>
                <w:tcPr>
                  <w:tcW w:w="1011" w:type="pct"/>
                  <w:tcBorders>
                    <w:tl2br w:val="nil"/>
                    <w:tr2bl w:val="nil"/>
                  </w:tcBorders>
                  <w:noWrap w:val="0"/>
                  <w:vAlign w:val="center"/>
                </w:tcPr>
                <w:p w14:paraId="222FAB2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lang w:val="en-US" w:eastAsia="zh-CN"/>
                    </w:rPr>
                    <w:t>数量</w:t>
                  </w:r>
                </w:p>
              </w:tc>
              <w:tc>
                <w:tcPr>
                  <w:tcW w:w="532" w:type="pct"/>
                  <w:tcBorders>
                    <w:tl2br w:val="nil"/>
                    <w:tr2bl w:val="nil"/>
                  </w:tcBorders>
                  <w:noWrap w:val="0"/>
                  <w:vAlign w:val="center"/>
                </w:tcPr>
                <w:p w14:paraId="7C28CC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lang w:val="en-US" w:eastAsia="zh-CN"/>
                    </w:rPr>
                  </w:pPr>
                  <w:r>
                    <w:rPr>
                      <w:rFonts w:hint="default" w:ascii="Times New Roman" w:hAnsi="Times New Roman" w:cs="Times New Roman"/>
                      <w:b/>
                      <w:bCs/>
                      <w:color w:val="auto"/>
                      <w:lang w:val="en-US" w:eastAsia="zh-CN"/>
                    </w:rPr>
                    <w:t>备注</w:t>
                  </w:r>
                </w:p>
              </w:tc>
            </w:tr>
            <w:tr w14:paraId="17420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5000" w:type="pct"/>
                  <w:gridSpan w:val="6"/>
                  <w:tcBorders>
                    <w:tl2br w:val="nil"/>
                    <w:tr2bl w:val="nil"/>
                  </w:tcBorders>
                  <w:noWrap w:val="0"/>
                  <w:vAlign w:val="center"/>
                </w:tcPr>
                <w:p w14:paraId="5332347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b/>
                      <w:bCs/>
                      <w:color w:val="auto"/>
                      <w:lang w:val="en-US" w:eastAsia="zh-CN"/>
                    </w:rPr>
                    <w:t>1.下料区</w:t>
                  </w:r>
                </w:p>
              </w:tc>
            </w:tr>
            <w:tr w14:paraId="7A878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68" w:type="pct"/>
                  <w:tcBorders>
                    <w:tl2br w:val="nil"/>
                    <w:tr2bl w:val="nil"/>
                  </w:tcBorders>
                  <w:noWrap w:val="0"/>
                  <w:vAlign w:val="center"/>
                </w:tcPr>
                <w:p w14:paraId="4491ED9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1</w:t>
                  </w:r>
                </w:p>
              </w:tc>
              <w:tc>
                <w:tcPr>
                  <w:tcW w:w="1236" w:type="pct"/>
                  <w:tcBorders>
                    <w:tl2br w:val="nil"/>
                    <w:tr2bl w:val="nil"/>
                  </w:tcBorders>
                  <w:noWrap w:val="0"/>
                  <w:vAlign w:val="center"/>
                </w:tcPr>
                <w:p w14:paraId="69479E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锯床</w:t>
                  </w:r>
                </w:p>
              </w:tc>
              <w:tc>
                <w:tcPr>
                  <w:tcW w:w="1128" w:type="pct"/>
                  <w:tcBorders>
                    <w:tl2br w:val="nil"/>
                    <w:tr2bl w:val="nil"/>
                  </w:tcBorders>
                  <w:noWrap w:val="0"/>
                  <w:vAlign w:val="center"/>
                </w:tcPr>
                <w:p w14:paraId="6E11F3D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GB4240</w:t>
                  </w:r>
                </w:p>
              </w:tc>
              <w:tc>
                <w:tcPr>
                  <w:tcW w:w="722" w:type="pct"/>
                  <w:tcBorders>
                    <w:tl2br w:val="nil"/>
                    <w:tr2bl w:val="nil"/>
                  </w:tcBorders>
                  <w:noWrap w:val="0"/>
                  <w:vAlign w:val="center"/>
                </w:tcPr>
                <w:p w14:paraId="44ABA85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eastAsia="zh-CN"/>
                    </w:rPr>
                  </w:pPr>
                  <w:r>
                    <w:rPr>
                      <w:rFonts w:hint="default" w:ascii="Times New Roman" w:hAnsi="Times New Roman" w:cs="Times New Roman"/>
                      <w:b w:val="0"/>
                      <w:bCs/>
                      <w:color w:val="auto"/>
                      <w:lang w:eastAsia="zh-CN"/>
                    </w:rPr>
                    <w:t>台</w:t>
                  </w:r>
                </w:p>
              </w:tc>
              <w:tc>
                <w:tcPr>
                  <w:tcW w:w="1011" w:type="pct"/>
                  <w:tcBorders>
                    <w:tl2br w:val="nil"/>
                    <w:tr2bl w:val="nil"/>
                  </w:tcBorders>
                  <w:noWrap w:val="0"/>
                  <w:vAlign w:val="center"/>
                </w:tcPr>
                <w:p w14:paraId="370D938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03C235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r>
            <w:tr w14:paraId="2A18C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71D4BC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2</w:t>
                  </w:r>
                </w:p>
              </w:tc>
              <w:tc>
                <w:tcPr>
                  <w:tcW w:w="1236" w:type="pct"/>
                  <w:tcBorders>
                    <w:tl2br w:val="nil"/>
                    <w:tr2bl w:val="nil"/>
                  </w:tcBorders>
                  <w:noWrap w:val="0"/>
                  <w:vAlign w:val="center"/>
                </w:tcPr>
                <w:p w14:paraId="7058A0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激光切割机</w:t>
                  </w:r>
                </w:p>
              </w:tc>
              <w:tc>
                <w:tcPr>
                  <w:tcW w:w="1128" w:type="pct"/>
                  <w:tcBorders>
                    <w:tl2br w:val="nil"/>
                    <w:tr2bl w:val="nil"/>
                  </w:tcBorders>
                  <w:noWrap w:val="0"/>
                  <w:vAlign w:val="center"/>
                </w:tcPr>
                <w:p w14:paraId="79EB0AB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sz w:val="21"/>
                      <w:szCs w:val="21"/>
                      <w:lang w:val="en-US" w:eastAsia="zh-CN"/>
                    </w:rPr>
                    <w:t>20000W</w:t>
                  </w:r>
                </w:p>
              </w:tc>
              <w:tc>
                <w:tcPr>
                  <w:tcW w:w="722" w:type="pct"/>
                  <w:tcBorders>
                    <w:tl2br w:val="nil"/>
                    <w:tr2bl w:val="nil"/>
                  </w:tcBorders>
                  <w:noWrap w:val="0"/>
                  <w:vAlign w:val="center"/>
                </w:tcPr>
                <w:p w14:paraId="1FFDAF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eastAsia="zh-CN"/>
                    </w:rPr>
                  </w:pPr>
                  <w:r>
                    <w:rPr>
                      <w:rFonts w:hint="default" w:ascii="Times New Roman" w:hAnsi="Times New Roman" w:cs="Times New Roman"/>
                      <w:b w:val="0"/>
                      <w:bCs/>
                      <w:color w:val="auto"/>
                      <w:lang w:eastAsia="zh-CN"/>
                    </w:rPr>
                    <w:t>台</w:t>
                  </w:r>
                </w:p>
              </w:tc>
              <w:tc>
                <w:tcPr>
                  <w:tcW w:w="1011" w:type="pct"/>
                  <w:tcBorders>
                    <w:tl2br w:val="nil"/>
                    <w:tr2bl w:val="nil"/>
                  </w:tcBorders>
                  <w:noWrap w:val="0"/>
                  <w:vAlign w:val="center"/>
                </w:tcPr>
                <w:p w14:paraId="624A61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1</w:t>
                  </w:r>
                </w:p>
              </w:tc>
              <w:tc>
                <w:tcPr>
                  <w:tcW w:w="532" w:type="pct"/>
                  <w:tcBorders>
                    <w:tl2br w:val="nil"/>
                    <w:tr2bl w:val="nil"/>
                  </w:tcBorders>
                  <w:noWrap w:val="0"/>
                  <w:vAlign w:val="center"/>
                </w:tcPr>
                <w:p w14:paraId="138E568B">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r>
            <w:tr w14:paraId="3FBB9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5000" w:type="pct"/>
                  <w:gridSpan w:val="6"/>
                  <w:tcBorders>
                    <w:tl2br w:val="nil"/>
                    <w:tr2bl w:val="nil"/>
                  </w:tcBorders>
                  <w:noWrap w:val="0"/>
                  <w:vAlign w:val="center"/>
                </w:tcPr>
                <w:p w14:paraId="7B80E7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b/>
                      <w:bCs/>
                      <w:color w:val="auto"/>
                      <w:lang w:val="en-US" w:eastAsia="zh-CN"/>
                    </w:rPr>
                    <w:t>2.机加工区</w:t>
                  </w:r>
                </w:p>
              </w:tc>
            </w:tr>
            <w:tr w14:paraId="66CD5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504B9EA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w:t>
                  </w:r>
                </w:p>
              </w:tc>
              <w:tc>
                <w:tcPr>
                  <w:tcW w:w="1236" w:type="pct"/>
                  <w:tcBorders>
                    <w:tl2br w:val="nil"/>
                    <w:tr2bl w:val="nil"/>
                  </w:tcBorders>
                  <w:noWrap w:val="0"/>
                  <w:vAlign w:val="center"/>
                </w:tcPr>
                <w:p w14:paraId="6C7D89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eastAsia="zh-CN"/>
                    </w:rPr>
                  </w:pPr>
                  <w:r>
                    <w:rPr>
                      <w:rFonts w:hint="default" w:ascii="Times New Roman" w:hAnsi="Times New Roman" w:cs="Times New Roman"/>
                      <w:b w:val="0"/>
                      <w:bCs/>
                      <w:color w:val="auto"/>
                      <w:lang w:eastAsia="zh-CN"/>
                    </w:rPr>
                    <w:t>剪板机</w:t>
                  </w:r>
                </w:p>
              </w:tc>
              <w:tc>
                <w:tcPr>
                  <w:tcW w:w="1128" w:type="pct"/>
                  <w:tcBorders>
                    <w:tl2br w:val="nil"/>
                    <w:tr2bl w:val="nil"/>
                  </w:tcBorders>
                  <w:noWrap w:val="0"/>
                  <w:vAlign w:val="center"/>
                </w:tcPr>
                <w:p w14:paraId="2386C52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QC11Y</w:t>
                  </w:r>
                </w:p>
              </w:tc>
              <w:tc>
                <w:tcPr>
                  <w:tcW w:w="722" w:type="pct"/>
                  <w:tcBorders>
                    <w:tl2br w:val="nil"/>
                    <w:tr2bl w:val="nil"/>
                  </w:tcBorders>
                  <w:noWrap w:val="0"/>
                  <w:vAlign w:val="center"/>
                </w:tcPr>
                <w:p w14:paraId="4EBA0F0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eastAsia="zh-CN"/>
                    </w:rPr>
                    <w:t>台</w:t>
                  </w:r>
                </w:p>
              </w:tc>
              <w:tc>
                <w:tcPr>
                  <w:tcW w:w="1011" w:type="pct"/>
                  <w:tcBorders>
                    <w:tl2br w:val="nil"/>
                    <w:tr2bl w:val="nil"/>
                  </w:tcBorders>
                  <w:noWrap w:val="0"/>
                  <w:vAlign w:val="center"/>
                </w:tcPr>
                <w:p w14:paraId="0CBD50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192FB0D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71DEC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615162B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4</w:t>
                  </w:r>
                </w:p>
              </w:tc>
              <w:tc>
                <w:tcPr>
                  <w:tcW w:w="1236" w:type="pct"/>
                  <w:tcBorders>
                    <w:tl2br w:val="nil"/>
                    <w:tr2bl w:val="nil"/>
                  </w:tcBorders>
                  <w:noWrap w:val="0"/>
                  <w:vAlign w:val="center"/>
                </w:tcPr>
                <w:p w14:paraId="0C18407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eastAsia="zh-CN"/>
                    </w:rPr>
                  </w:pPr>
                  <w:r>
                    <w:rPr>
                      <w:rFonts w:hint="default" w:ascii="Times New Roman" w:hAnsi="Times New Roman" w:cs="Times New Roman"/>
                      <w:b w:val="0"/>
                      <w:bCs/>
                      <w:color w:val="auto"/>
                      <w:lang w:eastAsia="zh-CN"/>
                    </w:rPr>
                    <w:t>折弯机</w:t>
                  </w:r>
                </w:p>
              </w:tc>
              <w:tc>
                <w:tcPr>
                  <w:tcW w:w="1128" w:type="pct"/>
                  <w:tcBorders>
                    <w:tl2br w:val="nil"/>
                    <w:tr2bl w:val="nil"/>
                  </w:tcBorders>
                  <w:noWrap w:val="0"/>
                  <w:vAlign w:val="center"/>
                </w:tcPr>
                <w:p w14:paraId="31D259A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30T</w:t>
                  </w:r>
                </w:p>
              </w:tc>
              <w:tc>
                <w:tcPr>
                  <w:tcW w:w="722" w:type="pct"/>
                  <w:tcBorders>
                    <w:tl2br w:val="nil"/>
                    <w:tr2bl w:val="nil"/>
                  </w:tcBorders>
                  <w:noWrap w:val="0"/>
                  <w:vAlign w:val="center"/>
                </w:tcPr>
                <w:p w14:paraId="407F848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eastAsia="zh-CN"/>
                    </w:rPr>
                    <w:t>台</w:t>
                  </w:r>
                </w:p>
              </w:tc>
              <w:tc>
                <w:tcPr>
                  <w:tcW w:w="1011" w:type="pct"/>
                  <w:tcBorders>
                    <w:tl2br w:val="nil"/>
                    <w:tr2bl w:val="nil"/>
                  </w:tcBorders>
                  <w:noWrap w:val="0"/>
                  <w:vAlign w:val="center"/>
                </w:tcPr>
                <w:p w14:paraId="459A54A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1</w:t>
                  </w:r>
                </w:p>
              </w:tc>
              <w:tc>
                <w:tcPr>
                  <w:tcW w:w="532" w:type="pct"/>
                  <w:tcBorders>
                    <w:tl2br w:val="nil"/>
                    <w:tr2bl w:val="nil"/>
                  </w:tcBorders>
                  <w:noWrap w:val="0"/>
                  <w:vAlign w:val="center"/>
                </w:tcPr>
                <w:p w14:paraId="2640E8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10B76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2B54646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5</w:t>
                  </w:r>
                </w:p>
              </w:tc>
              <w:tc>
                <w:tcPr>
                  <w:tcW w:w="1236" w:type="pct"/>
                  <w:tcBorders>
                    <w:tl2br w:val="nil"/>
                    <w:tr2bl w:val="nil"/>
                  </w:tcBorders>
                  <w:noWrap w:val="0"/>
                  <w:vAlign w:val="center"/>
                </w:tcPr>
                <w:p w14:paraId="52C3C30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eastAsia="zh-CN"/>
                    </w:rPr>
                  </w:pPr>
                  <w:r>
                    <w:rPr>
                      <w:rFonts w:hint="default" w:ascii="Times New Roman" w:hAnsi="Times New Roman" w:cs="Times New Roman"/>
                      <w:b w:val="0"/>
                      <w:bCs/>
                      <w:color w:val="auto"/>
                      <w:lang w:eastAsia="zh-CN"/>
                    </w:rPr>
                    <w:t>数控车床</w:t>
                  </w:r>
                </w:p>
              </w:tc>
              <w:tc>
                <w:tcPr>
                  <w:tcW w:w="1128" w:type="pct"/>
                  <w:tcBorders>
                    <w:tl2br w:val="nil"/>
                    <w:tr2bl w:val="nil"/>
                  </w:tcBorders>
                  <w:noWrap w:val="0"/>
                  <w:vAlign w:val="center"/>
                </w:tcPr>
                <w:p w14:paraId="29E6880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eastAsia="宋体" w:cs="Times New Roman"/>
                      <w:b w:val="0"/>
                      <w:bCs/>
                      <w:color w:val="auto"/>
                      <w:kern w:val="2"/>
                      <w:sz w:val="21"/>
                      <w:szCs w:val="21"/>
                      <w:lang w:val="en-US" w:eastAsia="zh-CN" w:bidi="ar-SA"/>
                    </w:rPr>
                    <w:t>CK6136</w:t>
                  </w:r>
                </w:p>
              </w:tc>
              <w:tc>
                <w:tcPr>
                  <w:tcW w:w="722" w:type="pct"/>
                  <w:tcBorders>
                    <w:tl2br w:val="nil"/>
                    <w:tr2bl w:val="nil"/>
                  </w:tcBorders>
                  <w:noWrap w:val="0"/>
                  <w:vAlign w:val="center"/>
                </w:tcPr>
                <w:p w14:paraId="2654EF7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eastAsia="zh-CN"/>
                    </w:rPr>
                    <w:t>台</w:t>
                  </w:r>
                </w:p>
              </w:tc>
              <w:tc>
                <w:tcPr>
                  <w:tcW w:w="1011" w:type="pct"/>
                  <w:tcBorders>
                    <w:tl2br w:val="nil"/>
                    <w:tr2bl w:val="nil"/>
                  </w:tcBorders>
                  <w:noWrap w:val="0"/>
                  <w:vAlign w:val="center"/>
                </w:tcPr>
                <w:p w14:paraId="14ED044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015B942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72E18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7AABD49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6</w:t>
                  </w:r>
                </w:p>
              </w:tc>
              <w:tc>
                <w:tcPr>
                  <w:tcW w:w="1236" w:type="pct"/>
                  <w:tcBorders>
                    <w:tl2br w:val="nil"/>
                    <w:tr2bl w:val="nil"/>
                  </w:tcBorders>
                  <w:noWrap w:val="0"/>
                  <w:vAlign w:val="center"/>
                </w:tcPr>
                <w:p w14:paraId="4936811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摇臂钻床</w:t>
                  </w:r>
                </w:p>
              </w:tc>
              <w:tc>
                <w:tcPr>
                  <w:tcW w:w="1128" w:type="pct"/>
                  <w:tcBorders>
                    <w:tl2br w:val="nil"/>
                    <w:tr2bl w:val="nil"/>
                  </w:tcBorders>
                  <w:noWrap w:val="0"/>
                  <w:vAlign w:val="center"/>
                </w:tcPr>
                <w:p w14:paraId="15387D4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sz w:val="21"/>
                      <w:szCs w:val="21"/>
                      <w:lang w:val="en-US" w:eastAsia="zh-CN"/>
                    </w:rPr>
                    <w:t>Z3050-16型</w:t>
                  </w:r>
                </w:p>
              </w:tc>
              <w:tc>
                <w:tcPr>
                  <w:tcW w:w="722" w:type="pct"/>
                  <w:tcBorders>
                    <w:tl2br w:val="nil"/>
                    <w:tr2bl w:val="nil"/>
                  </w:tcBorders>
                  <w:noWrap w:val="0"/>
                  <w:vAlign w:val="center"/>
                </w:tcPr>
                <w:p w14:paraId="6922BB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eastAsia="zh-CN"/>
                    </w:rPr>
                    <w:t>台</w:t>
                  </w:r>
                </w:p>
              </w:tc>
              <w:tc>
                <w:tcPr>
                  <w:tcW w:w="1011" w:type="pct"/>
                  <w:tcBorders>
                    <w:tl2br w:val="nil"/>
                    <w:tr2bl w:val="nil"/>
                  </w:tcBorders>
                  <w:noWrap w:val="0"/>
                  <w:vAlign w:val="center"/>
                </w:tcPr>
                <w:p w14:paraId="7C8242C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37E018C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2CB42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1CDA370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7</w:t>
                  </w:r>
                </w:p>
              </w:tc>
              <w:tc>
                <w:tcPr>
                  <w:tcW w:w="1236" w:type="pct"/>
                  <w:tcBorders>
                    <w:tl2br w:val="nil"/>
                    <w:tr2bl w:val="nil"/>
                  </w:tcBorders>
                  <w:noWrap w:val="0"/>
                  <w:vAlign w:val="center"/>
                </w:tcPr>
                <w:p w14:paraId="5BAD7C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铣床</w:t>
                  </w:r>
                </w:p>
              </w:tc>
              <w:tc>
                <w:tcPr>
                  <w:tcW w:w="1128" w:type="pct"/>
                  <w:tcBorders>
                    <w:tl2br w:val="nil"/>
                    <w:tr2bl w:val="nil"/>
                  </w:tcBorders>
                  <w:noWrap w:val="0"/>
                  <w:vAlign w:val="center"/>
                </w:tcPr>
                <w:p w14:paraId="01DD1FD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X52K（X5032）</w:t>
                  </w:r>
                </w:p>
              </w:tc>
              <w:tc>
                <w:tcPr>
                  <w:tcW w:w="722" w:type="pct"/>
                  <w:tcBorders>
                    <w:tl2br w:val="nil"/>
                    <w:tr2bl w:val="nil"/>
                  </w:tcBorders>
                  <w:noWrap w:val="0"/>
                  <w:vAlign w:val="center"/>
                </w:tcPr>
                <w:p w14:paraId="7C0F363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eastAsia="zh-CN"/>
                    </w:rPr>
                    <w:t>台</w:t>
                  </w:r>
                </w:p>
              </w:tc>
              <w:tc>
                <w:tcPr>
                  <w:tcW w:w="1011" w:type="pct"/>
                  <w:tcBorders>
                    <w:tl2br w:val="nil"/>
                    <w:tr2bl w:val="nil"/>
                  </w:tcBorders>
                  <w:noWrap w:val="0"/>
                  <w:vAlign w:val="center"/>
                </w:tcPr>
                <w:p w14:paraId="04B459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3CE3D09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5FB42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56838EB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8</w:t>
                  </w:r>
                </w:p>
              </w:tc>
              <w:tc>
                <w:tcPr>
                  <w:tcW w:w="1236" w:type="pct"/>
                  <w:tcBorders>
                    <w:tl2br w:val="nil"/>
                    <w:tr2bl w:val="nil"/>
                  </w:tcBorders>
                  <w:noWrap w:val="0"/>
                  <w:vAlign w:val="center"/>
                </w:tcPr>
                <w:p w14:paraId="474CAC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sz w:val="21"/>
                      <w:szCs w:val="21"/>
                      <w:lang w:val="en-US" w:eastAsia="zh-CN"/>
                    </w:rPr>
                    <w:t>台钻</w:t>
                  </w:r>
                </w:p>
              </w:tc>
              <w:tc>
                <w:tcPr>
                  <w:tcW w:w="1128" w:type="pct"/>
                  <w:tcBorders>
                    <w:tl2br w:val="nil"/>
                    <w:tr2bl w:val="nil"/>
                  </w:tcBorders>
                  <w:noWrap w:val="0"/>
                  <w:vAlign w:val="center"/>
                </w:tcPr>
                <w:p w14:paraId="73E24F3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Z525</w:t>
                  </w:r>
                </w:p>
              </w:tc>
              <w:tc>
                <w:tcPr>
                  <w:tcW w:w="722" w:type="pct"/>
                  <w:tcBorders>
                    <w:tl2br w:val="nil"/>
                    <w:tr2bl w:val="nil"/>
                  </w:tcBorders>
                  <w:noWrap w:val="0"/>
                  <w:vAlign w:val="center"/>
                </w:tcPr>
                <w:p w14:paraId="2F62B1C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eastAsia="zh-CN"/>
                    </w:rPr>
                    <w:t>台</w:t>
                  </w:r>
                </w:p>
              </w:tc>
              <w:tc>
                <w:tcPr>
                  <w:tcW w:w="1011" w:type="pct"/>
                  <w:tcBorders>
                    <w:tl2br w:val="nil"/>
                    <w:tr2bl w:val="nil"/>
                  </w:tcBorders>
                  <w:noWrap w:val="0"/>
                  <w:vAlign w:val="center"/>
                </w:tcPr>
                <w:p w14:paraId="5D83C71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1242E91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618E3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5000" w:type="pct"/>
                  <w:gridSpan w:val="6"/>
                  <w:tcBorders>
                    <w:tl2br w:val="nil"/>
                    <w:tr2bl w:val="nil"/>
                  </w:tcBorders>
                  <w:noWrap w:val="0"/>
                  <w:vAlign w:val="center"/>
                </w:tcPr>
                <w:p w14:paraId="5C266F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b/>
                      <w:bCs/>
                      <w:color w:val="auto"/>
                      <w:lang w:val="en-US" w:eastAsia="zh-CN"/>
                    </w:rPr>
                    <w:t>3.焊接区</w:t>
                  </w:r>
                </w:p>
              </w:tc>
            </w:tr>
            <w:tr w14:paraId="134F9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2" w:hRule="atLeast"/>
                <w:jc w:val="center"/>
              </w:trPr>
              <w:tc>
                <w:tcPr>
                  <w:tcW w:w="368" w:type="pct"/>
                  <w:tcBorders>
                    <w:tl2br w:val="nil"/>
                    <w:tr2bl w:val="nil"/>
                  </w:tcBorders>
                  <w:noWrap w:val="0"/>
                  <w:vAlign w:val="center"/>
                </w:tcPr>
                <w:p w14:paraId="0AE8FD6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9</w:t>
                  </w:r>
                </w:p>
              </w:tc>
              <w:tc>
                <w:tcPr>
                  <w:tcW w:w="1236" w:type="pct"/>
                  <w:tcBorders>
                    <w:tl2br w:val="nil"/>
                    <w:tr2bl w:val="nil"/>
                  </w:tcBorders>
                  <w:noWrap w:val="0"/>
                  <w:vAlign w:val="center"/>
                </w:tcPr>
                <w:p w14:paraId="10443F5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氩弧焊机</w:t>
                  </w:r>
                </w:p>
              </w:tc>
              <w:tc>
                <w:tcPr>
                  <w:tcW w:w="1128" w:type="pct"/>
                  <w:tcBorders>
                    <w:tl2br w:val="nil"/>
                    <w:tr2bl w:val="nil"/>
                  </w:tcBorders>
                  <w:noWrap w:val="0"/>
                  <w:vAlign w:val="center"/>
                </w:tcPr>
                <w:p w14:paraId="0A1960B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YC-150型</w:t>
                  </w:r>
                </w:p>
              </w:tc>
              <w:tc>
                <w:tcPr>
                  <w:tcW w:w="722" w:type="pct"/>
                  <w:tcBorders>
                    <w:tl2br w:val="nil"/>
                    <w:tr2bl w:val="nil"/>
                  </w:tcBorders>
                  <w:noWrap w:val="0"/>
                  <w:vAlign w:val="center"/>
                </w:tcPr>
                <w:p w14:paraId="74A0013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eastAsia="zh-CN"/>
                    </w:rPr>
                    <w:t>台</w:t>
                  </w:r>
                </w:p>
              </w:tc>
              <w:tc>
                <w:tcPr>
                  <w:tcW w:w="1011" w:type="pct"/>
                  <w:tcBorders>
                    <w:tl2br w:val="nil"/>
                    <w:tr2bl w:val="nil"/>
                  </w:tcBorders>
                  <w:noWrap w:val="0"/>
                  <w:vAlign w:val="center"/>
                </w:tcPr>
                <w:p w14:paraId="3B912F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48C022F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3FD34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089DF1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w:t>
                  </w:r>
                </w:p>
              </w:tc>
              <w:tc>
                <w:tcPr>
                  <w:tcW w:w="1236" w:type="pct"/>
                  <w:tcBorders>
                    <w:tl2br w:val="nil"/>
                    <w:tr2bl w:val="nil"/>
                  </w:tcBorders>
                  <w:noWrap w:val="0"/>
                  <w:vAlign w:val="center"/>
                </w:tcPr>
                <w:p w14:paraId="0E124B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电弧焊机</w:t>
                  </w:r>
                </w:p>
              </w:tc>
              <w:tc>
                <w:tcPr>
                  <w:tcW w:w="1128" w:type="pct"/>
                  <w:tcBorders>
                    <w:tl2br w:val="nil"/>
                    <w:tr2bl w:val="nil"/>
                  </w:tcBorders>
                  <w:noWrap w:val="0"/>
                  <w:vAlign w:val="center"/>
                </w:tcPr>
                <w:p w14:paraId="61618BD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zx7-</w:t>
                  </w:r>
                  <w:r>
                    <w:rPr>
                      <w:rFonts w:hint="eastAsia" w:ascii="Times New Roman" w:hAnsi="Times New Roman" w:cs="Times New Roman"/>
                      <w:b w:val="0"/>
                      <w:bCs/>
                      <w:color w:val="auto"/>
                      <w:lang w:val="en-US" w:eastAsia="zh-CN"/>
                    </w:rPr>
                    <w:t>4</w:t>
                  </w:r>
                  <w:r>
                    <w:rPr>
                      <w:rFonts w:hint="default" w:ascii="Times New Roman" w:hAnsi="Times New Roman" w:cs="Times New Roman"/>
                      <w:b w:val="0"/>
                      <w:bCs/>
                      <w:color w:val="auto"/>
                      <w:lang w:val="en-US" w:eastAsia="zh-CN"/>
                    </w:rPr>
                    <w:t>00</w:t>
                  </w:r>
                </w:p>
              </w:tc>
              <w:tc>
                <w:tcPr>
                  <w:tcW w:w="722" w:type="pct"/>
                  <w:tcBorders>
                    <w:tl2br w:val="nil"/>
                    <w:tr2bl w:val="nil"/>
                  </w:tcBorders>
                  <w:noWrap w:val="0"/>
                  <w:vAlign w:val="center"/>
                </w:tcPr>
                <w:p w14:paraId="3B2534A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eastAsia="zh-CN"/>
                    </w:rPr>
                    <w:t>台</w:t>
                  </w:r>
                </w:p>
              </w:tc>
              <w:tc>
                <w:tcPr>
                  <w:tcW w:w="1011" w:type="pct"/>
                  <w:tcBorders>
                    <w:tl2br w:val="nil"/>
                    <w:tr2bl w:val="nil"/>
                  </w:tcBorders>
                  <w:noWrap w:val="0"/>
                  <w:vAlign w:val="center"/>
                </w:tcPr>
                <w:p w14:paraId="33C3D8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2E13327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6CBDB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126CE0A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11</w:t>
                  </w:r>
                </w:p>
              </w:tc>
              <w:tc>
                <w:tcPr>
                  <w:tcW w:w="1236" w:type="pct"/>
                  <w:tcBorders>
                    <w:tl2br w:val="nil"/>
                    <w:tr2bl w:val="nil"/>
                  </w:tcBorders>
                  <w:noWrap w:val="0"/>
                  <w:vAlign w:val="center"/>
                </w:tcPr>
                <w:p w14:paraId="1F762A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CO</w:t>
                  </w:r>
                  <w:r>
                    <w:rPr>
                      <w:rFonts w:hint="default" w:ascii="Times New Roman" w:hAnsi="Times New Roman" w:cs="Times New Roman"/>
                      <w:b w:val="0"/>
                      <w:bCs/>
                      <w:color w:val="auto"/>
                      <w:vertAlign w:val="subscript"/>
                      <w:lang w:val="en-US" w:eastAsia="zh-CN"/>
                    </w:rPr>
                    <w:t>2</w:t>
                  </w:r>
                  <w:r>
                    <w:rPr>
                      <w:rFonts w:hint="default" w:ascii="Times New Roman" w:hAnsi="Times New Roman" w:cs="Times New Roman"/>
                      <w:b w:val="0"/>
                      <w:bCs/>
                      <w:color w:val="auto"/>
                      <w:lang w:val="en-US" w:eastAsia="zh-CN"/>
                    </w:rPr>
                    <w:t>气体保护焊机</w:t>
                  </w:r>
                </w:p>
              </w:tc>
              <w:tc>
                <w:tcPr>
                  <w:tcW w:w="1128" w:type="pct"/>
                  <w:tcBorders>
                    <w:tl2br w:val="nil"/>
                    <w:tr2bl w:val="nil"/>
                  </w:tcBorders>
                  <w:noWrap w:val="0"/>
                  <w:vAlign w:val="center"/>
                </w:tcPr>
                <w:p w14:paraId="14105C2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NBC-270</w:t>
                  </w:r>
                </w:p>
              </w:tc>
              <w:tc>
                <w:tcPr>
                  <w:tcW w:w="722" w:type="pct"/>
                  <w:tcBorders>
                    <w:tl2br w:val="nil"/>
                    <w:tr2bl w:val="nil"/>
                  </w:tcBorders>
                  <w:noWrap w:val="0"/>
                  <w:vAlign w:val="center"/>
                </w:tcPr>
                <w:p w14:paraId="5D03056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eastAsia="zh-CN"/>
                    </w:rPr>
                    <w:t>台</w:t>
                  </w:r>
                </w:p>
              </w:tc>
              <w:tc>
                <w:tcPr>
                  <w:tcW w:w="1011" w:type="pct"/>
                  <w:tcBorders>
                    <w:tl2br w:val="nil"/>
                    <w:tr2bl w:val="nil"/>
                  </w:tcBorders>
                  <w:noWrap w:val="0"/>
                  <w:vAlign w:val="center"/>
                </w:tcPr>
                <w:p w14:paraId="360D8F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43D5F9A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54EDE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000" w:type="pct"/>
                  <w:gridSpan w:val="6"/>
                  <w:tcBorders>
                    <w:tl2br w:val="nil"/>
                    <w:tr2bl w:val="nil"/>
                  </w:tcBorders>
                  <w:noWrap w:val="0"/>
                  <w:vAlign w:val="center"/>
                </w:tcPr>
                <w:p w14:paraId="73173F6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b/>
                      <w:bCs/>
                      <w:color w:val="auto"/>
                      <w:lang w:val="en-US" w:eastAsia="zh-CN"/>
                    </w:rPr>
                    <w:t>4.组装区</w:t>
                  </w:r>
                </w:p>
              </w:tc>
            </w:tr>
            <w:tr w14:paraId="2D719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46452A1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12</w:t>
                  </w:r>
                </w:p>
              </w:tc>
              <w:tc>
                <w:tcPr>
                  <w:tcW w:w="1236" w:type="pct"/>
                  <w:tcBorders>
                    <w:tl2br w:val="nil"/>
                    <w:tr2bl w:val="nil"/>
                  </w:tcBorders>
                  <w:noWrap w:val="0"/>
                  <w:vAlign w:val="center"/>
                </w:tcPr>
                <w:p w14:paraId="7E6F479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手电钻</w:t>
                  </w:r>
                </w:p>
              </w:tc>
              <w:tc>
                <w:tcPr>
                  <w:tcW w:w="1128" w:type="pct"/>
                  <w:tcBorders>
                    <w:tl2br w:val="nil"/>
                    <w:tr2bl w:val="nil"/>
                  </w:tcBorders>
                  <w:noWrap w:val="0"/>
                  <w:vAlign w:val="center"/>
                </w:tcPr>
                <w:p w14:paraId="463BD21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c>
                <w:tcPr>
                  <w:tcW w:w="1232" w:type="dxa"/>
                  <w:tcBorders>
                    <w:tl2br w:val="nil"/>
                    <w:tr2bl w:val="nil"/>
                  </w:tcBorders>
                  <w:noWrap w:val="0"/>
                  <w:vAlign w:val="center"/>
                </w:tcPr>
                <w:p w14:paraId="709143D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eastAsia="zh-CN"/>
                    </w:rPr>
                  </w:pPr>
                  <w:r>
                    <w:rPr>
                      <w:rFonts w:hint="default" w:ascii="Times New Roman" w:hAnsi="Times New Roman" w:cs="Times New Roman"/>
                      <w:b w:val="0"/>
                      <w:bCs/>
                      <w:color w:val="auto"/>
                      <w:lang w:eastAsia="zh-CN"/>
                    </w:rPr>
                    <w:t>台</w:t>
                  </w:r>
                </w:p>
              </w:tc>
              <w:tc>
                <w:tcPr>
                  <w:tcW w:w="1726" w:type="dxa"/>
                  <w:tcBorders>
                    <w:tl2br w:val="nil"/>
                    <w:tr2bl w:val="nil"/>
                  </w:tcBorders>
                  <w:noWrap w:val="0"/>
                  <w:vAlign w:val="center"/>
                </w:tcPr>
                <w:p w14:paraId="289E1E7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1E6E6E0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64C6E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9" w:hRule="atLeast"/>
                <w:jc w:val="center"/>
              </w:trPr>
              <w:tc>
                <w:tcPr>
                  <w:tcW w:w="368" w:type="pct"/>
                  <w:tcBorders>
                    <w:tl2br w:val="nil"/>
                    <w:tr2bl w:val="nil"/>
                  </w:tcBorders>
                  <w:noWrap w:val="0"/>
                  <w:vAlign w:val="center"/>
                </w:tcPr>
                <w:p w14:paraId="2EA1E9C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13</w:t>
                  </w:r>
                </w:p>
              </w:tc>
              <w:tc>
                <w:tcPr>
                  <w:tcW w:w="1236" w:type="pct"/>
                  <w:tcBorders>
                    <w:tl2br w:val="nil"/>
                    <w:tr2bl w:val="nil"/>
                  </w:tcBorders>
                  <w:noWrap w:val="0"/>
                  <w:vAlign w:val="center"/>
                </w:tcPr>
                <w:p w14:paraId="7A4A6D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螺丝刀</w:t>
                  </w:r>
                </w:p>
              </w:tc>
              <w:tc>
                <w:tcPr>
                  <w:tcW w:w="1128" w:type="pct"/>
                  <w:tcBorders>
                    <w:tl2br w:val="nil"/>
                    <w:tr2bl w:val="nil"/>
                  </w:tcBorders>
                  <w:noWrap w:val="0"/>
                  <w:vAlign w:val="center"/>
                </w:tcPr>
                <w:p w14:paraId="3A74579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c>
                <w:tcPr>
                  <w:tcW w:w="1232" w:type="dxa"/>
                  <w:tcBorders>
                    <w:tl2br w:val="nil"/>
                    <w:tr2bl w:val="nil"/>
                  </w:tcBorders>
                  <w:noWrap w:val="0"/>
                  <w:vAlign w:val="center"/>
                </w:tcPr>
                <w:p w14:paraId="6C54614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eastAsia="zh-CN"/>
                    </w:rPr>
                  </w:pPr>
                  <w:r>
                    <w:rPr>
                      <w:rFonts w:hint="default" w:ascii="Times New Roman" w:hAnsi="Times New Roman" w:cs="Times New Roman"/>
                      <w:b w:val="0"/>
                      <w:bCs/>
                      <w:color w:val="auto"/>
                      <w:lang w:eastAsia="zh-CN"/>
                    </w:rPr>
                    <w:t>把</w:t>
                  </w:r>
                </w:p>
              </w:tc>
              <w:tc>
                <w:tcPr>
                  <w:tcW w:w="1726" w:type="dxa"/>
                  <w:tcBorders>
                    <w:tl2br w:val="nil"/>
                    <w:tr2bl w:val="nil"/>
                  </w:tcBorders>
                  <w:noWrap w:val="0"/>
                  <w:vAlign w:val="center"/>
                </w:tcPr>
                <w:p w14:paraId="04E2549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eastAsia="zh-CN"/>
                    </w:rPr>
                  </w:pPr>
                  <w:r>
                    <w:rPr>
                      <w:rFonts w:hint="eastAsia" w:ascii="Times New Roman" w:hAnsi="Times New Roman" w:cs="Times New Roman"/>
                      <w:b w:val="0"/>
                      <w:bCs/>
                      <w:color w:val="auto"/>
                      <w:lang w:val="en-US" w:eastAsia="zh-CN"/>
                    </w:rPr>
                    <w:t>10</w:t>
                  </w:r>
                </w:p>
              </w:tc>
              <w:tc>
                <w:tcPr>
                  <w:tcW w:w="532" w:type="pct"/>
                  <w:tcBorders>
                    <w:tl2br w:val="nil"/>
                    <w:tr2bl w:val="nil"/>
                  </w:tcBorders>
                  <w:noWrap w:val="0"/>
                  <w:vAlign w:val="center"/>
                </w:tcPr>
                <w:p w14:paraId="20053BF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47C08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4" w:hRule="atLeast"/>
                <w:jc w:val="center"/>
              </w:trPr>
              <w:tc>
                <w:tcPr>
                  <w:tcW w:w="368" w:type="pct"/>
                  <w:tcBorders>
                    <w:tl2br w:val="nil"/>
                    <w:tr2bl w:val="nil"/>
                  </w:tcBorders>
                  <w:noWrap w:val="0"/>
                  <w:vAlign w:val="center"/>
                </w:tcPr>
                <w:p w14:paraId="033D77B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14</w:t>
                  </w:r>
                </w:p>
              </w:tc>
              <w:tc>
                <w:tcPr>
                  <w:tcW w:w="1236" w:type="pct"/>
                  <w:tcBorders>
                    <w:tl2br w:val="nil"/>
                    <w:tr2bl w:val="nil"/>
                  </w:tcBorders>
                  <w:noWrap w:val="0"/>
                  <w:vAlign w:val="center"/>
                </w:tcPr>
                <w:p w14:paraId="57C8E3A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工具钳</w:t>
                  </w:r>
                </w:p>
              </w:tc>
              <w:tc>
                <w:tcPr>
                  <w:tcW w:w="1128" w:type="pct"/>
                  <w:tcBorders>
                    <w:tl2br w:val="nil"/>
                    <w:tr2bl w:val="nil"/>
                  </w:tcBorders>
                  <w:noWrap w:val="0"/>
                  <w:vAlign w:val="center"/>
                </w:tcPr>
                <w:p w14:paraId="02078AA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c>
                <w:tcPr>
                  <w:tcW w:w="1232" w:type="dxa"/>
                  <w:tcBorders>
                    <w:tl2br w:val="nil"/>
                    <w:tr2bl w:val="nil"/>
                  </w:tcBorders>
                  <w:noWrap w:val="0"/>
                  <w:vAlign w:val="center"/>
                </w:tcPr>
                <w:p w14:paraId="741EFFA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eastAsia="zh-CN"/>
                    </w:rPr>
                  </w:pPr>
                  <w:r>
                    <w:rPr>
                      <w:rFonts w:hint="default" w:ascii="Times New Roman" w:hAnsi="Times New Roman" w:cs="Times New Roman"/>
                      <w:b w:val="0"/>
                      <w:bCs/>
                      <w:color w:val="auto"/>
                      <w:lang w:eastAsia="zh-CN"/>
                    </w:rPr>
                    <w:t>把</w:t>
                  </w:r>
                </w:p>
              </w:tc>
              <w:tc>
                <w:tcPr>
                  <w:tcW w:w="1726" w:type="dxa"/>
                  <w:tcBorders>
                    <w:tl2br w:val="nil"/>
                    <w:tr2bl w:val="nil"/>
                  </w:tcBorders>
                  <w:noWrap w:val="0"/>
                  <w:vAlign w:val="center"/>
                </w:tcPr>
                <w:p w14:paraId="04A3205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val="en-US" w:eastAsia="zh-CN"/>
                    </w:rPr>
                  </w:pPr>
                  <w:r>
                    <w:rPr>
                      <w:rFonts w:hint="eastAsia" w:ascii="Times New Roman" w:hAnsi="Times New Roman" w:cs="Times New Roman"/>
                      <w:b w:val="0"/>
                      <w:bCs/>
                      <w:color w:val="auto"/>
                      <w:lang w:val="en-US" w:eastAsia="zh-CN"/>
                    </w:rPr>
                    <w:t>10</w:t>
                  </w:r>
                </w:p>
              </w:tc>
              <w:tc>
                <w:tcPr>
                  <w:tcW w:w="532" w:type="pct"/>
                  <w:tcBorders>
                    <w:tl2br w:val="nil"/>
                    <w:tr2bl w:val="nil"/>
                  </w:tcBorders>
                  <w:noWrap w:val="0"/>
                  <w:vAlign w:val="center"/>
                </w:tcPr>
                <w:p w14:paraId="2669714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49D04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48F35B8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15</w:t>
                  </w:r>
                </w:p>
              </w:tc>
              <w:tc>
                <w:tcPr>
                  <w:tcW w:w="1236" w:type="pct"/>
                  <w:tcBorders>
                    <w:tl2br w:val="nil"/>
                    <w:tr2bl w:val="nil"/>
                  </w:tcBorders>
                  <w:noWrap w:val="0"/>
                  <w:vAlign w:val="center"/>
                </w:tcPr>
                <w:p w14:paraId="0CDA6D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扳手</w:t>
                  </w:r>
                </w:p>
              </w:tc>
              <w:tc>
                <w:tcPr>
                  <w:tcW w:w="1128" w:type="pct"/>
                  <w:tcBorders>
                    <w:tl2br w:val="nil"/>
                    <w:tr2bl w:val="nil"/>
                  </w:tcBorders>
                  <w:noWrap w:val="0"/>
                  <w:vAlign w:val="center"/>
                </w:tcPr>
                <w:p w14:paraId="385792C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c>
                <w:tcPr>
                  <w:tcW w:w="1232" w:type="dxa"/>
                  <w:tcBorders>
                    <w:tl2br w:val="nil"/>
                    <w:tr2bl w:val="nil"/>
                  </w:tcBorders>
                  <w:noWrap w:val="0"/>
                  <w:vAlign w:val="center"/>
                </w:tcPr>
                <w:p w14:paraId="58CA80F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eastAsia="zh-CN"/>
                    </w:rPr>
                  </w:pPr>
                  <w:r>
                    <w:rPr>
                      <w:rFonts w:hint="eastAsia" w:ascii="Times New Roman" w:hAnsi="Times New Roman" w:cs="Times New Roman"/>
                      <w:b w:val="0"/>
                      <w:bCs/>
                      <w:color w:val="auto"/>
                      <w:lang w:val="en-US" w:eastAsia="zh-CN"/>
                    </w:rPr>
                    <w:t>套</w:t>
                  </w:r>
                </w:p>
              </w:tc>
              <w:tc>
                <w:tcPr>
                  <w:tcW w:w="1726" w:type="dxa"/>
                  <w:tcBorders>
                    <w:tl2br w:val="nil"/>
                    <w:tr2bl w:val="nil"/>
                  </w:tcBorders>
                  <w:noWrap w:val="0"/>
                  <w:vAlign w:val="center"/>
                </w:tcPr>
                <w:p w14:paraId="6584D2F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eastAsia="zh-CN"/>
                    </w:rPr>
                  </w:pPr>
                  <w:r>
                    <w:rPr>
                      <w:rFonts w:hint="eastAsia" w:ascii="Times New Roman" w:hAnsi="Times New Roman" w:cs="Times New Roman"/>
                      <w:b w:val="0"/>
                      <w:bCs/>
                      <w:color w:val="auto"/>
                      <w:lang w:val="en-US" w:eastAsia="zh-CN"/>
                    </w:rPr>
                    <w:t>5</w:t>
                  </w:r>
                </w:p>
              </w:tc>
              <w:tc>
                <w:tcPr>
                  <w:tcW w:w="532" w:type="pct"/>
                  <w:tcBorders>
                    <w:tl2br w:val="nil"/>
                    <w:tr2bl w:val="nil"/>
                  </w:tcBorders>
                  <w:noWrap w:val="0"/>
                  <w:vAlign w:val="center"/>
                </w:tcPr>
                <w:p w14:paraId="0AC7F4E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0628F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17D0210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w:t>
                  </w:r>
                  <w:r>
                    <w:rPr>
                      <w:rFonts w:hint="eastAsia" w:ascii="Times New Roman" w:hAnsi="Times New Roman" w:cs="Times New Roman"/>
                      <w:b w:val="0"/>
                      <w:bCs/>
                      <w:color w:val="auto"/>
                      <w:lang w:val="en-US" w:eastAsia="zh-CN"/>
                    </w:rPr>
                    <w:t>6</w:t>
                  </w:r>
                </w:p>
              </w:tc>
              <w:tc>
                <w:tcPr>
                  <w:tcW w:w="1236" w:type="pct"/>
                  <w:tcBorders>
                    <w:tl2br w:val="nil"/>
                    <w:tr2bl w:val="nil"/>
                  </w:tcBorders>
                  <w:noWrap w:val="0"/>
                  <w:vAlign w:val="center"/>
                </w:tcPr>
                <w:p w14:paraId="067CCFC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老虎钳</w:t>
                  </w:r>
                </w:p>
              </w:tc>
              <w:tc>
                <w:tcPr>
                  <w:tcW w:w="1128" w:type="pct"/>
                  <w:tcBorders>
                    <w:tl2br w:val="nil"/>
                    <w:tr2bl w:val="nil"/>
                  </w:tcBorders>
                  <w:noWrap w:val="0"/>
                  <w:vAlign w:val="center"/>
                </w:tcPr>
                <w:p w14:paraId="00F8F2D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c>
                <w:tcPr>
                  <w:tcW w:w="1232" w:type="dxa"/>
                  <w:tcBorders>
                    <w:tl2br w:val="nil"/>
                    <w:tr2bl w:val="nil"/>
                  </w:tcBorders>
                  <w:noWrap w:val="0"/>
                  <w:vAlign w:val="center"/>
                </w:tcPr>
                <w:p w14:paraId="095EB9C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eastAsia="zh-CN"/>
                    </w:rPr>
                  </w:pPr>
                  <w:r>
                    <w:rPr>
                      <w:rFonts w:hint="default" w:ascii="Times New Roman" w:hAnsi="Times New Roman" w:cs="Times New Roman"/>
                      <w:b w:val="0"/>
                      <w:bCs/>
                      <w:color w:val="auto"/>
                      <w:lang w:eastAsia="zh-CN"/>
                    </w:rPr>
                    <w:t>把</w:t>
                  </w:r>
                </w:p>
              </w:tc>
              <w:tc>
                <w:tcPr>
                  <w:tcW w:w="1726" w:type="dxa"/>
                  <w:tcBorders>
                    <w:tl2br w:val="nil"/>
                    <w:tr2bl w:val="nil"/>
                  </w:tcBorders>
                  <w:noWrap w:val="0"/>
                  <w:vAlign w:val="center"/>
                </w:tcPr>
                <w:p w14:paraId="70A1D0D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eastAsia="zh-CN"/>
                    </w:rPr>
                  </w:pPr>
                  <w:r>
                    <w:rPr>
                      <w:rFonts w:hint="eastAsia" w:ascii="Times New Roman" w:hAnsi="Times New Roman" w:cs="Times New Roman"/>
                      <w:b w:val="0"/>
                      <w:bCs/>
                      <w:color w:val="auto"/>
                      <w:lang w:val="en-US" w:eastAsia="zh-CN"/>
                    </w:rPr>
                    <w:t>10</w:t>
                  </w:r>
                </w:p>
              </w:tc>
              <w:tc>
                <w:tcPr>
                  <w:tcW w:w="532" w:type="pct"/>
                  <w:tcBorders>
                    <w:tl2br w:val="nil"/>
                    <w:tr2bl w:val="nil"/>
                  </w:tcBorders>
                  <w:noWrap w:val="0"/>
                  <w:vAlign w:val="center"/>
                </w:tcPr>
                <w:p w14:paraId="7C158C7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5A1CD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5000" w:type="pct"/>
                  <w:gridSpan w:val="6"/>
                  <w:tcBorders>
                    <w:tl2br w:val="nil"/>
                    <w:tr2bl w:val="nil"/>
                  </w:tcBorders>
                  <w:noWrap w:val="0"/>
                  <w:vAlign w:val="center"/>
                </w:tcPr>
                <w:p w14:paraId="30B1126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b/>
                      <w:bCs/>
                      <w:color w:val="auto"/>
                      <w:lang w:val="en-US" w:eastAsia="zh-CN"/>
                    </w:rPr>
                    <w:t>5.喷漆、晾干区</w:t>
                  </w:r>
                </w:p>
              </w:tc>
            </w:tr>
            <w:tr w14:paraId="29E3B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4" w:hRule="atLeast"/>
                <w:jc w:val="center"/>
              </w:trPr>
              <w:tc>
                <w:tcPr>
                  <w:tcW w:w="368" w:type="pct"/>
                  <w:tcBorders>
                    <w:tl2br w:val="nil"/>
                    <w:tr2bl w:val="nil"/>
                  </w:tcBorders>
                  <w:noWrap w:val="0"/>
                  <w:vAlign w:val="center"/>
                </w:tcPr>
                <w:p w14:paraId="29FEF5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17</w:t>
                  </w:r>
                </w:p>
              </w:tc>
              <w:tc>
                <w:tcPr>
                  <w:tcW w:w="1236" w:type="pct"/>
                  <w:tcBorders>
                    <w:tl2br w:val="nil"/>
                    <w:tr2bl w:val="nil"/>
                  </w:tcBorders>
                  <w:noWrap w:val="0"/>
                  <w:vAlign w:val="center"/>
                </w:tcPr>
                <w:p w14:paraId="370738F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移动式喷漆房</w:t>
                  </w:r>
                </w:p>
              </w:tc>
              <w:tc>
                <w:tcPr>
                  <w:tcW w:w="1128" w:type="pct"/>
                  <w:tcBorders>
                    <w:tl2br w:val="nil"/>
                    <w:tr2bl w:val="nil"/>
                  </w:tcBorders>
                  <w:noWrap w:val="0"/>
                  <w:vAlign w:val="center"/>
                </w:tcPr>
                <w:p w14:paraId="4248B27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rPr>
                  </w:pPr>
                  <w:r>
                    <w:rPr>
                      <w:rFonts w:hint="eastAsia" w:ascii="Times New Roman" w:hAnsi="Times New Roman" w:cs="Times New Roman"/>
                      <w:b w:val="0"/>
                      <w:bCs/>
                      <w:color w:val="auto"/>
                      <w:lang w:val="en-US" w:eastAsia="zh-CN"/>
                    </w:rPr>
                    <w:t>60</w:t>
                  </w:r>
                  <w:r>
                    <w:rPr>
                      <w:rFonts w:hint="default" w:ascii="Times New Roman" w:hAnsi="Times New Roman" w:cs="Times New Roman"/>
                      <w:b w:val="0"/>
                      <w:bCs/>
                      <w:color w:val="auto"/>
                      <w:lang w:val="en-US" w:eastAsia="zh-CN"/>
                    </w:rPr>
                    <w:t>m</w:t>
                  </w:r>
                  <w:r>
                    <w:rPr>
                      <w:rFonts w:hint="default" w:ascii="Times New Roman" w:hAnsi="Times New Roman" w:cs="Times New Roman"/>
                      <w:b w:val="0"/>
                      <w:bCs/>
                      <w:color w:val="auto"/>
                      <w:vertAlign w:val="superscript"/>
                      <w:lang w:val="en-US" w:eastAsia="zh-CN"/>
                    </w:rPr>
                    <w:t>2</w:t>
                  </w:r>
                </w:p>
              </w:tc>
              <w:tc>
                <w:tcPr>
                  <w:tcW w:w="722" w:type="pct"/>
                  <w:tcBorders>
                    <w:tl2br w:val="nil"/>
                    <w:tr2bl w:val="nil"/>
                  </w:tcBorders>
                  <w:noWrap w:val="0"/>
                  <w:vAlign w:val="center"/>
                </w:tcPr>
                <w:p w14:paraId="5EFC5EC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eastAsia="zh-CN"/>
                    </w:rPr>
                  </w:pPr>
                  <w:r>
                    <w:rPr>
                      <w:rFonts w:hint="default" w:ascii="Times New Roman" w:hAnsi="Times New Roman" w:cs="Times New Roman"/>
                      <w:b w:val="0"/>
                      <w:bCs/>
                      <w:color w:val="auto"/>
                      <w:lang w:eastAsia="zh-CN"/>
                    </w:rPr>
                    <w:t>套</w:t>
                  </w:r>
                </w:p>
              </w:tc>
              <w:tc>
                <w:tcPr>
                  <w:tcW w:w="1011" w:type="pct"/>
                  <w:tcBorders>
                    <w:tl2br w:val="nil"/>
                    <w:tr2bl w:val="nil"/>
                  </w:tcBorders>
                  <w:noWrap w:val="0"/>
                  <w:vAlign w:val="center"/>
                </w:tcPr>
                <w:p w14:paraId="3944B5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1</w:t>
                  </w:r>
                </w:p>
              </w:tc>
              <w:tc>
                <w:tcPr>
                  <w:tcW w:w="532" w:type="pct"/>
                  <w:tcBorders>
                    <w:tl2br w:val="nil"/>
                    <w:tr2bl w:val="nil"/>
                  </w:tcBorders>
                  <w:noWrap w:val="0"/>
                  <w:vAlign w:val="center"/>
                </w:tcPr>
                <w:p w14:paraId="714B693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r>
            <w:tr w14:paraId="69A5F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40A5AF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18</w:t>
                  </w:r>
                </w:p>
              </w:tc>
              <w:tc>
                <w:tcPr>
                  <w:tcW w:w="1236" w:type="pct"/>
                  <w:tcBorders>
                    <w:tl2br w:val="nil"/>
                    <w:tr2bl w:val="nil"/>
                  </w:tcBorders>
                  <w:noWrap w:val="0"/>
                  <w:vAlign w:val="center"/>
                </w:tcPr>
                <w:p w14:paraId="53E1B39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喷枪</w:t>
                  </w:r>
                </w:p>
              </w:tc>
              <w:tc>
                <w:tcPr>
                  <w:tcW w:w="1128" w:type="pct"/>
                  <w:tcBorders>
                    <w:tl2br w:val="nil"/>
                    <w:tr2bl w:val="nil"/>
                  </w:tcBorders>
                  <w:noWrap w:val="0"/>
                  <w:vAlign w:val="center"/>
                </w:tcPr>
                <w:p w14:paraId="23C5F43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WA-101</w:t>
                  </w:r>
                </w:p>
              </w:tc>
              <w:tc>
                <w:tcPr>
                  <w:tcW w:w="722" w:type="pct"/>
                  <w:tcBorders>
                    <w:tl2br w:val="nil"/>
                    <w:tr2bl w:val="nil"/>
                  </w:tcBorders>
                  <w:noWrap w:val="0"/>
                  <w:vAlign w:val="center"/>
                </w:tcPr>
                <w:p w14:paraId="1FD0C12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eastAsia="zh-CN"/>
                    </w:rPr>
                  </w:pPr>
                  <w:r>
                    <w:rPr>
                      <w:rFonts w:hint="default" w:ascii="Times New Roman" w:hAnsi="Times New Roman" w:cs="Times New Roman"/>
                      <w:b w:val="0"/>
                      <w:bCs/>
                      <w:color w:val="auto"/>
                      <w:lang w:eastAsia="zh-CN"/>
                    </w:rPr>
                    <w:t>把</w:t>
                  </w:r>
                </w:p>
              </w:tc>
              <w:tc>
                <w:tcPr>
                  <w:tcW w:w="1011" w:type="pct"/>
                  <w:tcBorders>
                    <w:tl2br w:val="nil"/>
                    <w:tr2bl w:val="nil"/>
                  </w:tcBorders>
                  <w:noWrap w:val="0"/>
                  <w:vAlign w:val="center"/>
                </w:tcPr>
                <w:p w14:paraId="5B5943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64F9114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rPr>
                  </w:pPr>
                  <w:r>
                    <w:rPr>
                      <w:rFonts w:hint="eastAsia" w:ascii="Times New Roman" w:hAnsi="Times New Roman" w:cs="Times New Roman"/>
                      <w:b w:val="0"/>
                      <w:bCs/>
                      <w:color w:val="auto"/>
                      <w:lang w:val="en-US" w:eastAsia="zh-CN"/>
                    </w:rPr>
                    <w:t>喷漆房</w:t>
                  </w:r>
                </w:p>
              </w:tc>
            </w:tr>
            <w:tr w14:paraId="11CB7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62E606A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19</w:t>
                  </w:r>
                </w:p>
              </w:tc>
              <w:tc>
                <w:tcPr>
                  <w:tcW w:w="1236" w:type="pct"/>
                  <w:tcBorders>
                    <w:tl2br w:val="nil"/>
                    <w:tr2bl w:val="nil"/>
                  </w:tcBorders>
                  <w:noWrap w:val="0"/>
                  <w:vAlign w:val="center"/>
                </w:tcPr>
                <w:p w14:paraId="724972B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红外线加热灯管</w:t>
                  </w:r>
                </w:p>
              </w:tc>
              <w:tc>
                <w:tcPr>
                  <w:tcW w:w="1128" w:type="pct"/>
                  <w:tcBorders>
                    <w:tl2br w:val="nil"/>
                    <w:tr2bl w:val="nil"/>
                  </w:tcBorders>
                  <w:noWrap w:val="0"/>
                  <w:vAlign w:val="center"/>
                </w:tcPr>
                <w:p w14:paraId="1F1EC03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2000W</w:t>
                  </w:r>
                </w:p>
              </w:tc>
              <w:tc>
                <w:tcPr>
                  <w:tcW w:w="722" w:type="pct"/>
                  <w:tcBorders>
                    <w:tl2br w:val="nil"/>
                    <w:tr2bl w:val="nil"/>
                  </w:tcBorders>
                  <w:noWrap w:val="0"/>
                  <w:vAlign w:val="center"/>
                </w:tcPr>
                <w:p w14:paraId="2B16DC5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eastAsia="zh-CN"/>
                    </w:rPr>
                  </w:pPr>
                  <w:r>
                    <w:rPr>
                      <w:rFonts w:hint="eastAsia" w:ascii="Times New Roman" w:hAnsi="Times New Roman" w:cs="Times New Roman"/>
                      <w:b w:val="0"/>
                      <w:bCs/>
                      <w:color w:val="auto"/>
                      <w:lang w:eastAsia="zh-CN"/>
                    </w:rPr>
                    <w:t>根</w:t>
                  </w:r>
                </w:p>
              </w:tc>
              <w:tc>
                <w:tcPr>
                  <w:tcW w:w="1011" w:type="pct"/>
                  <w:tcBorders>
                    <w:tl2br w:val="nil"/>
                    <w:tr2bl w:val="nil"/>
                  </w:tcBorders>
                  <w:noWrap w:val="0"/>
                  <w:vAlign w:val="center"/>
                </w:tcPr>
                <w:p w14:paraId="0B8D4F5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4</w:t>
                  </w:r>
                </w:p>
              </w:tc>
              <w:tc>
                <w:tcPr>
                  <w:tcW w:w="532" w:type="pct"/>
                  <w:tcBorders>
                    <w:tl2br w:val="nil"/>
                    <w:tr2bl w:val="nil"/>
                  </w:tcBorders>
                  <w:noWrap w:val="0"/>
                  <w:vAlign w:val="center"/>
                </w:tcPr>
                <w:p w14:paraId="75626B5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晾干房</w:t>
                  </w:r>
                </w:p>
              </w:tc>
            </w:tr>
            <w:tr w14:paraId="7C397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5000" w:type="pct"/>
                  <w:gridSpan w:val="6"/>
                  <w:tcBorders>
                    <w:tl2br w:val="nil"/>
                    <w:tr2bl w:val="nil"/>
                  </w:tcBorders>
                  <w:noWrap w:val="0"/>
                  <w:vAlign w:val="center"/>
                </w:tcPr>
                <w:p w14:paraId="69E2F59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b/>
                      <w:bCs/>
                      <w:color w:val="auto"/>
                      <w:lang w:val="en-US" w:eastAsia="zh-CN"/>
                    </w:rPr>
                    <w:t>6.供辅设备</w:t>
                  </w:r>
                </w:p>
              </w:tc>
            </w:tr>
            <w:tr w14:paraId="40D05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68" w:type="pct"/>
                  <w:tcBorders>
                    <w:tl2br w:val="nil"/>
                    <w:tr2bl w:val="nil"/>
                  </w:tcBorders>
                  <w:noWrap w:val="0"/>
                  <w:vAlign w:val="center"/>
                </w:tcPr>
                <w:p w14:paraId="710168B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w:t>
                  </w:r>
                  <w:r>
                    <w:rPr>
                      <w:rFonts w:hint="eastAsia" w:ascii="Times New Roman" w:hAnsi="Times New Roman" w:cs="Times New Roman"/>
                      <w:b w:val="0"/>
                      <w:bCs/>
                      <w:color w:val="auto"/>
                      <w:lang w:val="en-US" w:eastAsia="zh-CN"/>
                    </w:rPr>
                    <w:t>0</w:t>
                  </w:r>
                </w:p>
              </w:tc>
              <w:tc>
                <w:tcPr>
                  <w:tcW w:w="1236" w:type="pct"/>
                  <w:tcBorders>
                    <w:tl2br w:val="nil"/>
                    <w:tr2bl w:val="nil"/>
                  </w:tcBorders>
                  <w:noWrap w:val="0"/>
                  <w:vAlign w:val="center"/>
                </w:tcPr>
                <w:p w14:paraId="773F44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eastAsia" w:ascii="Times New Roman" w:hAnsi="Times New Roman" w:cs="Times New Roman"/>
                      <w:b w:val="0"/>
                      <w:bCs/>
                      <w:color w:val="auto"/>
                      <w:sz w:val="21"/>
                      <w:szCs w:val="21"/>
                      <w:lang w:val="en-US" w:eastAsia="zh-CN"/>
                    </w:rPr>
                    <w:t>无油</w:t>
                  </w:r>
                  <w:r>
                    <w:rPr>
                      <w:rFonts w:hint="default" w:ascii="Times New Roman" w:hAnsi="Times New Roman" w:cs="Times New Roman"/>
                      <w:b w:val="0"/>
                      <w:bCs/>
                      <w:color w:val="auto"/>
                      <w:sz w:val="21"/>
                      <w:szCs w:val="21"/>
                      <w:lang w:val="en-US" w:eastAsia="zh-CN"/>
                    </w:rPr>
                    <w:t>空压机</w:t>
                  </w:r>
                </w:p>
              </w:tc>
              <w:tc>
                <w:tcPr>
                  <w:tcW w:w="1128" w:type="pct"/>
                  <w:tcBorders>
                    <w:tl2br w:val="nil"/>
                    <w:tr2bl w:val="nil"/>
                  </w:tcBorders>
                  <w:noWrap w:val="0"/>
                  <w:vAlign w:val="center"/>
                </w:tcPr>
                <w:p w14:paraId="1E82CCF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1.0/12.5三相</w:t>
                  </w:r>
                </w:p>
              </w:tc>
              <w:tc>
                <w:tcPr>
                  <w:tcW w:w="722" w:type="pct"/>
                  <w:tcBorders>
                    <w:tl2br w:val="nil"/>
                    <w:tr2bl w:val="nil"/>
                  </w:tcBorders>
                  <w:noWrap w:val="0"/>
                  <w:vAlign w:val="center"/>
                </w:tcPr>
                <w:p w14:paraId="578A213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台</w:t>
                  </w:r>
                </w:p>
              </w:tc>
              <w:tc>
                <w:tcPr>
                  <w:tcW w:w="1011" w:type="pct"/>
                  <w:tcBorders>
                    <w:tl2br w:val="nil"/>
                    <w:tr2bl w:val="nil"/>
                  </w:tcBorders>
                  <w:noWrap w:val="0"/>
                  <w:vAlign w:val="center"/>
                </w:tcPr>
                <w:p w14:paraId="3F80A8C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2</w:t>
                  </w:r>
                </w:p>
              </w:tc>
              <w:tc>
                <w:tcPr>
                  <w:tcW w:w="532" w:type="pct"/>
                  <w:tcBorders>
                    <w:tl2br w:val="nil"/>
                    <w:tr2bl w:val="nil"/>
                  </w:tcBorders>
                  <w:noWrap w:val="0"/>
                  <w:vAlign w:val="center"/>
                </w:tcPr>
                <w:p w14:paraId="51EB790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r>
            <w:tr w14:paraId="5E453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9" w:hRule="atLeast"/>
                <w:jc w:val="center"/>
              </w:trPr>
              <w:tc>
                <w:tcPr>
                  <w:tcW w:w="5000" w:type="pct"/>
                  <w:gridSpan w:val="6"/>
                  <w:tcBorders>
                    <w:tl2br w:val="nil"/>
                    <w:tr2bl w:val="nil"/>
                  </w:tcBorders>
                  <w:noWrap w:val="0"/>
                  <w:vAlign w:val="center"/>
                </w:tcPr>
                <w:p w14:paraId="5F1DD06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b/>
                      <w:bCs/>
                      <w:color w:val="auto"/>
                      <w:lang w:val="en-US" w:eastAsia="zh-CN"/>
                    </w:rPr>
                    <w:t>7.环保设备</w:t>
                  </w:r>
                </w:p>
              </w:tc>
            </w:tr>
            <w:tr w14:paraId="44EDC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29" w:type="dxa"/>
                  <w:tcBorders>
                    <w:tl2br w:val="nil"/>
                    <w:tr2bl w:val="nil"/>
                  </w:tcBorders>
                  <w:noWrap w:val="0"/>
                  <w:vAlign w:val="center"/>
                </w:tcPr>
                <w:p w14:paraId="3439410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w:t>
                  </w:r>
                  <w:r>
                    <w:rPr>
                      <w:rFonts w:hint="eastAsia" w:ascii="Times New Roman" w:hAnsi="Times New Roman" w:cs="Times New Roman"/>
                      <w:b w:val="0"/>
                      <w:bCs/>
                      <w:color w:val="auto"/>
                      <w:lang w:val="en-US" w:eastAsia="zh-CN"/>
                    </w:rPr>
                    <w:t>1</w:t>
                  </w:r>
                </w:p>
              </w:tc>
              <w:tc>
                <w:tcPr>
                  <w:tcW w:w="1236" w:type="pct"/>
                  <w:tcBorders>
                    <w:tl2br w:val="nil"/>
                    <w:tr2bl w:val="nil"/>
                  </w:tcBorders>
                  <w:noWrap w:val="0"/>
                  <w:vAlign w:val="center"/>
                </w:tcPr>
                <w:p w14:paraId="4F4C68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风机</w:t>
                  </w:r>
                </w:p>
              </w:tc>
              <w:tc>
                <w:tcPr>
                  <w:tcW w:w="1128" w:type="pct"/>
                  <w:tcBorders>
                    <w:tl2br w:val="nil"/>
                    <w:tr2bl w:val="nil"/>
                  </w:tcBorders>
                  <w:noWrap w:val="0"/>
                  <w:vAlign w:val="center"/>
                </w:tcPr>
                <w:p w14:paraId="4627E4A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722" w:type="pct"/>
                  <w:tcBorders>
                    <w:tl2br w:val="nil"/>
                    <w:tr2bl w:val="nil"/>
                  </w:tcBorders>
                  <w:noWrap w:val="0"/>
                  <w:vAlign w:val="center"/>
                </w:tcPr>
                <w:p w14:paraId="7D686E4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台</w:t>
                  </w:r>
                </w:p>
              </w:tc>
              <w:tc>
                <w:tcPr>
                  <w:tcW w:w="1011" w:type="pct"/>
                  <w:tcBorders>
                    <w:tl2br w:val="nil"/>
                    <w:tr2bl w:val="nil"/>
                  </w:tcBorders>
                  <w:noWrap w:val="0"/>
                  <w:vAlign w:val="center"/>
                </w:tcPr>
                <w:p w14:paraId="35AC297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eastAsia" w:ascii="Times New Roman" w:hAnsi="Times New Roman" w:cs="Times New Roman"/>
                      <w:b w:val="0"/>
                      <w:bCs/>
                      <w:color w:val="auto"/>
                      <w:lang w:val="en-US" w:eastAsia="zh-CN"/>
                    </w:rPr>
                    <w:t>3</w:t>
                  </w:r>
                </w:p>
              </w:tc>
              <w:tc>
                <w:tcPr>
                  <w:tcW w:w="532" w:type="pct"/>
                  <w:tcBorders>
                    <w:tl2br w:val="nil"/>
                    <w:tr2bl w:val="nil"/>
                  </w:tcBorders>
                  <w:noWrap w:val="0"/>
                  <w:vAlign w:val="center"/>
                </w:tcPr>
                <w:p w14:paraId="3BB3FF6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r>
            <w:tr w14:paraId="295FB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29" w:type="dxa"/>
                  <w:tcBorders>
                    <w:tl2br w:val="nil"/>
                    <w:tr2bl w:val="nil"/>
                  </w:tcBorders>
                  <w:noWrap w:val="0"/>
                  <w:vAlign w:val="center"/>
                </w:tcPr>
                <w:p w14:paraId="075BFA2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w:t>
                  </w:r>
                  <w:r>
                    <w:rPr>
                      <w:rFonts w:hint="eastAsia" w:ascii="Times New Roman" w:hAnsi="Times New Roman" w:cs="Times New Roman"/>
                      <w:b w:val="0"/>
                      <w:bCs/>
                      <w:color w:val="auto"/>
                      <w:lang w:val="en-US" w:eastAsia="zh-CN"/>
                    </w:rPr>
                    <w:t>2</w:t>
                  </w:r>
                </w:p>
              </w:tc>
              <w:tc>
                <w:tcPr>
                  <w:tcW w:w="2110" w:type="dxa"/>
                  <w:tcBorders>
                    <w:tl2br w:val="nil"/>
                    <w:tr2bl w:val="nil"/>
                  </w:tcBorders>
                  <w:noWrap w:val="0"/>
                  <w:vAlign w:val="center"/>
                </w:tcPr>
                <w:p w14:paraId="2926A24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布袋除尘器</w:t>
                  </w:r>
                </w:p>
              </w:tc>
              <w:tc>
                <w:tcPr>
                  <w:tcW w:w="1925" w:type="dxa"/>
                  <w:tcBorders>
                    <w:tl2br w:val="nil"/>
                    <w:tr2bl w:val="nil"/>
                  </w:tcBorders>
                  <w:noWrap w:val="0"/>
                  <w:vAlign w:val="center"/>
                </w:tcPr>
                <w:p w14:paraId="5C154E9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1232" w:type="dxa"/>
                  <w:tcBorders>
                    <w:tl2br w:val="nil"/>
                    <w:tr2bl w:val="nil"/>
                  </w:tcBorders>
                  <w:noWrap w:val="0"/>
                  <w:vAlign w:val="center"/>
                </w:tcPr>
                <w:p w14:paraId="32E9F03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套</w:t>
                  </w:r>
                </w:p>
              </w:tc>
              <w:tc>
                <w:tcPr>
                  <w:tcW w:w="1726" w:type="dxa"/>
                  <w:tcBorders>
                    <w:tl2br w:val="nil"/>
                    <w:tr2bl w:val="nil"/>
                  </w:tcBorders>
                  <w:noWrap w:val="0"/>
                  <w:vAlign w:val="center"/>
                </w:tcPr>
                <w:p w14:paraId="0A549A8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w:t>
                  </w:r>
                </w:p>
              </w:tc>
              <w:tc>
                <w:tcPr>
                  <w:tcW w:w="909" w:type="dxa"/>
                  <w:tcBorders>
                    <w:tl2br w:val="nil"/>
                    <w:tr2bl w:val="nil"/>
                  </w:tcBorders>
                  <w:noWrap w:val="0"/>
                  <w:vAlign w:val="center"/>
                </w:tcPr>
                <w:p w14:paraId="13502F5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r>
            <w:tr w14:paraId="32A2E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29" w:type="dxa"/>
                  <w:tcBorders>
                    <w:tl2br w:val="nil"/>
                    <w:tr2bl w:val="nil"/>
                  </w:tcBorders>
                  <w:noWrap w:val="0"/>
                  <w:vAlign w:val="center"/>
                </w:tcPr>
                <w:p w14:paraId="5648E59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23</w:t>
                  </w:r>
                </w:p>
              </w:tc>
              <w:tc>
                <w:tcPr>
                  <w:tcW w:w="1236" w:type="pct"/>
                  <w:tcBorders>
                    <w:tl2br w:val="nil"/>
                    <w:tr2bl w:val="nil"/>
                  </w:tcBorders>
                  <w:noWrap w:val="0"/>
                  <w:vAlign w:val="center"/>
                </w:tcPr>
                <w:p w14:paraId="4AB8E60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移动式袋式除尘器</w:t>
                  </w:r>
                </w:p>
              </w:tc>
              <w:tc>
                <w:tcPr>
                  <w:tcW w:w="1128" w:type="pct"/>
                  <w:tcBorders>
                    <w:tl2br w:val="nil"/>
                    <w:tr2bl w:val="nil"/>
                  </w:tcBorders>
                  <w:noWrap w:val="0"/>
                  <w:vAlign w:val="center"/>
                </w:tcPr>
                <w:p w14:paraId="40CA068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722" w:type="pct"/>
                  <w:tcBorders>
                    <w:tl2br w:val="nil"/>
                    <w:tr2bl w:val="nil"/>
                  </w:tcBorders>
                  <w:noWrap w:val="0"/>
                  <w:vAlign w:val="center"/>
                </w:tcPr>
                <w:p w14:paraId="0916ACB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套</w:t>
                  </w:r>
                </w:p>
              </w:tc>
              <w:tc>
                <w:tcPr>
                  <w:tcW w:w="1011" w:type="pct"/>
                  <w:tcBorders>
                    <w:tl2br w:val="nil"/>
                    <w:tr2bl w:val="nil"/>
                  </w:tcBorders>
                  <w:noWrap w:val="0"/>
                  <w:vAlign w:val="center"/>
                </w:tcPr>
                <w:p w14:paraId="13C528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w:t>
                  </w:r>
                </w:p>
              </w:tc>
              <w:tc>
                <w:tcPr>
                  <w:tcW w:w="532" w:type="pct"/>
                  <w:tcBorders>
                    <w:tl2br w:val="nil"/>
                    <w:tr2bl w:val="nil"/>
                  </w:tcBorders>
                  <w:noWrap w:val="0"/>
                  <w:vAlign w:val="center"/>
                </w:tcPr>
                <w:p w14:paraId="69E41B5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r>
            <w:tr w14:paraId="1F6E3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29" w:type="dxa"/>
                  <w:tcBorders>
                    <w:tl2br w:val="nil"/>
                    <w:tr2bl w:val="nil"/>
                  </w:tcBorders>
                  <w:noWrap w:val="0"/>
                  <w:vAlign w:val="center"/>
                </w:tcPr>
                <w:p w14:paraId="151FE3B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w:t>
                  </w:r>
                  <w:r>
                    <w:rPr>
                      <w:rFonts w:hint="eastAsia" w:ascii="Times New Roman" w:hAnsi="Times New Roman" w:cs="Times New Roman"/>
                      <w:b w:val="0"/>
                      <w:bCs/>
                      <w:color w:val="auto"/>
                      <w:lang w:val="en-US" w:eastAsia="zh-CN"/>
                    </w:rPr>
                    <w:t>4</w:t>
                  </w:r>
                </w:p>
              </w:tc>
              <w:tc>
                <w:tcPr>
                  <w:tcW w:w="1236" w:type="pct"/>
                  <w:tcBorders>
                    <w:tl2br w:val="nil"/>
                    <w:tr2bl w:val="nil"/>
                  </w:tcBorders>
                  <w:noWrap w:val="0"/>
                  <w:vAlign w:val="center"/>
                </w:tcPr>
                <w:p w14:paraId="161F616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移动式烟尘净化器</w:t>
                  </w:r>
                </w:p>
              </w:tc>
              <w:tc>
                <w:tcPr>
                  <w:tcW w:w="1925" w:type="dxa"/>
                  <w:tcBorders>
                    <w:tl2br w:val="nil"/>
                    <w:tr2bl w:val="nil"/>
                  </w:tcBorders>
                  <w:noWrap w:val="0"/>
                  <w:vAlign w:val="center"/>
                </w:tcPr>
                <w:p w14:paraId="43F84E5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1232" w:type="dxa"/>
                  <w:tcBorders>
                    <w:tl2br w:val="nil"/>
                    <w:tr2bl w:val="nil"/>
                  </w:tcBorders>
                  <w:noWrap w:val="0"/>
                  <w:vAlign w:val="center"/>
                </w:tcPr>
                <w:p w14:paraId="2936BE1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台</w:t>
                  </w:r>
                </w:p>
              </w:tc>
              <w:tc>
                <w:tcPr>
                  <w:tcW w:w="1726" w:type="dxa"/>
                  <w:tcBorders>
                    <w:tl2br w:val="nil"/>
                    <w:tr2bl w:val="nil"/>
                  </w:tcBorders>
                  <w:noWrap w:val="0"/>
                  <w:vAlign w:val="center"/>
                </w:tcPr>
                <w:p w14:paraId="20F8195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6</w:t>
                  </w:r>
                </w:p>
              </w:tc>
              <w:tc>
                <w:tcPr>
                  <w:tcW w:w="909" w:type="dxa"/>
                  <w:tcBorders>
                    <w:tl2br w:val="nil"/>
                    <w:tr2bl w:val="nil"/>
                  </w:tcBorders>
                  <w:noWrap w:val="0"/>
                  <w:vAlign w:val="center"/>
                </w:tcPr>
                <w:p w14:paraId="733E9E7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r>
            <w:tr w14:paraId="01D28A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1" w:hRule="atLeast"/>
                <w:jc w:val="center"/>
              </w:trPr>
              <w:tc>
                <w:tcPr>
                  <w:tcW w:w="629" w:type="dxa"/>
                  <w:tcBorders>
                    <w:tl2br w:val="nil"/>
                    <w:tr2bl w:val="nil"/>
                  </w:tcBorders>
                  <w:noWrap w:val="0"/>
                  <w:vAlign w:val="center"/>
                </w:tcPr>
                <w:p w14:paraId="36729A4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25</w:t>
                  </w:r>
                </w:p>
              </w:tc>
              <w:tc>
                <w:tcPr>
                  <w:tcW w:w="1236" w:type="pct"/>
                  <w:tcBorders>
                    <w:tl2br w:val="nil"/>
                    <w:tr2bl w:val="nil"/>
                  </w:tcBorders>
                  <w:noWrap w:val="0"/>
                  <w:vAlign w:val="center"/>
                </w:tcPr>
                <w:p w14:paraId="2190971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color w:val="auto"/>
                      <w:lang w:val="en-US" w:eastAsia="zh-CN"/>
                    </w:rPr>
                    <w:t>干式漆雾过滤器</w:t>
                  </w:r>
                </w:p>
              </w:tc>
              <w:tc>
                <w:tcPr>
                  <w:tcW w:w="1128" w:type="pct"/>
                  <w:tcBorders>
                    <w:tl2br w:val="nil"/>
                    <w:tr2bl w:val="nil"/>
                  </w:tcBorders>
                  <w:noWrap w:val="0"/>
                  <w:vAlign w:val="center"/>
                </w:tcPr>
                <w:p w14:paraId="5CD6E4C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c>
                <w:tcPr>
                  <w:tcW w:w="722" w:type="pct"/>
                  <w:tcBorders>
                    <w:tl2br w:val="nil"/>
                    <w:tr2bl w:val="nil"/>
                  </w:tcBorders>
                  <w:noWrap w:val="0"/>
                  <w:vAlign w:val="center"/>
                </w:tcPr>
                <w:p w14:paraId="7B0F85D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套</w:t>
                  </w:r>
                </w:p>
              </w:tc>
              <w:tc>
                <w:tcPr>
                  <w:tcW w:w="1011" w:type="pct"/>
                  <w:tcBorders>
                    <w:tl2br w:val="nil"/>
                    <w:tr2bl w:val="nil"/>
                  </w:tcBorders>
                  <w:noWrap w:val="0"/>
                  <w:vAlign w:val="center"/>
                </w:tcPr>
                <w:p w14:paraId="664E95A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w:t>
                  </w:r>
                </w:p>
              </w:tc>
              <w:tc>
                <w:tcPr>
                  <w:tcW w:w="532" w:type="pct"/>
                  <w:tcBorders>
                    <w:tl2br w:val="nil"/>
                    <w:tr2bl w:val="nil"/>
                  </w:tcBorders>
                  <w:noWrap w:val="0"/>
                  <w:vAlign w:val="center"/>
                </w:tcPr>
                <w:p w14:paraId="2B0135D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r>
            <w:tr w14:paraId="384F1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1" w:hRule="atLeast"/>
                <w:jc w:val="center"/>
              </w:trPr>
              <w:tc>
                <w:tcPr>
                  <w:tcW w:w="629" w:type="dxa"/>
                  <w:tcBorders>
                    <w:tl2br w:val="nil"/>
                    <w:tr2bl w:val="nil"/>
                  </w:tcBorders>
                  <w:noWrap w:val="0"/>
                  <w:vAlign w:val="center"/>
                </w:tcPr>
                <w:p w14:paraId="090D171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26</w:t>
                  </w:r>
                </w:p>
              </w:tc>
              <w:tc>
                <w:tcPr>
                  <w:tcW w:w="1236" w:type="pct"/>
                  <w:tcBorders>
                    <w:tl2br w:val="nil"/>
                    <w:tr2bl w:val="nil"/>
                  </w:tcBorders>
                  <w:noWrap w:val="0"/>
                  <w:vAlign w:val="center"/>
                </w:tcPr>
                <w:p w14:paraId="109DFE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两级活性炭吸附装置</w:t>
                  </w:r>
                </w:p>
              </w:tc>
              <w:tc>
                <w:tcPr>
                  <w:tcW w:w="1128" w:type="pct"/>
                  <w:tcBorders>
                    <w:tl2br w:val="nil"/>
                    <w:tr2bl w:val="nil"/>
                  </w:tcBorders>
                  <w:noWrap w:val="0"/>
                  <w:vAlign w:val="center"/>
                </w:tcPr>
                <w:p w14:paraId="1518E4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3.0</w:t>
                  </w:r>
                  <w:r>
                    <w:rPr>
                      <w:rFonts w:hint="default" w:ascii="Times New Roman" w:hAnsi="Times New Roman" w:cs="Times New Roman"/>
                      <w:color w:val="auto"/>
                    </w:rPr>
                    <w:t>m×</w:t>
                  </w:r>
                  <w:r>
                    <w:rPr>
                      <w:rFonts w:hint="default" w:ascii="Times New Roman" w:hAnsi="Times New Roman" w:cs="Times New Roman"/>
                      <w:color w:val="auto"/>
                      <w:lang w:val="en-US" w:eastAsia="zh-CN"/>
                    </w:rPr>
                    <w:t>2.3</w:t>
                  </w:r>
                  <w:r>
                    <w:rPr>
                      <w:rFonts w:hint="default" w:ascii="Times New Roman" w:hAnsi="Times New Roman" w:cs="Times New Roman"/>
                      <w:color w:val="auto"/>
                    </w:rPr>
                    <w:t>m×</w:t>
                  </w:r>
                  <w:r>
                    <w:rPr>
                      <w:rFonts w:hint="default" w:ascii="Times New Roman" w:hAnsi="Times New Roman" w:cs="Times New Roman"/>
                      <w:color w:val="auto"/>
                      <w:lang w:val="en-US" w:eastAsia="zh-CN"/>
                    </w:rPr>
                    <w:t>0.6</w:t>
                  </w:r>
                  <w:r>
                    <w:rPr>
                      <w:rFonts w:hint="default" w:ascii="Times New Roman" w:hAnsi="Times New Roman" w:cs="Times New Roman"/>
                      <w:color w:val="auto"/>
                    </w:rPr>
                    <w:t>m</w:t>
                  </w:r>
                </w:p>
              </w:tc>
              <w:tc>
                <w:tcPr>
                  <w:tcW w:w="722" w:type="pct"/>
                  <w:tcBorders>
                    <w:tl2br w:val="nil"/>
                    <w:tr2bl w:val="nil"/>
                  </w:tcBorders>
                  <w:noWrap w:val="0"/>
                  <w:vAlign w:val="center"/>
                </w:tcPr>
                <w:p w14:paraId="0CA31E5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套</w:t>
                  </w:r>
                </w:p>
              </w:tc>
              <w:tc>
                <w:tcPr>
                  <w:tcW w:w="1011" w:type="pct"/>
                  <w:tcBorders>
                    <w:tl2br w:val="nil"/>
                    <w:tr2bl w:val="nil"/>
                  </w:tcBorders>
                  <w:noWrap w:val="0"/>
                  <w:vAlign w:val="center"/>
                </w:tcPr>
                <w:p w14:paraId="6F1582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w:t>
                  </w:r>
                </w:p>
              </w:tc>
              <w:tc>
                <w:tcPr>
                  <w:tcW w:w="532" w:type="pct"/>
                  <w:tcBorders>
                    <w:tl2br w:val="nil"/>
                    <w:tr2bl w:val="nil"/>
                  </w:tcBorders>
                  <w:noWrap w:val="0"/>
                  <w:vAlign w:val="center"/>
                </w:tcPr>
                <w:p w14:paraId="5CEAF23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r>
          </w:tbl>
          <w:p w14:paraId="35F1C969">
            <w:pPr>
              <w:bidi w:val="0"/>
              <w:spacing w:line="240" w:lineRule="auto"/>
              <w:rPr>
                <w:rFonts w:hint="default"/>
              </w:rPr>
            </w:pPr>
          </w:p>
          <w:p w14:paraId="654AFE5F">
            <w:pPr>
              <w:spacing w:line="360" w:lineRule="auto"/>
              <w:ind w:left="0" w:leftChars="0" w:firstLine="0" w:firstLineChars="0"/>
              <w:rPr>
                <w:rFonts w:hint="default" w:ascii="Times New Roman" w:hAnsi="Times New Roman" w:eastAsia="宋体" w:cs="Times New Roman"/>
                <w:b/>
                <w:color w:val="auto"/>
                <w:sz w:val="24"/>
                <w:lang w:eastAsia="zh-CN"/>
              </w:rPr>
            </w:pPr>
            <w:r>
              <w:rPr>
                <w:rFonts w:hint="default" w:ascii="Times New Roman" w:hAnsi="Times New Roman" w:cs="Times New Roman"/>
                <w:b/>
                <w:color w:val="auto"/>
                <w:sz w:val="24"/>
              </w:rPr>
              <w:t>2.5</w:t>
            </w:r>
            <w:r>
              <w:rPr>
                <w:rFonts w:hint="default" w:ascii="Times New Roman" w:hAnsi="Times New Roman" w:cs="Times New Roman"/>
                <w:b/>
                <w:color w:val="auto"/>
                <w:sz w:val="24"/>
                <w:lang w:val="en-US" w:eastAsia="zh-CN"/>
              </w:rPr>
              <w:t>主要</w:t>
            </w:r>
            <w:r>
              <w:rPr>
                <w:rFonts w:hint="default" w:ascii="Times New Roman" w:hAnsi="Times New Roman" w:cs="Times New Roman"/>
                <w:b/>
                <w:color w:val="auto"/>
                <w:sz w:val="24"/>
              </w:rPr>
              <w:t>原辅料</w:t>
            </w:r>
            <w:r>
              <w:rPr>
                <w:rFonts w:hint="default" w:ascii="Times New Roman" w:hAnsi="Times New Roman" w:cs="Times New Roman"/>
                <w:b/>
                <w:color w:val="auto"/>
                <w:sz w:val="24"/>
                <w:lang w:eastAsia="zh-CN"/>
              </w:rPr>
              <w:t>用量及理化性质</w:t>
            </w:r>
          </w:p>
          <w:p w14:paraId="0DAF5AF1">
            <w:pPr>
              <w:spacing w:line="360" w:lineRule="auto"/>
              <w:rPr>
                <w:rFonts w:hint="default" w:ascii="Times New Roman" w:hAnsi="Times New Roman" w:eastAsia="宋体" w:cs="Times New Roman"/>
                <w:b/>
                <w:color w:val="auto"/>
                <w:sz w:val="24"/>
                <w:lang w:eastAsia="zh-CN"/>
              </w:rPr>
            </w:pPr>
            <w:r>
              <w:rPr>
                <w:rFonts w:hint="default" w:ascii="Times New Roman" w:hAnsi="Times New Roman" w:cs="Times New Roman"/>
                <w:b/>
                <w:color w:val="auto"/>
                <w:sz w:val="24"/>
                <w:lang w:eastAsia="zh-CN"/>
              </w:rPr>
              <w:t>（</w:t>
            </w:r>
            <w:r>
              <w:rPr>
                <w:rFonts w:hint="default" w:ascii="Times New Roman" w:hAnsi="Times New Roman" w:cs="Times New Roman"/>
                <w:b/>
                <w:color w:val="auto"/>
                <w:sz w:val="24"/>
                <w:lang w:val="en-US" w:eastAsia="zh-CN"/>
              </w:rPr>
              <w:t>1</w:t>
            </w:r>
            <w:r>
              <w:rPr>
                <w:rFonts w:hint="default" w:ascii="Times New Roman" w:hAnsi="Times New Roman" w:cs="Times New Roman"/>
                <w:b/>
                <w:color w:val="auto"/>
                <w:sz w:val="24"/>
                <w:lang w:eastAsia="zh-CN"/>
              </w:rPr>
              <w:t>）原辅料用量</w:t>
            </w:r>
          </w:p>
          <w:p w14:paraId="1E725D8D">
            <w:pPr>
              <w:pStyle w:val="38"/>
              <w:bidi w:val="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表</w:t>
            </w:r>
            <w:r>
              <w:rPr>
                <w:rFonts w:hint="default" w:ascii="Times New Roman" w:hAnsi="Times New Roman" w:cs="Times New Roman"/>
                <w:color w:val="auto"/>
                <w:szCs w:val="21"/>
                <w:highlight w:val="none"/>
                <w:lang w:val="en-US"/>
              </w:rPr>
              <w:t>2-</w:t>
            </w:r>
            <w:r>
              <w:rPr>
                <w:rFonts w:hint="default" w:ascii="Times New Roman" w:hAnsi="Times New Roman" w:cs="Times New Roman"/>
                <w:color w:val="auto"/>
                <w:szCs w:val="21"/>
                <w:highlight w:val="none"/>
                <w:lang w:val="en-US" w:eastAsia="zh-CN"/>
              </w:rPr>
              <w:t xml:space="preserve">5  </w:t>
            </w:r>
            <w:r>
              <w:rPr>
                <w:rFonts w:hint="default" w:ascii="Times New Roman" w:hAnsi="Times New Roman" w:cs="Times New Roman"/>
                <w:color w:val="auto"/>
                <w:szCs w:val="21"/>
                <w:highlight w:val="none"/>
              </w:rPr>
              <w:t>项目主要</w:t>
            </w:r>
            <w:r>
              <w:rPr>
                <w:rFonts w:hint="default" w:ascii="Times New Roman" w:hAnsi="Times New Roman" w:cs="Times New Roman"/>
                <w:color w:val="auto"/>
                <w:szCs w:val="21"/>
                <w:highlight w:val="none"/>
                <w:lang w:val="en-US"/>
              </w:rPr>
              <w:t>原辅料信息</w:t>
            </w:r>
            <w:r>
              <w:rPr>
                <w:rFonts w:hint="default" w:ascii="Times New Roman" w:hAnsi="Times New Roman" w:cs="Times New Roman"/>
                <w:color w:val="auto"/>
                <w:szCs w:val="21"/>
                <w:highlight w:val="none"/>
              </w:rPr>
              <w:t>一览表</w:t>
            </w:r>
          </w:p>
          <w:tbl>
            <w:tblPr>
              <w:tblStyle w:val="32"/>
              <w:tblW w:w="860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02"/>
              <w:gridCol w:w="1960"/>
              <w:gridCol w:w="927"/>
              <w:gridCol w:w="738"/>
              <w:gridCol w:w="869"/>
              <w:gridCol w:w="785"/>
              <w:gridCol w:w="968"/>
              <w:gridCol w:w="1071"/>
              <w:gridCol w:w="684"/>
            </w:tblGrid>
            <w:tr w14:paraId="4FBD3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4" w:hRule="atLeast"/>
                <w:jc w:val="center"/>
              </w:trPr>
              <w:tc>
                <w:tcPr>
                  <w:tcW w:w="602" w:type="dxa"/>
                  <w:tcBorders>
                    <w:tl2br w:val="nil"/>
                    <w:tr2bl w:val="nil"/>
                  </w:tcBorders>
                  <w:vAlign w:val="center"/>
                </w:tcPr>
                <w:p w14:paraId="12F9985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序号</w:t>
                  </w:r>
                </w:p>
              </w:tc>
              <w:tc>
                <w:tcPr>
                  <w:tcW w:w="1960" w:type="dxa"/>
                  <w:tcBorders>
                    <w:tl2br w:val="nil"/>
                    <w:tr2bl w:val="nil"/>
                  </w:tcBorders>
                  <w:vAlign w:val="center"/>
                </w:tcPr>
                <w:p w14:paraId="37BB15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原辅料名称</w:t>
                  </w:r>
                </w:p>
              </w:tc>
              <w:tc>
                <w:tcPr>
                  <w:tcW w:w="927" w:type="dxa"/>
                  <w:tcBorders>
                    <w:tl2br w:val="nil"/>
                    <w:tr2bl w:val="nil"/>
                  </w:tcBorders>
                  <w:vAlign w:val="center"/>
                </w:tcPr>
                <w:p w14:paraId="103517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年用量</w:t>
                  </w:r>
                </w:p>
              </w:tc>
              <w:tc>
                <w:tcPr>
                  <w:tcW w:w="738" w:type="dxa"/>
                  <w:tcBorders>
                    <w:tl2br w:val="nil"/>
                    <w:tr2bl w:val="nil"/>
                  </w:tcBorders>
                  <w:vAlign w:val="center"/>
                </w:tcPr>
                <w:p w14:paraId="1632FB5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单位</w:t>
                  </w:r>
                </w:p>
              </w:tc>
              <w:tc>
                <w:tcPr>
                  <w:tcW w:w="869" w:type="dxa"/>
                  <w:tcBorders>
                    <w:tl2br w:val="nil"/>
                    <w:tr2bl w:val="nil"/>
                  </w:tcBorders>
                  <w:vAlign w:val="center"/>
                </w:tcPr>
                <w:p w14:paraId="323579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最大储存量</w:t>
                  </w:r>
                </w:p>
              </w:tc>
              <w:tc>
                <w:tcPr>
                  <w:tcW w:w="785" w:type="dxa"/>
                  <w:tcBorders>
                    <w:tl2br w:val="nil"/>
                    <w:tr2bl w:val="nil"/>
                  </w:tcBorders>
                  <w:vAlign w:val="center"/>
                </w:tcPr>
                <w:p w14:paraId="2D3BEA9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储存方式</w:t>
                  </w:r>
                </w:p>
              </w:tc>
              <w:tc>
                <w:tcPr>
                  <w:tcW w:w="968" w:type="dxa"/>
                  <w:tcBorders>
                    <w:tl2br w:val="nil"/>
                    <w:tr2bl w:val="nil"/>
                  </w:tcBorders>
                  <w:vAlign w:val="center"/>
                </w:tcPr>
                <w:p w14:paraId="37AACD4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物料状态</w:t>
                  </w:r>
                </w:p>
              </w:tc>
              <w:tc>
                <w:tcPr>
                  <w:tcW w:w="1071" w:type="dxa"/>
                  <w:tcBorders>
                    <w:tl2br w:val="nil"/>
                    <w:tr2bl w:val="nil"/>
                  </w:tcBorders>
                  <w:vAlign w:val="center"/>
                </w:tcPr>
                <w:p w14:paraId="4DA352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包装规格</w:t>
                  </w:r>
                </w:p>
              </w:tc>
              <w:tc>
                <w:tcPr>
                  <w:tcW w:w="684" w:type="dxa"/>
                  <w:tcBorders>
                    <w:tl2br w:val="nil"/>
                    <w:tr2bl w:val="nil"/>
                  </w:tcBorders>
                  <w:vAlign w:val="center"/>
                </w:tcPr>
                <w:p w14:paraId="60E1D6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备注</w:t>
                  </w:r>
                </w:p>
              </w:tc>
            </w:tr>
            <w:tr w14:paraId="6CCC9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2F6160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w:t>
                  </w:r>
                </w:p>
              </w:tc>
              <w:tc>
                <w:tcPr>
                  <w:tcW w:w="1960" w:type="dxa"/>
                  <w:tcBorders>
                    <w:tl2br w:val="nil"/>
                    <w:tr2bl w:val="nil"/>
                  </w:tcBorders>
                  <w:vAlign w:val="center"/>
                </w:tcPr>
                <w:p w14:paraId="6A818E2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钢材</w:t>
                  </w:r>
                </w:p>
              </w:tc>
              <w:tc>
                <w:tcPr>
                  <w:tcW w:w="927" w:type="dxa"/>
                  <w:tcBorders>
                    <w:tl2br w:val="nil"/>
                    <w:tr2bl w:val="nil"/>
                  </w:tcBorders>
                  <w:vAlign w:val="center"/>
                </w:tcPr>
                <w:p w14:paraId="60A37D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3533</w:t>
                  </w:r>
                </w:p>
              </w:tc>
              <w:tc>
                <w:tcPr>
                  <w:tcW w:w="738" w:type="dxa"/>
                  <w:tcBorders>
                    <w:tl2br w:val="nil"/>
                    <w:tr2bl w:val="nil"/>
                  </w:tcBorders>
                  <w:vAlign w:val="center"/>
                </w:tcPr>
                <w:p w14:paraId="387840D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3998CDA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71720A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479CA2E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A6B965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100kg/捆</w:t>
                  </w:r>
                </w:p>
              </w:tc>
              <w:tc>
                <w:tcPr>
                  <w:tcW w:w="684" w:type="dxa"/>
                  <w:tcBorders>
                    <w:tl2br w:val="nil"/>
                    <w:tr2bl w:val="nil"/>
                  </w:tcBorders>
                  <w:vAlign w:val="center"/>
                </w:tcPr>
                <w:p w14:paraId="59A717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7226E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C61D03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w:t>
                  </w:r>
                </w:p>
              </w:tc>
              <w:tc>
                <w:tcPr>
                  <w:tcW w:w="1960" w:type="dxa"/>
                  <w:tcBorders>
                    <w:tl2br w:val="nil"/>
                    <w:tr2bl w:val="nil"/>
                  </w:tcBorders>
                  <w:vAlign w:val="center"/>
                </w:tcPr>
                <w:p w14:paraId="0689CD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主缸</w:t>
                  </w:r>
                </w:p>
              </w:tc>
              <w:tc>
                <w:tcPr>
                  <w:tcW w:w="927" w:type="dxa"/>
                  <w:tcBorders>
                    <w:tl2br w:val="nil"/>
                    <w:tr2bl w:val="nil"/>
                  </w:tcBorders>
                  <w:vAlign w:val="center"/>
                </w:tcPr>
                <w:p w14:paraId="7496B35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1CAFB85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953A4D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541AC9E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9E343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2CA4CA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7423CE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根据客户需求委外定制</w:t>
                  </w:r>
                </w:p>
              </w:tc>
            </w:tr>
            <w:tr w14:paraId="435CC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EA64C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w:t>
                  </w:r>
                </w:p>
              </w:tc>
              <w:tc>
                <w:tcPr>
                  <w:tcW w:w="1960" w:type="dxa"/>
                  <w:tcBorders>
                    <w:tl2br w:val="nil"/>
                    <w:tr2bl w:val="nil"/>
                  </w:tcBorders>
                  <w:vAlign w:val="center"/>
                </w:tcPr>
                <w:p w14:paraId="625E7DC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冷硬铸铁柱塞</w:t>
                  </w:r>
                </w:p>
              </w:tc>
              <w:tc>
                <w:tcPr>
                  <w:tcW w:w="927" w:type="dxa"/>
                  <w:tcBorders>
                    <w:tl2br w:val="nil"/>
                    <w:tr2bl w:val="nil"/>
                  </w:tcBorders>
                  <w:vAlign w:val="center"/>
                </w:tcPr>
                <w:p w14:paraId="379CF1A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0C39C9F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7B7563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2368574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0FA364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33A00A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D1AE40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AE98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BDC61E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w:t>
                  </w:r>
                </w:p>
              </w:tc>
              <w:tc>
                <w:tcPr>
                  <w:tcW w:w="1960" w:type="dxa"/>
                  <w:tcBorders>
                    <w:tl2br w:val="nil"/>
                    <w:tr2bl w:val="nil"/>
                  </w:tcBorders>
                  <w:vAlign w:val="center"/>
                </w:tcPr>
                <w:p w14:paraId="340C48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张力柱</w:t>
                  </w:r>
                </w:p>
              </w:tc>
              <w:tc>
                <w:tcPr>
                  <w:tcW w:w="927" w:type="dxa"/>
                  <w:tcBorders>
                    <w:tl2br w:val="nil"/>
                    <w:tr2bl w:val="nil"/>
                  </w:tcBorders>
                  <w:vAlign w:val="center"/>
                </w:tcPr>
                <w:p w14:paraId="3E5F9F1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17084D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CB9A24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85" w:type="dxa"/>
                  <w:tcBorders>
                    <w:tl2br w:val="nil"/>
                    <w:tr2bl w:val="nil"/>
                  </w:tcBorders>
                  <w:vAlign w:val="center"/>
                </w:tcPr>
                <w:p w14:paraId="46149A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C69C52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2C2B4C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D45B8B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073B9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15C5CF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w:t>
                  </w:r>
                </w:p>
              </w:tc>
              <w:tc>
                <w:tcPr>
                  <w:tcW w:w="1960" w:type="dxa"/>
                  <w:tcBorders>
                    <w:tl2br w:val="nil"/>
                    <w:tr2bl w:val="nil"/>
                  </w:tcBorders>
                  <w:vAlign w:val="center"/>
                </w:tcPr>
                <w:p w14:paraId="58DDBAF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上下应力套</w:t>
                  </w:r>
                </w:p>
              </w:tc>
              <w:tc>
                <w:tcPr>
                  <w:tcW w:w="927" w:type="dxa"/>
                  <w:tcBorders>
                    <w:tl2br w:val="nil"/>
                    <w:tr2bl w:val="nil"/>
                  </w:tcBorders>
                  <w:vAlign w:val="center"/>
                </w:tcPr>
                <w:p w14:paraId="4A0D31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4FFF430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3C585B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85" w:type="dxa"/>
                  <w:tcBorders>
                    <w:tl2br w:val="nil"/>
                    <w:tr2bl w:val="nil"/>
                  </w:tcBorders>
                  <w:vAlign w:val="center"/>
                </w:tcPr>
                <w:p w14:paraId="67D4A0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9F2555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7B81D1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4FABE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3ED42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D5278F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w:t>
                  </w:r>
                </w:p>
              </w:tc>
              <w:tc>
                <w:tcPr>
                  <w:tcW w:w="1960" w:type="dxa"/>
                  <w:tcBorders>
                    <w:tl2br w:val="nil"/>
                    <w:tr2bl w:val="nil"/>
                  </w:tcBorders>
                  <w:vAlign w:val="center"/>
                </w:tcPr>
                <w:p w14:paraId="6710CD3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张力柱螺母</w:t>
                  </w:r>
                </w:p>
              </w:tc>
              <w:tc>
                <w:tcPr>
                  <w:tcW w:w="927" w:type="dxa"/>
                  <w:tcBorders>
                    <w:tl2br w:val="nil"/>
                    <w:tr2bl w:val="nil"/>
                  </w:tcBorders>
                  <w:vAlign w:val="center"/>
                </w:tcPr>
                <w:p w14:paraId="692426E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21C5F35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E1C65D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85" w:type="dxa"/>
                  <w:tcBorders>
                    <w:tl2br w:val="nil"/>
                    <w:tr2bl w:val="nil"/>
                  </w:tcBorders>
                  <w:vAlign w:val="center"/>
                </w:tcPr>
                <w:p w14:paraId="567CC1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7DE073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BF97D0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E5949A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5CC72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08962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7</w:t>
                  </w:r>
                </w:p>
              </w:tc>
              <w:tc>
                <w:tcPr>
                  <w:tcW w:w="1960" w:type="dxa"/>
                  <w:tcBorders>
                    <w:tl2br w:val="nil"/>
                    <w:tr2bl w:val="nil"/>
                  </w:tcBorders>
                  <w:vAlign w:val="center"/>
                </w:tcPr>
                <w:p w14:paraId="268E3A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前梁</w:t>
                  </w:r>
                </w:p>
              </w:tc>
              <w:tc>
                <w:tcPr>
                  <w:tcW w:w="927" w:type="dxa"/>
                  <w:tcBorders>
                    <w:tl2br w:val="nil"/>
                    <w:tr2bl w:val="nil"/>
                  </w:tcBorders>
                  <w:vAlign w:val="center"/>
                </w:tcPr>
                <w:p w14:paraId="4EBFCB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670436C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98F058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4F2679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A97D3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D4AD02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247305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7C051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CE4A63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8</w:t>
                  </w:r>
                </w:p>
              </w:tc>
              <w:tc>
                <w:tcPr>
                  <w:tcW w:w="1960" w:type="dxa"/>
                  <w:tcBorders>
                    <w:tl2br w:val="nil"/>
                    <w:tr2bl w:val="nil"/>
                  </w:tcBorders>
                  <w:vAlign w:val="center"/>
                </w:tcPr>
                <w:p w14:paraId="0778CE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主缸座</w:t>
                  </w:r>
                </w:p>
              </w:tc>
              <w:tc>
                <w:tcPr>
                  <w:tcW w:w="927" w:type="dxa"/>
                  <w:tcBorders>
                    <w:tl2br w:val="nil"/>
                    <w:tr2bl w:val="nil"/>
                  </w:tcBorders>
                  <w:vAlign w:val="center"/>
                </w:tcPr>
                <w:p w14:paraId="30FCCEA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5364D06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531DA4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6A05C3B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CDFB6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DE6883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1FB18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628C3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7909098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9</w:t>
                  </w:r>
                </w:p>
              </w:tc>
              <w:tc>
                <w:tcPr>
                  <w:tcW w:w="1960" w:type="dxa"/>
                  <w:tcBorders>
                    <w:tl2br w:val="nil"/>
                    <w:tr2bl w:val="nil"/>
                  </w:tcBorders>
                  <w:vAlign w:val="center"/>
                </w:tcPr>
                <w:p w14:paraId="32B7D37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保温座</w:t>
                  </w:r>
                </w:p>
              </w:tc>
              <w:tc>
                <w:tcPr>
                  <w:tcW w:w="927" w:type="dxa"/>
                  <w:tcBorders>
                    <w:tl2br w:val="nil"/>
                    <w:tr2bl w:val="nil"/>
                  </w:tcBorders>
                  <w:vAlign w:val="center"/>
                </w:tcPr>
                <w:p w14:paraId="6C9F042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3296151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3AC79D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0BB8CC0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EBA9E5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F86D65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B429DE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1634B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87139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w:t>
                  </w:r>
                </w:p>
              </w:tc>
              <w:tc>
                <w:tcPr>
                  <w:tcW w:w="1960" w:type="dxa"/>
                  <w:tcBorders>
                    <w:tl2br w:val="nil"/>
                    <w:tr2bl w:val="nil"/>
                  </w:tcBorders>
                  <w:vAlign w:val="center"/>
                </w:tcPr>
                <w:p w14:paraId="29678A9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蝴蝶头</w:t>
                  </w:r>
                </w:p>
              </w:tc>
              <w:tc>
                <w:tcPr>
                  <w:tcW w:w="927" w:type="dxa"/>
                  <w:tcBorders>
                    <w:tl2br w:val="nil"/>
                    <w:tr2bl w:val="nil"/>
                  </w:tcBorders>
                  <w:vAlign w:val="center"/>
                </w:tcPr>
                <w:p w14:paraId="49C0F4A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3B7C0A7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B0EAB3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481172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D8A433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8D604C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2280A4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64F0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31DA92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11</w:t>
                  </w:r>
                </w:p>
              </w:tc>
              <w:tc>
                <w:tcPr>
                  <w:tcW w:w="1960" w:type="dxa"/>
                  <w:tcBorders>
                    <w:tl2br w:val="nil"/>
                    <w:tr2bl w:val="nil"/>
                  </w:tcBorders>
                  <w:vAlign w:val="center"/>
                </w:tcPr>
                <w:p w14:paraId="1F56000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挤压筒</w:t>
                  </w:r>
                </w:p>
              </w:tc>
              <w:tc>
                <w:tcPr>
                  <w:tcW w:w="927" w:type="dxa"/>
                  <w:tcBorders>
                    <w:tl2br w:val="nil"/>
                    <w:tr2bl w:val="nil"/>
                  </w:tcBorders>
                  <w:vAlign w:val="center"/>
                </w:tcPr>
                <w:p w14:paraId="3BA41EF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38" w:type="dxa"/>
                  <w:tcBorders>
                    <w:tl2br w:val="nil"/>
                    <w:tr2bl w:val="nil"/>
                  </w:tcBorders>
                  <w:vAlign w:val="center"/>
                </w:tcPr>
                <w:p w14:paraId="6F764A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AA77C7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85" w:type="dxa"/>
                  <w:tcBorders>
                    <w:tl2br w:val="nil"/>
                    <w:tr2bl w:val="nil"/>
                  </w:tcBorders>
                  <w:vAlign w:val="center"/>
                </w:tcPr>
                <w:p w14:paraId="67A9E81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54B1BD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B85BC7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D0D39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17315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48A4D4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w:t>
                  </w:r>
                </w:p>
              </w:tc>
              <w:tc>
                <w:tcPr>
                  <w:tcW w:w="1960" w:type="dxa"/>
                  <w:tcBorders>
                    <w:tl2br w:val="nil"/>
                    <w:tr2bl w:val="nil"/>
                  </w:tcBorders>
                  <w:vAlign w:val="center"/>
                </w:tcPr>
                <w:p w14:paraId="52B3466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边缸油缸</w:t>
                  </w:r>
                </w:p>
              </w:tc>
              <w:tc>
                <w:tcPr>
                  <w:tcW w:w="927" w:type="dxa"/>
                  <w:tcBorders>
                    <w:tl2br w:val="nil"/>
                    <w:tr2bl w:val="nil"/>
                  </w:tcBorders>
                  <w:vAlign w:val="center"/>
                </w:tcPr>
                <w:p w14:paraId="18107CD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38" w:type="dxa"/>
                  <w:tcBorders>
                    <w:tl2br w:val="nil"/>
                    <w:tr2bl w:val="nil"/>
                  </w:tcBorders>
                  <w:vAlign w:val="center"/>
                </w:tcPr>
                <w:p w14:paraId="75203F8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0A5C8A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85" w:type="dxa"/>
                  <w:tcBorders>
                    <w:tl2br w:val="nil"/>
                    <w:tr2bl w:val="nil"/>
                  </w:tcBorders>
                  <w:vAlign w:val="center"/>
                </w:tcPr>
                <w:p w14:paraId="3A23ED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017391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227449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684B4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2135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44EAFFA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13</w:t>
                  </w:r>
                </w:p>
              </w:tc>
              <w:tc>
                <w:tcPr>
                  <w:tcW w:w="1960" w:type="dxa"/>
                  <w:tcBorders>
                    <w:tl2br w:val="nil"/>
                    <w:tr2bl w:val="nil"/>
                  </w:tcBorders>
                  <w:vAlign w:val="center"/>
                </w:tcPr>
                <w:p w14:paraId="054513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短行程充液阀油缸</w:t>
                  </w:r>
                </w:p>
              </w:tc>
              <w:tc>
                <w:tcPr>
                  <w:tcW w:w="927" w:type="dxa"/>
                  <w:tcBorders>
                    <w:tl2br w:val="nil"/>
                    <w:tr2bl w:val="nil"/>
                  </w:tcBorders>
                  <w:vAlign w:val="center"/>
                </w:tcPr>
                <w:p w14:paraId="14E8B0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458494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501D87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379D7BF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4558F04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8668AD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C8BAF6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02412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34BEA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14</w:t>
                  </w:r>
                </w:p>
              </w:tc>
              <w:tc>
                <w:tcPr>
                  <w:tcW w:w="1960" w:type="dxa"/>
                  <w:tcBorders>
                    <w:tl2br w:val="nil"/>
                    <w:tr2bl w:val="nil"/>
                  </w:tcBorders>
                  <w:vAlign w:val="center"/>
                </w:tcPr>
                <w:p w14:paraId="7C07604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充液阀三通</w:t>
                  </w:r>
                </w:p>
              </w:tc>
              <w:tc>
                <w:tcPr>
                  <w:tcW w:w="927" w:type="dxa"/>
                  <w:tcBorders>
                    <w:tl2br w:val="nil"/>
                    <w:tr2bl w:val="nil"/>
                  </w:tcBorders>
                  <w:vAlign w:val="center"/>
                </w:tcPr>
                <w:p w14:paraId="3B58B1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1C0901F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AD2E3F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0CD0801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37CB1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87B18A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06E2CE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726EB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21CF7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15</w:t>
                  </w:r>
                </w:p>
              </w:tc>
              <w:tc>
                <w:tcPr>
                  <w:tcW w:w="1960" w:type="dxa"/>
                  <w:tcBorders>
                    <w:tl2br w:val="nil"/>
                    <w:tr2bl w:val="nil"/>
                  </w:tcBorders>
                  <w:vAlign w:val="center"/>
                </w:tcPr>
                <w:p w14:paraId="755A71D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打压余油缸</w:t>
                  </w:r>
                </w:p>
              </w:tc>
              <w:tc>
                <w:tcPr>
                  <w:tcW w:w="927" w:type="dxa"/>
                  <w:tcBorders>
                    <w:tl2br w:val="nil"/>
                    <w:tr2bl w:val="nil"/>
                  </w:tcBorders>
                  <w:vAlign w:val="center"/>
                </w:tcPr>
                <w:p w14:paraId="38DF7BC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51C473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F061FD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6C3A2E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564E7B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50D6E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A846B8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61A14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4661E4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16</w:t>
                  </w:r>
                </w:p>
              </w:tc>
              <w:tc>
                <w:tcPr>
                  <w:tcW w:w="1960" w:type="dxa"/>
                  <w:tcBorders>
                    <w:tl2br w:val="nil"/>
                    <w:tr2bl w:val="nil"/>
                  </w:tcBorders>
                  <w:vAlign w:val="center"/>
                </w:tcPr>
                <w:p w14:paraId="4D05D28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换模油缸</w:t>
                  </w:r>
                </w:p>
              </w:tc>
              <w:tc>
                <w:tcPr>
                  <w:tcW w:w="927" w:type="dxa"/>
                  <w:tcBorders>
                    <w:tl2br w:val="nil"/>
                    <w:tr2bl w:val="nil"/>
                  </w:tcBorders>
                  <w:vAlign w:val="center"/>
                </w:tcPr>
                <w:p w14:paraId="11F0F2D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200D86A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DF74DF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6A35BA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5442D5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20832C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0C293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43DA6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137EB43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17</w:t>
                  </w:r>
                </w:p>
              </w:tc>
              <w:tc>
                <w:tcPr>
                  <w:tcW w:w="1960" w:type="dxa"/>
                  <w:tcBorders>
                    <w:tl2br w:val="nil"/>
                    <w:tr2bl w:val="nil"/>
                  </w:tcBorders>
                  <w:vAlign w:val="center"/>
                </w:tcPr>
                <w:p w14:paraId="314119D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剪刀油缸</w:t>
                  </w:r>
                </w:p>
              </w:tc>
              <w:tc>
                <w:tcPr>
                  <w:tcW w:w="927" w:type="dxa"/>
                  <w:tcBorders>
                    <w:tl2br w:val="nil"/>
                    <w:tr2bl w:val="nil"/>
                  </w:tcBorders>
                  <w:vAlign w:val="center"/>
                </w:tcPr>
                <w:p w14:paraId="026428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6AF335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01989B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07A79D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DD3DD7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9EBC03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45B6C1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3F292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05BF8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18</w:t>
                  </w:r>
                </w:p>
              </w:tc>
              <w:tc>
                <w:tcPr>
                  <w:tcW w:w="1960" w:type="dxa"/>
                  <w:tcBorders>
                    <w:tl2br w:val="nil"/>
                    <w:tr2bl w:val="nil"/>
                  </w:tcBorders>
                  <w:vAlign w:val="center"/>
                </w:tcPr>
                <w:p w14:paraId="5B07F05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保温座油缸</w:t>
                  </w:r>
                </w:p>
              </w:tc>
              <w:tc>
                <w:tcPr>
                  <w:tcW w:w="927" w:type="dxa"/>
                  <w:tcBorders>
                    <w:tl2br w:val="nil"/>
                    <w:tr2bl w:val="nil"/>
                  </w:tcBorders>
                  <w:vAlign w:val="center"/>
                </w:tcPr>
                <w:p w14:paraId="484ABB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1CE5B12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CD5BF9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85" w:type="dxa"/>
                  <w:tcBorders>
                    <w:tl2br w:val="nil"/>
                    <w:tr2bl w:val="nil"/>
                  </w:tcBorders>
                  <w:vAlign w:val="center"/>
                </w:tcPr>
                <w:p w14:paraId="41C47DA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1AF67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87121E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0FCD0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65FAA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7D5BC3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19</w:t>
                  </w:r>
                </w:p>
              </w:tc>
              <w:tc>
                <w:tcPr>
                  <w:tcW w:w="1960" w:type="dxa"/>
                  <w:tcBorders>
                    <w:tl2br w:val="nil"/>
                    <w:tr2bl w:val="nil"/>
                  </w:tcBorders>
                  <w:vAlign w:val="center"/>
                </w:tcPr>
                <w:p w14:paraId="7F29B35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压模油缸</w:t>
                  </w:r>
                </w:p>
              </w:tc>
              <w:tc>
                <w:tcPr>
                  <w:tcW w:w="927" w:type="dxa"/>
                  <w:tcBorders>
                    <w:tl2br w:val="nil"/>
                    <w:tr2bl w:val="nil"/>
                  </w:tcBorders>
                  <w:vAlign w:val="center"/>
                </w:tcPr>
                <w:p w14:paraId="3721995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6977494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B26A39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127DE3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44E0969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1E1893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77761A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5EE08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E604B6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20</w:t>
                  </w:r>
                </w:p>
              </w:tc>
              <w:tc>
                <w:tcPr>
                  <w:tcW w:w="1960" w:type="dxa"/>
                  <w:tcBorders>
                    <w:tl2br w:val="nil"/>
                    <w:tr2bl w:val="nil"/>
                  </w:tcBorders>
                  <w:vAlign w:val="center"/>
                </w:tcPr>
                <w:p w14:paraId="1C1FD4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滑模油缸</w:t>
                  </w:r>
                </w:p>
              </w:tc>
              <w:tc>
                <w:tcPr>
                  <w:tcW w:w="927" w:type="dxa"/>
                  <w:tcBorders>
                    <w:tl2br w:val="nil"/>
                    <w:tr2bl w:val="nil"/>
                  </w:tcBorders>
                  <w:vAlign w:val="center"/>
                </w:tcPr>
                <w:p w14:paraId="6F39EB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0879FD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1004AF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4D91301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07F3B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AF4B23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2D3610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54C97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23262B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21</w:t>
                  </w:r>
                </w:p>
              </w:tc>
              <w:tc>
                <w:tcPr>
                  <w:tcW w:w="1960" w:type="dxa"/>
                  <w:tcBorders>
                    <w:tl2br w:val="nil"/>
                    <w:tr2bl w:val="nil"/>
                  </w:tcBorders>
                  <w:vAlign w:val="center"/>
                </w:tcPr>
                <w:p w14:paraId="394F537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压紧油缸</w:t>
                  </w:r>
                </w:p>
              </w:tc>
              <w:tc>
                <w:tcPr>
                  <w:tcW w:w="927" w:type="dxa"/>
                  <w:tcBorders>
                    <w:tl2br w:val="nil"/>
                    <w:tr2bl w:val="nil"/>
                  </w:tcBorders>
                  <w:vAlign w:val="center"/>
                </w:tcPr>
                <w:p w14:paraId="65F1F9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0056F7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B3AF22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42B171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A51D8B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A58C87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510569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7640A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42223F3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22</w:t>
                  </w:r>
                </w:p>
              </w:tc>
              <w:tc>
                <w:tcPr>
                  <w:tcW w:w="1960" w:type="dxa"/>
                  <w:tcBorders>
                    <w:tl2br w:val="nil"/>
                    <w:tr2bl w:val="nil"/>
                  </w:tcBorders>
                  <w:vAlign w:val="center"/>
                </w:tcPr>
                <w:p w14:paraId="15D6FD0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推棒缸A</w:t>
                  </w:r>
                </w:p>
              </w:tc>
              <w:tc>
                <w:tcPr>
                  <w:tcW w:w="927" w:type="dxa"/>
                  <w:tcBorders>
                    <w:tl2br w:val="nil"/>
                    <w:tr2bl w:val="nil"/>
                  </w:tcBorders>
                  <w:vAlign w:val="center"/>
                </w:tcPr>
                <w:p w14:paraId="7AA0013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214DF1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844E89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76C888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A1098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4FBC7B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8145A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5BD01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DE109F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23</w:t>
                  </w:r>
                </w:p>
              </w:tc>
              <w:tc>
                <w:tcPr>
                  <w:tcW w:w="1960" w:type="dxa"/>
                  <w:tcBorders>
                    <w:tl2br w:val="nil"/>
                    <w:tr2bl w:val="nil"/>
                  </w:tcBorders>
                  <w:vAlign w:val="center"/>
                </w:tcPr>
                <w:p w14:paraId="2F58C7C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推棒缸B</w:t>
                  </w:r>
                </w:p>
              </w:tc>
              <w:tc>
                <w:tcPr>
                  <w:tcW w:w="927" w:type="dxa"/>
                  <w:tcBorders>
                    <w:tl2br w:val="nil"/>
                    <w:tr2bl w:val="nil"/>
                  </w:tcBorders>
                  <w:vAlign w:val="center"/>
                </w:tcPr>
                <w:p w14:paraId="381543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1553A6F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8739B3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25F9382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7F3ED3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591710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7A55D1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63152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4BB461B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24</w:t>
                  </w:r>
                </w:p>
              </w:tc>
              <w:tc>
                <w:tcPr>
                  <w:tcW w:w="1960" w:type="dxa"/>
                  <w:tcBorders>
                    <w:tl2br w:val="nil"/>
                    <w:tr2bl w:val="nil"/>
                  </w:tcBorders>
                  <w:vAlign w:val="center"/>
                </w:tcPr>
                <w:p w14:paraId="09B4080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D40缸</w:t>
                  </w:r>
                </w:p>
              </w:tc>
              <w:tc>
                <w:tcPr>
                  <w:tcW w:w="927" w:type="dxa"/>
                  <w:tcBorders>
                    <w:tl2br w:val="nil"/>
                    <w:tr2bl w:val="nil"/>
                  </w:tcBorders>
                  <w:vAlign w:val="center"/>
                </w:tcPr>
                <w:p w14:paraId="164AB68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4187F4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6B48C9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1BE2B9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0D92E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79E585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10460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D81F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12DA89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25</w:t>
                  </w:r>
                </w:p>
              </w:tc>
              <w:tc>
                <w:tcPr>
                  <w:tcW w:w="1960" w:type="dxa"/>
                  <w:tcBorders>
                    <w:tl2br w:val="nil"/>
                    <w:tr2bl w:val="nil"/>
                  </w:tcBorders>
                  <w:vAlign w:val="center"/>
                </w:tcPr>
                <w:p w14:paraId="148AD75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油泵</w:t>
                  </w:r>
                </w:p>
              </w:tc>
              <w:tc>
                <w:tcPr>
                  <w:tcW w:w="927" w:type="dxa"/>
                  <w:tcBorders>
                    <w:tl2br w:val="nil"/>
                    <w:tr2bl w:val="nil"/>
                  </w:tcBorders>
                  <w:vAlign w:val="center"/>
                </w:tcPr>
                <w:p w14:paraId="4DC6F23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5E64D9F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948483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85" w:type="dxa"/>
                  <w:tcBorders>
                    <w:tl2br w:val="nil"/>
                    <w:tr2bl w:val="nil"/>
                  </w:tcBorders>
                  <w:vAlign w:val="center"/>
                </w:tcPr>
                <w:p w14:paraId="449DA14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8FAA2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9F4BF6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39370B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6A30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170A7F9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26</w:t>
                  </w:r>
                </w:p>
              </w:tc>
              <w:tc>
                <w:tcPr>
                  <w:tcW w:w="1960" w:type="dxa"/>
                  <w:tcBorders>
                    <w:tl2br w:val="nil"/>
                    <w:tr2bl w:val="nil"/>
                  </w:tcBorders>
                  <w:vAlign w:val="center"/>
                </w:tcPr>
                <w:p w14:paraId="7C2AE1A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保压泵</w:t>
                  </w:r>
                </w:p>
              </w:tc>
              <w:tc>
                <w:tcPr>
                  <w:tcW w:w="927" w:type="dxa"/>
                  <w:tcBorders>
                    <w:tl2br w:val="nil"/>
                    <w:tr2bl w:val="nil"/>
                  </w:tcBorders>
                  <w:vAlign w:val="center"/>
                </w:tcPr>
                <w:p w14:paraId="3466A9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32B6789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97A994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1F70FB3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37F1C7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203D46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00B4B5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54397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247835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27</w:t>
                  </w:r>
                </w:p>
              </w:tc>
              <w:tc>
                <w:tcPr>
                  <w:tcW w:w="1960" w:type="dxa"/>
                  <w:tcBorders>
                    <w:tl2br w:val="nil"/>
                    <w:tr2bl w:val="nil"/>
                  </w:tcBorders>
                  <w:vAlign w:val="center"/>
                </w:tcPr>
                <w:p w14:paraId="6055B7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导压泵</w:t>
                  </w:r>
                </w:p>
              </w:tc>
              <w:tc>
                <w:tcPr>
                  <w:tcW w:w="927" w:type="dxa"/>
                  <w:tcBorders>
                    <w:tl2br w:val="nil"/>
                    <w:tr2bl w:val="nil"/>
                  </w:tcBorders>
                  <w:vAlign w:val="center"/>
                </w:tcPr>
                <w:p w14:paraId="7B282F0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45FEABB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1E2CC6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75E929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A68AB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0AFC45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941F21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32015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4C56D1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28</w:t>
                  </w:r>
                </w:p>
              </w:tc>
              <w:tc>
                <w:tcPr>
                  <w:tcW w:w="1960" w:type="dxa"/>
                  <w:tcBorders>
                    <w:tl2br w:val="nil"/>
                    <w:tr2bl w:val="nil"/>
                  </w:tcBorders>
                  <w:vAlign w:val="center"/>
                </w:tcPr>
                <w:p w14:paraId="4902A85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伺服电机</w:t>
                  </w:r>
                </w:p>
              </w:tc>
              <w:tc>
                <w:tcPr>
                  <w:tcW w:w="927" w:type="dxa"/>
                  <w:tcBorders>
                    <w:tl2br w:val="nil"/>
                    <w:tr2bl w:val="nil"/>
                  </w:tcBorders>
                  <w:vAlign w:val="center"/>
                </w:tcPr>
                <w:p w14:paraId="74FE22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700E88B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13ECB6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51FD97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299CA7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198694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14E74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6CA73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2E4778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29</w:t>
                  </w:r>
                </w:p>
              </w:tc>
              <w:tc>
                <w:tcPr>
                  <w:tcW w:w="1960" w:type="dxa"/>
                  <w:tcBorders>
                    <w:tl2br w:val="nil"/>
                    <w:tr2bl w:val="nil"/>
                  </w:tcBorders>
                  <w:vAlign w:val="center"/>
                </w:tcPr>
                <w:p w14:paraId="37AED61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普通电机</w:t>
                  </w:r>
                </w:p>
              </w:tc>
              <w:tc>
                <w:tcPr>
                  <w:tcW w:w="927" w:type="dxa"/>
                  <w:tcBorders>
                    <w:tl2br w:val="nil"/>
                    <w:tr2bl w:val="nil"/>
                  </w:tcBorders>
                  <w:vAlign w:val="center"/>
                </w:tcPr>
                <w:p w14:paraId="04D129B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rPr>
                  </w:pPr>
                  <w:r>
                    <w:rPr>
                      <w:rFonts w:hint="default" w:ascii="Times New Roman" w:hAnsi="Times New Roman" w:cs="Times New Roman"/>
                      <w:b w:val="0"/>
                      <w:bCs/>
                      <w:color w:val="auto"/>
                      <w:sz w:val="21"/>
                      <w:szCs w:val="21"/>
                      <w:lang w:val="en-US" w:eastAsia="zh-CN"/>
                    </w:rPr>
                    <w:t>1</w:t>
                  </w:r>
                  <w:r>
                    <w:rPr>
                      <w:rFonts w:hint="eastAsia" w:ascii="Times New Roman" w:hAnsi="Times New Roman" w:cs="Times New Roman"/>
                      <w:b w:val="0"/>
                      <w:bCs/>
                      <w:color w:val="auto"/>
                      <w:sz w:val="21"/>
                      <w:szCs w:val="21"/>
                      <w:lang w:val="en-US" w:eastAsia="zh-CN"/>
                    </w:rPr>
                    <w:t>55</w:t>
                  </w:r>
                </w:p>
              </w:tc>
              <w:tc>
                <w:tcPr>
                  <w:tcW w:w="738" w:type="dxa"/>
                  <w:tcBorders>
                    <w:tl2br w:val="nil"/>
                    <w:tr2bl w:val="nil"/>
                  </w:tcBorders>
                  <w:vAlign w:val="center"/>
                </w:tcPr>
                <w:p w14:paraId="29ED2C5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D185C9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85" w:type="dxa"/>
                  <w:tcBorders>
                    <w:tl2br w:val="nil"/>
                    <w:tr2bl w:val="nil"/>
                  </w:tcBorders>
                  <w:vAlign w:val="center"/>
                </w:tcPr>
                <w:p w14:paraId="203B753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30671B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64D882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E15FD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49D1F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1E1478F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w:t>
                  </w:r>
                </w:p>
              </w:tc>
              <w:tc>
                <w:tcPr>
                  <w:tcW w:w="1960" w:type="dxa"/>
                  <w:tcBorders>
                    <w:tl2br w:val="nil"/>
                    <w:tr2bl w:val="nil"/>
                  </w:tcBorders>
                  <w:vAlign w:val="center"/>
                </w:tcPr>
                <w:p w14:paraId="2755742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斜齿轮减速电机</w:t>
                  </w:r>
                </w:p>
              </w:tc>
              <w:tc>
                <w:tcPr>
                  <w:tcW w:w="927" w:type="dxa"/>
                  <w:tcBorders>
                    <w:tl2br w:val="nil"/>
                    <w:tr2bl w:val="nil"/>
                  </w:tcBorders>
                  <w:vAlign w:val="center"/>
                </w:tcPr>
                <w:p w14:paraId="1E07F0C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1D06BB5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台</w:t>
                  </w:r>
                </w:p>
              </w:tc>
              <w:tc>
                <w:tcPr>
                  <w:tcW w:w="869" w:type="dxa"/>
                  <w:tcBorders>
                    <w:tl2br w:val="nil"/>
                    <w:tr2bl w:val="nil"/>
                  </w:tcBorders>
                  <w:vAlign w:val="center"/>
                </w:tcPr>
                <w:p w14:paraId="1F1D1E7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6BA54F8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7330C5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F5D61B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A2C45E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40BEA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0F17393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32</w:t>
                  </w:r>
                </w:p>
              </w:tc>
              <w:tc>
                <w:tcPr>
                  <w:tcW w:w="1960" w:type="dxa"/>
                  <w:tcBorders>
                    <w:tl2br w:val="nil"/>
                    <w:tr2bl w:val="nil"/>
                  </w:tcBorders>
                  <w:vAlign w:val="center"/>
                </w:tcPr>
                <w:p w14:paraId="76B6B6D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风刀减速机链轮</w:t>
                  </w:r>
                </w:p>
              </w:tc>
              <w:tc>
                <w:tcPr>
                  <w:tcW w:w="927" w:type="dxa"/>
                  <w:tcBorders>
                    <w:tl2br w:val="nil"/>
                    <w:tr2bl w:val="nil"/>
                  </w:tcBorders>
                  <w:vAlign w:val="center"/>
                </w:tcPr>
                <w:p w14:paraId="6420D17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5F390A3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00CB61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228049D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18F14D1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004128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5E533A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FE6C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7B1218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33</w:t>
                  </w:r>
                </w:p>
              </w:tc>
              <w:tc>
                <w:tcPr>
                  <w:tcW w:w="1960" w:type="dxa"/>
                  <w:tcBorders>
                    <w:tl2br w:val="nil"/>
                    <w:tr2bl w:val="nil"/>
                  </w:tcBorders>
                  <w:vAlign w:val="center"/>
                </w:tcPr>
                <w:p w14:paraId="75CC73E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摆线针轮减速机+电机</w:t>
                  </w:r>
                </w:p>
              </w:tc>
              <w:tc>
                <w:tcPr>
                  <w:tcW w:w="927" w:type="dxa"/>
                  <w:tcBorders>
                    <w:tl2br w:val="nil"/>
                    <w:tr2bl w:val="nil"/>
                  </w:tcBorders>
                  <w:vAlign w:val="center"/>
                </w:tcPr>
                <w:p w14:paraId="5B00A49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152</w:t>
                  </w:r>
                </w:p>
              </w:tc>
              <w:tc>
                <w:tcPr>
                  <w:tcW w:w="738" w:type="dxa"/>
                  <w:tcBorders>
                    <w:tl2br w:val="nil"/>
                    <w:tr2bl w:val="nil"/>
                  </w:tcBorders>
                  <w:vAlign w:val="center"/>
                </w:tcPr>
                <w:p w14:paraId="58910B4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台</w:t>
                  </w:r>
                </w:p>
              </w:tc>
              <w:tc>
                <w:tcPr>
                  <w:tcW w:w="869" w:type="dxa"/>
                  <w:tcBorders>
                    <w:tl2br w:val="nil"/>
                    <w:tr2bl w:val="nil"/>
                  </w:tcBorders>
                  <w:vAlign w:val="center"/>
                </w:tcPr>
                <w:p w14:paraId="43D642B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50</w:t>
                  </w:r>
                </w:p>
              </w:tc>
              <w:tc>
                <w:tcPr>
                  <w:tcW w:w="785" w:type="dxa"/>
                  <w:tcBorders>
                    <w:tl2br w:val="nil"/>
                    <w:tr2bl w:val="nil"/>
                  </w:tcBorders>
                  <w:vAlign w:val="center"/>
                </w:tcPr>
                <w:p w14:paraId="6CA5514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堆放</w:t>
                  </w:r>
                </w:p>
              </w:tc>
              <w:tc>
                <w:tcPr>
                  <w:tcW w:w="968" w:type="dxa"/>
                  <w:tcBorders>
                    <w:tl2br w:val="nil"/>
                    <w:tr2bl w:val="nil"/>
                  </w:tcBorders>
                  <w:vAlign w:val="center"/>
                </w:tcPr>
                <w:p w14:paraId="2900E34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21FFF1F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2C020BF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5286B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2AF0371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34</w:t>
                  </w:r>
                </w:p>
              </w:tc>
              <w:tc>
                <w:tcPr>
                  <w:tcW w:w="1960" w:type="dxa"/>
                  <w:tcBorders>
                    <w:tl2br w:val="nil"/>
                    <w:tr2bl w:val="nil"/>
                  </w:tcBorders>
                  <w:vAlign w:val="center"/>
                </w:tcPr>
                <w:p w14:paraId="642298A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减速机+电机</w:t>
                  </w:r>
                </w:p>
              </w:tc>
              <w:tc>
                <w:tcPr>
                  <w:tcW w:w="927" w:type="dxa"/>
                  <w:tcBorders>
                    <w:tl2br w:val="nil"/>
                    <w:tr2bl w:val="nil"/>
                  </w:tcBorders>
                  <w:vAlign w:val="center"/>
                </w:tcPr>
                <w:p w14:paraId="60757DC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548</w:t>
                  </w:r>
                </w:p>
              </w:tc>
              <w:tc>
                <w:tcPr>
                  <w:tcW w:w="738" w:type="dxa"/>
                  <w:tcBorders>
                    <w:tl2br w:val="nil"/>
                    <w:tr2bl w:val="nil"/>
                  </w:tcBorders>
                  <w:vAlign w:val="center"/>
                </w:tcPr>
                <w:p w14:paraId="6C84341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台</w:t>
                  </w:r>
                </w:p>
              </w:tc>
              <w:tc>
                <w:tcPr>
                  <w:tcW w:w="869" w:type="dxa"/>
                  <w:tcBorders>
                    <w:tl2br w:val="nil"/>
                    <w:tr2bl w:val="nil"/>
                  </w:tcBorders>
                  <w:vAlign w:val="center"/>
                </w:tcPr>
                <w:p w14:paraId="31186C0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15</w:t>
                  </w:r>
                </w:p>
              </w:tc>
              <w:tc>
                <w:tcPr>
                  <w:tcW w:w="785" w:type="dxa"/>
                  <w:tcBorders>
                    <w:tl2br w:val="nil"/>
                    <w:tr2bl w:val="nil"/>
                  </w:tcBorders>
                  <w:vAlign w:val="center"/>
                </w:tcPr>
                <w:p w14:paraId="26F50CF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堆放</w:t>
                  </w:r>
                </w:p>
              </w:tc>
              <w:tc>
                <w:tcPr>
                  <w:tcW w:w="968" w:type="dxa"/>
                  <w:tcBorders>
                    <w:tl2br w:val="nil"/>
                    <w:tr2bl w:val="nil"/>
                  </w:tcBorders>
                  <w:vAlign w:val="center"/>
                </w:tcPr>
                <w:p w14:paraId="2F7B56C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70357DF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5E4054C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69821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5AEC8B0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35</w:t>
                  </w:r>
                </w:p>
              </w:tc>
              <w:tc>
                <w:tcPr>
                  <w:tcW w:w="1960" w:type="dxa"/>
                  <w:tcBorders>
                    <w:tl2br w:val="nil"/>
                    <w:tr2bl w:val="nil"/>
                  </w:tcBorders>
                  <w:vAlign w:val="center"/>
                </w:tcPr>
                <w:p w14:paraId="02FD4EF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总压</w:t>
                  </w:r>
                </w:p>
              </w:tc>
              <w:tc>
                <w:tcPr>
                  <w:tcW w:w="927" w:type="dxa"/>
                  <w:tcBorders>
                    <w:tl2br w:val="nil"/>
                    <w:tr2bl w:val="nil"/>
                  </w:tcBorders>
                  <w:vAlign w:val="center"/>
                </w:tcPr>
                <w:p w14:paraId="07CE676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32B2583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3D2225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04114E1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4A4485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CE8EE0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7241AA0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36C6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EA836B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36</w:t>
                  </w:r>
                </w:p>
              </w:tc>
              <w:tc>
                <w:tcPr>
                  <w:tcW w:w="1960" w:type="dxa"/>
                  <w:tcBorders>
                    <w:tl2br w:val="nil"/>
                    <w:tr2bl w:val="nil"/>
                  </w:tcBorders>
                  <w:vAlign w:val="center"/>
                </w:tcPr>
                <w:p w14:paraId="4AF229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承锭剪刀</w:t>
                  </w:r>
                </w:p>
              </w:tc>
              <w:tc>
                <w:tcPr>
                  <w:tcW w:w="927" w:type="dxa"/>
                  <w:tcBorders>
                    <w:tl2br w:val="nil"/>
                    <w:tr2bl w:val="nil"/>
                  </w:tcBorders>
                  <w:vAlign w:val="center"/>
                </w:tcPr>
                <w:p w14:paraId="3F72830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0930680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EE2C58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42289B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0A950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20674A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89BFD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46582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0E39BE5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37</w:t>
                  </w:r>
                </w:p>
              </w:tc>
              <w:tc>
                <w:tcPr>
                  <w:tcW w:w="1960" w:type="dxa"/>
                  <w:tcBorders>
                    <w:tl2br w:val="nil"/>
                    <w:tr2bl w:val="nil"/>
                  </w:tcBorders>
                  <w:vAlign w:val="center"/>
                </w:tcPr>
                <w:p w14:paraId="1B8BB8A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先导/锁模/充液阀</w:t>
                  </w:r>
                </w:p>
              </w:tc>
              <w:tc>
                <w:tcPr>
                  <w:tcW w:w="927" w:type="dxa"/>
                  <w:tcBorders>
                    <w:tl2br w:val="nil"/>
                    <w:tr2bl w:val="nil"/>
                  </w:tcBorders>
                  <w:vAlign w:val="center"/>
                </w:tcPr>
                <w:p w14:paraId="4D9718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4138AE5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FB4797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4851BF1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F33494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099933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A2F09A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71307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4A3B840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38</w:t>
                  </w:r>
                </w:p>
              </w:tc>
              <w:tc>
                <w:tcPr>
                  <w:tcW w:w="1960" w:type="dxa"/>
                  <w:tcBorders>
                    <w:tl2br w:val="nil"/>
                    <w:tr2bl w:val="nil"/>
                  </w:tcBorders>
                  <w:vAlign w:val="center"/>
                </w:tcPr>
                <w:p w14:paraId="23D6EEE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滑模座/换模</w:t>
                  </w:r>
                </w:p>
              </w:tc>
              <w:tc>
                <w:tcPr>
                  <w:tcW w:w="927" w:type="dxa"/>
                  <w:tcBorders>
                    <w:tl2br w:val="nil"/>
                    <w:tr2bl w:val="nil"/>
                  </w:tcBorders>
                  <w:vAlign w:val="center"/>
                </w:tcPr>
                <w:p w14:paraId="7AD6744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0E6724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718930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581578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6B476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5E4B42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9D79CC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14EE9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E4DA8C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39</w:t>
                  </w:r>
                </w:p>
              </w:tc>
              <w:tc>
                <w:tcPr>
                  <w:tcW w:w="1960" w:type="dxa"/>
                  <w:tcBorders>
                    <w:tl2br w:val="nil"/>
                    <w:tr2bl w:val="nil"/>
                  </w:tcBorders>
                  <w:vAlign w:val="center"/>
                </w:tcPr>
                <w:p w14:paraId="199270D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打压余/压模</w:t>
                  </w:r>
                </w:p>
              </w:tc>
              <w:tc>
                <w:tcPr>
                  <w:tcW w:w="927" w:type="dxa"/>
                  <w:tcBorders>
                    <w:tl2br w:val="nil"/>
                    <w:tr2bl w:val="nil"/>
                  </w:tcBorders>
                  <w:vAlign w:val="center"/>
                </w:tcPr>
                <w:p w14:paraId="3A82CE5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5462C3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E1C7E4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285191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592651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C58E9B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BDFA1B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673A4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1B8CC9B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40</w:t>
                  </w:r>
                </w:p>
              </w:tc>
              <w:tc>
                <w:tcPr>
                  <w:tcW w:w="1960" w:type="dxa"/>
                  <w:tcBorders>
                    <w:tl2br w:val="nil"/>
                    <w:tr2bl w:val="nil"/>
                  </w:tcBorders>
                  <w:vAlign w:val="center"/>
                </w:tcPr>
                <w:p w14:paraId="1B25B49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挤杆移动/锁挤杆</w:t>
                  </w:r>
                </w:p>
              </w:tc>
              <w:tc>
                <w:tcPr>
                  <w:tcW w:w="927" w:type="dxa"/>
                  <w:tcBorders>
                    <w:tl2br w:val="nil"/>
                    <w:tr2bl w:val="nil"/>
                  </w:tcBorders>
                  <w:vAlign w:val="center"/>
                </w:tcPr>
                <w:p w14:paraId="313A0D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17A6E62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A41CC3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624FC09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817DF0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632A59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4883CF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0C5E8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235C2FA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41</w:t>
                  </w:r>
                </w:p>
              </w:tc>
              <w:tc>
                <w:tcPr>
                  <w:tcW w:w="1960" w:type="dxa"/>
                  <w:tcBorders>
                    <w:tl2br w:val="nil"/>
                    <w:tr2bl w:val="nil"/>
                  </w:tcBorders>
                  <w:vAlign w:val="center"/>
                </w:tcPr>
                <w:p w14:paraId="4464C9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50盖板</w:t>
                  </w:r>
                </w:p>
              </w:tc>
              <w:tc>
                <w:tcPr>
                  <w:tcW w:w="927" w:type="dxa"/>
                  <w:tcBorders>
                    <w:tl2br w:val="nil"/>
                    <w:tr2bl w:val="nil"/>
                  </w:tcBorders>
                  <w:vAlign w:val="center"/>
                </w:tcPr>
                <w:p w14:paraId="15ED0BF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180</w:t>
                  </w:r>
                </w:p>
              </w:tc>
              <w:tc>
                <w:tcPr>
                  <w:tcW w:w="738" w:type="dxa"/>
                  <w:tcBorders>
                    <w:tl2br w:val="nil"/>
                    <w:tr2bl w:val="nil"/>
                  </w:tcBorders>
                  <w:vAlign w:val="center"/>
                </w:tcPr>
                <w:p w14:paraId="3CB2E84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7E6DE9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180</w:t>
                  </w:r>
                </w:p>
              </w:tc>
              <w:tc>
                <w:tcPr>
                  <w:tcW w:w="785" w:type="dxa"/>
                  <w:tcBorders>
                    <w:tl2br w:val="nil"/>
                    <w:tr2bl w:val="nil"/>
                  </w:tcBorders>
                  <w:vAlign w:val="center"/>
                </w:tcPr>
                <w:p w14:paraId="3F588CF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90695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3F8D43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70C94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5AF7E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4E236F6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42</w:t>
                  </w:r>
                </w:p>
              </w:tc>
              <w:tc>
                <w:tcPr>
                  <w:tcW w:w="1960" w:type="dxa"/>
                  <w:tcBorders>
                    <w:tl2br w:val="nil"/>
                    <w:tr2bl w:val="nil"/>
                  </w:tcBorders>
                  <w:vAlign w:val="center"/>
                </w:tcPr>
                <w:p w14:paraId="5F8B514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40盖板</w:t>
                  </w:r>
                </w:p>
              </w:tc>
              <w:tc>
                <w:tcPr>
                  <w:tcW w:w="927" w:type="dxa"/>
                  <w:tcBorders>
                    <w:tl2br w:val="nil"/>
                    <w:tr2bl w:val="nil"/>
                  </w:tcBorders>
                  <w:vAlign w:val="center"/>
                </w:tcPr>
                <w:p w14:paraId="5BA8B0B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41B264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9CCB22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85" w:type="dxa"/>
                  <w:tcBorders>
                    <w:tl2br w:val="nil"/>
                    <w:tr2bl w:val="nil"/>
                  </w:tcBorders>
                  <w:vAlign w:val="center"/>
                </w:tcPr>
                <w:p w14:paraId="477A67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61B3D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360E1E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E2A7B8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3CD92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17ADC8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43</w:t>
                  </w:r>
                </w:p>
              </w:tc>
              <w:tc>
                <w:tcPr>
                  <w:tcW w:w="1960" w:type="dxa"/>
                  <w:tcBorders>
                    <w:tl2br w:val="nil"/>
                    <w:tr2bl w:val="nil"/>
                  </w:tcBorders>
                  <w:vAlign w:val="center"/>
                </w:tcPr>
                <w:p w14:paraId="37D4D7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32盖板</w:t>
                  </w:r>
                </w:p>
              </w:tc>
              <w:tc>
                <w:tcPr>
                  <w:tcW w:w="927" w:type="dxa"/>
                  <w:tcBorders>
                    <w:tl2br w:val="nil"/>
                    <w:tr2bl w:val="nil"/>
                  </w:tcBorders>
                  <w:vAlign w:val="center"/>
                </w:tcPr>
                <w:p w14:paraId="2343F27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420</w:t>
                  </w:r>
                </w:p>
              </w:tc>
              <w:tc>
                <w:tcPr>
                  <w:tcW w:w="738" w:type="dxa"/>
                  <w:tcBorders>
                    <w:tl2br w:val="nil"/>
                    <w:tr2bl w:val="nil"/>
                  </w:tcBorders>
                  <w:vAlign w:val="center"/>
                </w:tcPr>
                <w:p w14:paraId="0877197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990D12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420</w:t>
                  </w:r>
                </w:p>
              </w:tc>
              <w:tc>
                <w:tcPr>
                  <w:tcW w:w="785" w:type="dxa"/>
                  <w:tcBorders>
                    <w:tl2br w:val="nil"/>
                    <w:tr2bl w:val="nil"/>
                  </w:tcBorders>
                  <w:vAlign w:val="center"/>
                </w:tcPr>
                <w:p w14:paraId="488E43B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4FE6C4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D2354D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8BED70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74113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351CC5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44</w:t>
                  </w:r>
                </w:p>
              </w:tc>
              <w:tc>
                <w:tcPr>
                  <w:tcW w:w="1960" w:type="dxa"/>
                  <w:tcBorders>
                    <w:tl2br w:val="nil"/>
                    <w:tr2bl w:val="nil"/>
                  </w:tcBorders>
                  <w:vAlign w:val="center"/>
                </w:tcPr>
                <w:p w14:paraId="16287C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逻辑阀</w:t>
                  </w:r>
                </w:p>
              </w:tc>
              <w:tc>
                <w:tcPr>
                  <w:tcW w:w="927" w:type="dxa"/>
                  <w:tcBorders>
                    <w:tl2br w:val="nil"/>
                    <w:tr2bl w:val="nil"/>
                  </w:tcBorders>
                  <w:vAlign w:val="center"/>
                </w:tcPr>
                <w:p w14:paraId="3A9B303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720</w:t>
                  </w:r>
                </w:p>
              </w:tc>
              <w:tc>
                <w:tcPr>
                  <w:tcW w:w="738" w:type="dxa"/>
                  <w:tcBorders>
                    <w:tl2br w:val="nil"/>
                    <w:tr2bl w:val="nil"/>
                  </w:tcBorders>
                  <w:vAlign w:val="center"/>
                </w:tcPr>
                <w:p w14:paraId="2D04E6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C8DBF0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720</w:t>
                  </w:r>
                </w:p>
              </w:tc>
              <w:tc>
                <w:tcPr>
                  <w:tcW w:w="785" w:type="dxa"/>
                  <w:tcBorders>
                    <w:tl2br w:val="nil"/>
                    <w:tr2bl w:val="nil"/>
                  </w:tcBorders>
                  <w:vAlign w:val="center"/>
                </w:tcPr>
                <w:p w14:paraId="763B083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4FE719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886C06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7A1AE5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5FD9C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07BC2A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45</w:t>
                  </w:r>
                </w:p>
              </w:tc>
              <w:tc>
                <w:tcPr>
                  <w:tcW w:w="1960" w:type="dxa"/>
                  <w:tcBorders>
                    <w:tl2br w:val="nil"/>
                    <w:tr2bl w:val="nil"/>
                  </w:tcBorders>
                  <w:vAlign w:val="center"/>
                </w:tcPr>
                <w:p w14:paraId="52B0EE7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法兰</w:t>
                  </w:r>
                </w:p>
              </w:tc>
              <w:tc>
                <w:tcPr>
                  <w:tcW w:w="927" w:type="dxa"/>
                  <w:tcBorders>
                    <w:tl2br w:val="nil"/>
                    <w:tr2bl w:val="nil"/>
                  </w:tcBorders>
                  <w:vAlign w:val="center"/>
                </w:tcPr>
                <w:p w14:paraId="683D37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2390</w:t>
                  </w:r>
                </w:p>
              </w:tc>
              <w:tc>
                <w:tcPr>
                  <w:tcW w:w="738" w:type="dxa"/>
                  <w:tcBorders>
                    <w:tl2br w:val="nil"/>
                    <w:tr2bl w:val="nil"/>
                  </w:tcBorders>
                  <w:vAlign w:val="center"/>
                </w:tcPr>
                <w:p w14:paraId="01C41BC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3CBD17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750</w:t>
                  </w:r>
                </w:p>
              </w:tc>
              <w:tc>
                <w:tcPr>
                  <w:tcW w:w="785" w:type="dxa"/>
                  <w:tcBorders>
                    <w:tl2br w:val="nil"/>
                    <w:tr2bl w:val="nil"/>
                  </w:tcBorders>
                  <w:vAlign w:val="center"/>
                </w:tcPr>
                <w:p w14:paraId="79D26B9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2378D8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827C92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7BDB16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0503D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250C023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46</w:t>
                  </w:r>
                </w:p>
              </w:tc>
              <w:tc>
                <w:tcPr>
                  <w:tcW w:w="1960" w:type="dxa"/>
                  <w:tcBorders>
                    <w:tl2br w:val="nil"/>
                    <w:tr2bl w:val="nil"/>
                  </w:tcBorders>
                  <w:vAlign w:val="center"/>
                </w:tcPr>
                <w:p w14:paraId="07B6200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304吊环法兰快开套装</w:t>
                  </w:r>
                </w:p>
              </w:tc>
              <w:tc>
                <w:tcPr>
                  <w:tcW w:w="927" w:type="dxa"/>
                  <w:tcBorders>
                    <w:tl2br w:val="nil"/>
                    <w:tr2bl w:val="nil"/>
                  </w:tcBorders>
                  <w:vAlign w:val="center"/>
                </w:tcPr>
                <w:p w14:paraId="5FD97CE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1680</w:t>
                  </w:r>
                </w:p>
              </w:tc>
              <w:tc>
                <w:tcPr>
                  <w:tcW w:w="738" w:type="dxa"/>
                  <w:tcBorders>
                    <w:tl2br w:val="nil"/>
                    <w:tr2bl w:val="nil"/>
                  </w:tcBorders>
                  <w:vAlign w:val="center"/>
                </w:tcPr>
                <w:p w14:paraId="336F0CE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F83A9B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5F03535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253EC79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87A64A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1FFC56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5FA1E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19F68DE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47</w:t>
                  </w:r>
                </w:p>
              </w:tc>
              <w:tc>
                <w:tcPr>
                  <w:tcW w:w="1960" w:type="dxa"/>
                  <w:tcBorders>
                    <w:tl2br w:val="nil"/>
                    <w:tr2bl w:val="nil"/>
                  </w:tcBorders>
                  <w:vAlign w:val="center"/>
                </w:tcPr>
                <w:p w14:paraId="36FA549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突面板式平焊钢制管法兰</w:t>
                  </w:r>
                </w:p>
              </w:tc>
              <w:tc>
                <w:tcPr>
                  <w:tcW w:w="927" w:type="dxa"/>
                  <w:tcBorders>
                    <w:tl2br w:val="nil"/>
                    <w:tr2bl w:val="nil"/>
                  </w:tcBorders>
                  <w:vAlign w:val="center"/>
                </w:tcPr>
                <w:p w14:paraId="6CD712B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400</w:t>
                  </w:r>
                </w:p>
              </w:tc>
              <w:tc>
                <w:tcPr>
                  <w:tcW w:w="738" w:type="dxa"/>
                  <w:tcBorders>
                    <w:tl2br w:val="nil"/>
                    <w:tr2bl w:val="nil"/>
                  </w:tcBorders>
                  <w:vAlign w:val="center"/>
                </w:tcPr>
                <w:p w14:paraId="0F7E3B5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C5A79B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0179A9E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AD9818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A175AB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2FF8C5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463E2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F5AC4D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48</w:t>
                  </w:r>
                </w:p>
              </w:tc>
              <w:tc>
                <w:tcPr>
                  <w:tcW w:w="1960" w:type="dxa"/>
                  <w:tcBorders>
                    <w:tl2br w:val="nil"/>
                    <w:tr2bl w:val="nil"/>
                  </w:tcBorders>
                  <w:vAlign w:val="center"/>
                </w:tcPr>
                <w:p w14:paraId="32E506F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电磁阀</w:t>
                  </w:r>
                </w:p>
              </w:tc>
              <w:tc>
                <w:tcPr>
                  <w:tcW w:w="927" w:type="dxa"/>
                  <w:tcBorders>
                    <w:tl2br w:val="nil"/>
                    <w:tr2bl w:val="nil"/>
                  </w:tcBorders>
                  <w:vAlign w:val="center"/>
                </w:tcPr>
                <w:p w14:paraId="7B4744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810</w:t>
                  </w:r>
                </w:p>
              </w:tc>
              <w:tc>
                <w:tcPr>
                  <w:tcW w:w="738" w:type="dxa"/>
                  <w:tcBorders>
                    <w:tl2br w:val="nil"/>
                    <w:tr2bl w:val="nil"/>
                  </w:tcBorders>
                  <w:vAlign w:val="center"/>
                </w:tcPr>
                <w:p w14:paraId="3FC7B1A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1A99FB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810</w:t>
                  </w:r>
                </w:p>
              </w:tc>
              <w:tc>
                <w:tcPr>
                  <w:tcW w:w="785" w:type="dxa"/>
                  <w:tcBorders>
                    <w:tl2br w:val="nil"/>
                    <w:tr2bl w:val="nil"/>
                  </w:tcBorders>
                  <w:vAlign w:val="center"/>
                </w:tcPr>
                <w:p w14:paraId="1F4377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0D2F8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E91B4F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BB4D8D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61A42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0D897DF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49</w:t>
                  </w:r>
                </w:p>
              </w:tc>
              <w:tc>
                <w:tcPr>
                  <w:tcW w:w="1960" w:type="dxa"/>
                  <w:tcBorders>
                    <w:tl2br w:val="nil"/>
                    <w:tr2bl w:val="nil"/>
                  </w:tcBorders>
                  <w:vAlign w:val="center"/>
                </w:tcPr>
                <w:p w14:paraId="5BD5CE1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单向阀</w:t>
                  </w:r>
                </w:p>
              </w:tc>
              <w:tc>
                <w:tcPr>
                  <w:tcW w:w="927" w:type="dxa"/>
                  <w:tcBorders>
                    <w:tl2br w:val="nil"/>
                    <w:tr2bl w:val="nil"/>
                  </w:tcBorders>
                  <w:vAlign w:val="center"/>
                </w:tcPr>
                <w:p w14:paraId="66FE5A5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690</w:t>
                  </w:r>
                </w:p>
              </w:tc>
              <w:tc>
                <w:tcPr>
                  <w:tcW w:w="738" w:type="dxa"/>
                  <w:tcBorders>
                    <w:tl2br w:val="nil"/>
                    <w:tr2bl w:val="nil"/>
                  </w:tcBorders>
                  <w:vAlign w:val="center"/>
                </w:tcPr>
                <w:p w14:paraId="51E3B76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714AB7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690</w:t>
                  </w:r>
                </w:p>
              </w:tc>
              <w:tc>
                <w:tcPr>
                  <w:tcW w:w="785" w:type="dxa"/>
                  <w:tcBorders>
                    <w:tl2br w:val="nil"/>
                    <w:tr2bl w:val="nil"/>
                  </w:tcBorders>
                  <w:vAlign w:val="center"/>
                </w:tcPr>
                <w:p w14:paraId="04D7C6C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54BEE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CC040A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886508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5CD89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156D3ED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50</w:t>
                  </w:r>
                </w:p>
              </w:tc>
              <w:tc>
                <w:tcPr>
                  <w:tcW w:w="1960" w:type="dxa"/>
                  <w:tcBorders>
                    <w:tl2br w:val="nil"/>
                    <w:tr2bl w:val="nil"/>
                  </w:tcBorders>
                  <w:vAlign w:val="center"/>
                </w:tcPr>
                <w:p w14:paraId="17750DE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板式溢流阀</w:t>
                  </w:r>
                </w:p>
              </w:tc>
              <w:tc>
                <w:tcPr>
                  <w:tcW w:w="927" w:type="dxa"/>
                  <w:tcBorders>
                    <w:tl2br w:val="nil"/>
                    <w:tr2bl w:val="nil"/>
                  </w:tcBorders>
                  <w:vAlign w:val="center"/>
                </w:tcPr>
                <w:p w14:paraId="5283A22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90</w:t>
                  </w:r>
                </w:p>
              </w:tc>
              <w:tc>
                <w:tcPr>
                  <w:tcW w:w="738" w:type="dxa"/>
                  <w:tcBorders>
                    <w:tl2br w:val="nil"/>
                    <w:tr2bl w:val="nil"/>
                  </w:tcBorders>
                  <w:vAlign w:val="center"/>
                </w:tcPr>
                <w:p w14:paraId="5B7527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F95492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90</w:t>
                  </w:r>
                </w:p>
              </w:tc>
              <w:tc>
                <w:tcPr>
                  <w:tcW w:w="785" w:type="dxa"/>
                  <w:tcBorders>
                    <w:tl2br w:val="nil"/>
                    <w:tr2bl w:val="nil"/>
                  </w:tcBorders>
                  <w:vAlign w:val="center"/>
                </w:tcPr>
                <w:p w14:paraId="5642E16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03FABB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975615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AE9AA0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3564E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0D19B62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51</w:t>
                  </w:r>
                </w:p>
              </w:tc>
              <w:tc>
                <w:tcPr>
                  <w:tcW w:w="1960" w:type="dxa"/>
                  <w:tcBorders>
                    <w:tl2br w:val="nil"/>
                    <w:tr2bl w:val="nil"/>
                  </w:tcBorders>
                  <w:vAlign w:val="center"/>
                </w:tcPr>
                <w:p w14:paraId="53B0C1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螺纹溢流阀</w:t>
                  </w:r>
                </w:p>
              </w:tc>
              <w:tc>
                <w:tcPr>
                  <w:tcW w:w="927" w:type="dxa"/>
                  <w:tcBorders>
                    <w:tl2br w:val="nil"/>
                    <w:tr2bl w:val="nil"/>
                  </w:tcBorders>
                  <w:vAlign w:val="center"/>
                </w:tcPr>
                <w:p w14:paraId="5166130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180</w:t>
                  </w:r>
                </w:p>
              </w:tc>
              <w:tc>
                <w:tcPr>
                  <w:tcW w:w="738" w:type="dxa"/>
                  <w:tcBorders>
                    <w:tl2br w:val="nil"/>
                    <w:tr2bl w:val="nil"/>
                  </w:tcBorders>
                  <w:vAlign w:val="center"/>
                </w:tcPr>
                <w:p w14:paraId="221EE70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97A13D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180</w:t>
                  </w:r>
                </w:p>
              </w:tc>
              <w:tc>
                <w:tcPr>
                  <w:tcW w:w="785" w:type="dxa"/>
                  <w:tcBorders>
                    <w:tl2br w:val="nil"/>
                    <w:tr2bl w:val="nil"/>
                  </w:tcBorders>
                  <w:vAlign w:val="center"/>
                </w:tcPr>
                <w:p w14:paraId="133AFDD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55EF2D6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DBD99F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4FF227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11282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2AB2773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52</w:t>
                  </w:r>
                </w:p>
              </w:tc>
              <w:tc>
                <w:tcPr>
                  <w:tcW w:w="1960" w:type="dxa"/>
                  <w:tcBorders>
                    <w:tl2br w:val="nil"/>
                    <w:tr2bl w:val="nil"/>
                  </w:tcBorders>
                  <w:vAlign w:val="center"/>
                </w:tcPr>
                <w:p w14:paraId="56CB59A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电磁球阀</w:t>
                  </w:r>
                </w:p>
              </w:tc>
              <w:tc>
                <w:tcPr>
                  <w:tcW w:w="927" w:type="dxa"/>
                  <w:tcBorders>
                    <w:tl2br w:val="nil"/>
                    <w:tr2bl w:val="nil"/>
                  </w:tcBorders>
                  <w:vAlign w:val="center"/>
                </w:tcPr>
                <w:p w14:paraId="4E3EADC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38" w:type="dxa"/>
                  <w:tcBorders>
                    <w:tl2br w:val="nil"/>
                    <w:tr2bl w:val="nil"/>
                  </w:tcBorders>
                  <w:vAlign w:val="center"/>
                </w:tcPr>
                <w:p w14:paraId="3F27332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910F59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85" w:type="dxa"/>
                  <w:tcBorders>
                    <w:tl2br w:val="nil"/>
                    <w:tr2bl w:val="nil"/>
                  </w:tcBorders>
                  <w:vAlign w:val="center"/>
                </w:tcPr>
                <w:p w14:paraId="64DBB37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F17DBE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8F5F8D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15DF72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FF576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595CF96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53</w:t>
                  </w:r>
                </w:p>
              </w:tc>
              <w:tc>
                <w:tcPr>
                  <w:tcW w:w="1960" w:type="dxa"/>
                  <w:tcBorders>
                    <w:tl2br w:val="nil"/>
                    <w:tr2bl w:val="nil"/>
                  </w:tcBorders>
                  <w:vAlign w:val="center"/>
                </w:tcPr>
                <w:p w14:paraId="406527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减压阀</w:t>
                  </w:r>
                </w:p>
              </w:tc>
              <w:tc>
                <w:tcPr>
                  <w:tcW w:w="927" w:type="dxa"/>
                  <w:tcBorders>
                    <w:tl2br w:val="nil"/>
                    <w:tr2bl w:val="nil"/>
                  </w:tcBorders>
                  <w:vAlign w:val="center"/>
                </w:tcPr>
                <w:p w14:paraId="23B8660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5268558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6B2CBF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5464C2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5905429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2C9CA4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665FD2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14413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FC4D0B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54</w:t>
                  </w:r>
                </w:p>
              </w:tc>
              <w:tc>
                <w:tcPr>
                  <w:tcW w:w="1960" w:type="dxa"/>
                  <w:tcBorders>
                    <w:tl2br w:val="nil"/>
                    <w:tr2bl w:val="nil"/>
                  </w:tcBorders>
                  <w:vAlign w:val="center"/>
                </w:tcPr>
                <w:p w14:paraId="346C2B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节流阀</w:t>
                  </w:r>
                </w:p>
              </w:tc>
              <w:tc>
                <w:tcPr>
                  <w:tcW w:w="927" w:type="dxa"/>
                  <w:tcBorders>
                    <w:tl2br w:val="nil"/>
                    <w:tr2bl w:val="nil"/>
                  </w:tcBorders>
                  <w:vAlign w:val="center"/>
                </w:tcPr>
                <w:p w14:paraId="0AE4B9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090D4C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A29BD7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7B9F6CE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0655FF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DAC12C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338BCD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633FD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414A7AE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56</w:t>
                  </w:r>
                </w:p>
              </w:tc>
              <w:tc>
                <w:tcPr>
                  <w:tcW w:w="1960" w:type="dxa"/>
                  <w:tcBorders>
                    <w:tl2br w:val="nil"/>
                    <w:tr2bl w:val="nil"/>
                  </w:tcBorders>
                  <w:vAlign w:val="center"/>
                </w:tcPr>
                <w:p w14:paraId="595E213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1450T挤压杆</w:t>
                  </w:r>
                </w:p>
              </w:tc>
              <w:tc>
                <w:tcPr>
                  <w:tcW w:w="927" w:type="dxa"/>
                  <w:tcBorders>
                    <w:tl2br w:val="nil"/>
                    <w:tr2bl w:val="nil"/>
                  </w:tcBorders>
                  <w:vAlign w:val="center"/>
                </w:tcPr>
                <w:p w14:paraId="3692A5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38" w:type="dxa"/>
                  <w:tcBorders>
                    <w:tl2br w:val="nil"/>
                    <w:tr2bl w:val="nil"/>
                  </w:tcBorders>
                  <w:vAlign w:val="center"/>
                </w:tcPr>
                <w:p w14:paraId="399E44F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9D09EA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85" w:type="dxa"/>
                  <w:tcBorders>
                    <w:tl2br w:val="nil"/>
                    <w:tr2bl w:val="nil"/>
                  </w:tcBorders>
                  <w:vAlign w:val="center"/>
                </w:tcPr>
                <w:p w14:paraId="77A0AF4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1531C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00C6E9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41AF1D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4CABF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DAC50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57</w:t>
                  </w:r>
                </w:p>
              </w:tc>
              <w:tc>
                <w:tcPr>
                  <w:tcW w:w="1960" w:type="dxa"/>
                  <w:tcBorders>
                    <w:tl2br w:val="nil"/>
                    <w:tr2bl w:val="nil"/>
                  </w:tcBorders>
                  <w:vAlign w:val="center"/>
                </w:tcPr>
                <w:p w14:paraId="2F1816E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1450T固定挤压垫</w:t>
                  </w:r>
                </w:p>
              </w:tc>
              <w:tc>
                <w:tcPr>
                  <w:tcW w:w="927" w:type="dxa"/>
                  <w:tcBorders>
                    <w:tl2br w:val="nil"/>
                    <w:tr2bl w:val="nil"/>
                  </w:tcBorders>
                  <w:vAlign w:val="center"/>
                </w:tcPr>
                <w:p w14:paraId="00D5B47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38" w:type="dxa"/>
                  <w:tcBorders>
                    <w:tl2br w:val="nil"/>
                    <w:tr2bl w:val="nil"/>
                  </w:tcBorders>
                  <w:vAlign w:val="center"/>
                </w:tcPr>
                <w:p w14:paraId="3C13F3B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F2E485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85" w:type="dxa"/>
                  <w:tcBorders>
                    <w:tl2br w:val="nil"/>
                    <w:tr2bl w:val="nil"/>
                  </w:tcBorders>
                  <w:vAlign w:val="center"/>
                </w:tcPr>
                <w:p w14:paraId="6C4670B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9C6079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61649A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09D21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71215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084B023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59</w:t>
                  </w:r>
                </w:p>
              </w:tc>
              <w:tc>
                <w:tcPr>
                  <w:tcW w:w="1960" w:type="dxa"/>
                  <w:tcBorders>
                    <w:tl2br w:val="nil"/>
                    <w:tr2bl w:val="nil"/>
                  </w:tcBorders>
                  <w:vAlign w:val="center"/>
                </w:tcPr>
                <w:p w14:paraId="688DDEF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1450T剪刀片</w:t>
                  </w:r>
                </w:p>
              </w:tc>
              <w:tc>
                <w:tcPr>
                  <w:tcW w:w="927" w:type="dxa"/>
                  <w:tcBorders>
                    <w:tl2br w:val="nil"/>
                    <w:tr2bl w:val="nil"/>
                  </w:tcBorders>
                  <w:vAlign w:val="center"/>
                </w:tcPr>
                <w:p w14:paraId="5DE002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49174A2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32ADE0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73E8EBE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36A0E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B59CC6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895B76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0A09E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511042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64</w:t>
                  </w:r>
                </w:p>
              </w:tc>
              <w:tc>
                <w:tcPr>
                  <w:tcW w:w="1960" w:type="dxa"/>
                  <w:tcBorders>
                    <w:tl2br w:val="nil"/>
                    <w:tr2bl w:val="nil"/>
                  </w:tcBorders>
                  <w:vAlign w:val="center"/>
                </w:tcPr>
                <w:p w14:paraId="069EA9C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1450T挤压筒定位键</w:t>
                  </w:r>
                </w:p>
              </w:tc>
              <w:tc>
                <w:tcPr>
                  <w:tcW w:w="927" w:type="dxa"/>
                  <w:tcBorders>
                    <w:tl2br w:val="nil"/>
                    <w:tr2bl w:val="nil"/>
                  </w:tcBorders>
                  <w:vAlign w:val="center"/>
                </w:tcPr>
                <w:p w14:paraId="115640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180</w:t>
                  </w:r>
                </w:p>
              </w:tc>
              <w:tc>
                <w:tcPr>
                  <w:tcW w:w="738" w:type="dxa"/>
                  <w:tcBorders>
                    <w:tl2br w:val="nil"/>
                    <w:tr2bl w:val="nil"/>
                  </w:tcBorders>
                  <w:vAlign w:val="center"/>
                </w:tcPr>
                <w:p w14:paraId="744313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A67B9D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180</w:t>
                  </w:r>
                </w:p>
              </w:tc>
              <w:tc>
                <w:tcPr>
                  <w:tcW w:w="785" w:type="dxa"/>
                  <w:tcBorders>
                    <w:tl2br w:val="nil"/>
                    <w:tr2bl w:val="nil"/>
                  </w:tcBorders>
                  <w:vAlign w:val="center"/>
                </w:tcPr>
                <w:p w14:paraId="7486076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467C4A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8E9B3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E5816C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439F7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4100B1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65</w:t>
                  </w:r>
                </w:p>
              </w:tc>
              <w:tc>
                <w:tcPr>
                  <w:tcW w:w="1960" w:type="dxa"/>
                  <w:tcBorders>
                    <w:tl2br w:val="nil"/>
                    <w:tr2bl w:val="nil"/>
                  </w:tcBorders>
                  <w:vAlign w:val="center"/>
                </w:tcPr>
                <w:p w14:paraId="08EBD1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1450T挤压筒定位键槽</w:t>
                  </w:r>
                </w:p>
              </w:tc>
              <w:tc>
                <w:tcPr>
                  <w:tcW w:w="927" w:type="dxa"/>
                  <w:tcBorders>
                    <w:tl2br w:val="nil"/>
                    <w:tr2bl w:val="nil"/>
                  </w:tcBorders>
                  <w:vAlign w:val="center"/>
                </w:tcPr>
                <w:p w14:paraId="45E7D40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90</w:t>
                  </w:r>
                </w:p>
              </w:tc>
              <w:tc>
                <w:tcPr>
                  <w:tcW w:w="738" w:type="dxa"/>
                  <w:tcBorders>
                    <w:tl2br w:val="nil"/>
                    <w:tr2bl w:val="nil"/>
                  </w:tcBorders>
                  <w:vAlign w:val="center"/>
                </w:tcPr>
                <w:p w14:paraId="68C274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DAFC69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90</w:t>
                  </w:r>
                </w:p>
              </w:tc>
              <w:tc>
                <w:tcPr>
                  <w:tcW w:w="785" w:type="dxa"/>
                  <w:tcBorders>
                    <w:tl2br w:val="nil"/>
                    <w:tr2bl w:val="nil"/>
                  </w:tcBorders>
                  <w:vAlign w:val="center"/>
                </w:tcPr>
                <w:p w14:paraId="47373F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53AB5EE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A8BBC2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460E5F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1A11D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258CD79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66</w:t>
                  </w:r>
                </w:p>
              </w:tc>
              <w:tc>
                <w:tcPr>
                  <w:tcW w:w="1960" w:type="dxa"/>
                  <w:tcBorders>
                    <w:tl2br w:val="nil"/>
                    <w:tr2bl w:val="nil"/>
                  </w:tcBorders>
                  <w:vAlign w:val="center"/>
                </w:tcPr>
                <w:p w14:paraId="2C9728F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电动缸</w:t>
                  </w:r>
                </w:p>
              </w:tc>
              <w:tc>
                <w:tcPr>
                  <w:tcW w:w="927" w:type="dxa"/>
                  <w:tcBorders>
                    <w:tl2br w:val="nil"/>
                    <w:tr2bl w:val="nil"/>
                  </w:tcBorders>
                  <w:vAlign w:val="center"/>
                </w:tcPr>
                <w:p w14:paraId="5FEEBDD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2D80F36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AE1BA5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454CC86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415BDC3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3CFCDA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3CE7FD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760D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A25070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68</w:t>
                  </w:r>
                </w:p>
              </w:tc>
              <w:tc>
                <w:tcPr>
                  <w:tcW w:w="1960" w:type="dxa"/>
                  <w:tcBorders>
                    <w:tl2br w:val="nil"/>
                    <w:tr2bl w:val="nil"/>
                  </w:tcBorders>
                  <w:vAlign w:val="center"/>
                </w:tcPr>
                <w:p w14:paraId="168693E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双区直插式发热管</w:t>
                  </w:r>
                </w:p>
              </w:tc>
              <w:tc>
                <w:tcPr>
                  <w:tcW w:w="927" w:type="dxa"/>
                  <w:tcBorders>
                    <w:tl2br w:val="nil"/>
                    <w:tr2bl w:val="nil"/>
                  </w:tcBorders>
                  <w:vAlign w:val="center"/>
                </w:tcPr>
                <w:p w14:paraId="043B355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540</w:t>
                  </w:r>
                </w:p>
              </w:tc>
              <w:tc>
                <w:tcPr>
                  <w:tcW w:w="738" w:type="dxa"/>
                  <w:tcBorders>
                    <w:tl2br w:val="nil"/>
                    <w:tr2bl w:val="nil"/>
                  </w:tcBorders>
                  <w:vAlign w:val="center"/>
                </w:tcPr>
                <w:p w14:paraId="598ED44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767284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540</w:t>
                  </w:r>
                </w:p>
              </w:tc>
              <w:tc>
                <w:tcPr>
                  <w:tcW w:w="785" w:type="dxa"/>
                  <w:tcBorders>
                    <w:tl2br w:val="nil"/>
                    <w:tr2bl w:val="nil"/>
                  </w:tcBorders>
                  <w:vAlign w:val="center"/>
                </w:tcPr>
                <w:p w14:paraId="3C71821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572589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DAF500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0725F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065E0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2B31061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69</w:t>
                  </w:r>
                </w:p>
              </w:tc>
              <w:tc>
                <w:tcPr>
                  <w:tcW w:w="1960" w:type="dxa"/>
                  <w:tcBorders>
                    <w:tl2br w:val="nil"/>
                    <w:tr2bl w:val="nil"/>
                  </w:tcBorders>
                  <w:vAlign w:val="center"/>
                </w:tcPr>
                <w:p w14:paraId="2A7ABF5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锡青铜</w:t>
                  </w:r>
                </w:p>
              </w:tc>
              <w:tc>
                <w:tcPr>
                  <w:tcW w:w="927" w:type="dxa"/>
                  <w:tcBorders>
                    <w:tl2br w:val="nil"/>
                    <w:tr2bl w:val="nil"/>
                  </w:tcBorders>
                  <w:vAlign w:val="center"/>
                </w:tcPr>
                <w:p w14:paraId="01F0D2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8790</w:t>
                  </w:r>
                </w:p>
              </w:tc>
              <w:tc>
                <w:tcPr>
                  <w:tcW w:w="738" w:type="dxa"/>
                  <w:tcBorders>
                    <w:tl2br w:val="nil"/>
                    <w:tr2bl w:val="nil"/>
                  </w:tcBorders>
                  <w:vAlign w:val="center"/>
                </w:tcPr>
                <w:p w14:paraId="674F84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183723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8790</w:t>
                  </w:r>
                </w:p>
              </w:tc>
              <w:tc>
                <w:tcPr>
                  <w:tcW w:w="785" w:type="dxa"/>
                  <w:tcBorders>
                    <w:tl2br w:val="nil"/>
                    <w:tr2bl w:val="nil"/>
                  </w:tcBorders>
                  <w:vAlign w:val="center"/>
                </w:tcPr>
                <w:p w14:paraId="6DD903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62C22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F19841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64B681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1E6F3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85C2EF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70</w:t>
                  </w:r>
                </w:p>
              </w:tc>
              <w:tc>
                <w:tcPr>
                  <w:tcW w:w="1960" w:type="dxa"/>
                  <w:tcBorders>
                    <w:tl2br w:val="nil"/>
                    <w:tr2bl w:val="nil"/>
                  </w:tcBorders>
                  <w:vAlign w:val="center"/>
                </w:tcPr>
                <w:p w14:paraId="67659E2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驱动器</w:t>
                  </w:r>
                </w:p>
              </w:tc>
              <w:tc>
                <w:tcPr>
                  <w:tcW w:w="927" w:type="dxa"/>
                  <w:tcBorders>
                    <w:tl2br w:val="nil"/>
                    <w:tr2bl w:val="nil"/>
                  </w:tcBorders>
                  <w:vAlign w:val="center"/>
                </w:tcPr>
                <w:p w14:paraId="6463AC3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38" w:type="dxa"/>
                  <w:tcBorders>
                    <w:tl2br w:val="nil"/>
                    <w:tr2bl w:val="nil"/>
                  </w:tcBorders>
                  <w:vAlign w:val="center"/>
                </w:tcPr>
                <w:p w14:paraId="02635B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F31ECB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85" w:type="dxa"/>
                  <w:tcBorders>
                    <w:tl2br w:val="nil"/>
                    <w:tr2bl w:val="nil"/>
                  </w:tcBorders>
                  <w:vAlign w:val="center"/>
                </w:tcPr>
                <w:p w14:paraId="77F6D38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1F6AB3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FAEDBA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910AE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370BC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57CF033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71</w:t>
                  </w:r>
                </w:p>
              </w:tc>
              <w:tc>
                <w:tcPr>
                  <w:tcW w:w="1960" w:type="dxa"/>
                  <w:tcBorders>
                    <w:tl2br w:val="nil"/>
                    <w:tr2bl w:val="nil"/>
                  </w:tcBorders>
                  <w:vAlign w:val="center"/>
                </w:tcPr>
                <w:p w14:paraId="614107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高温云母块</w:t>
                  </w:r>
                </w:p>
              </w:tc>
              <w:tc>
                <w:tcPr>
                  <w:tcW w:w="927" w:type="dxa"/>
                  <w:tcBorders>
                    <w:tl2br w:val="nil"/>
                    <w:tr2bl w:val="nil"/>
                  </w:tcBorders>
                  <w:vAlign w:val="center"/>
                </w:tcPr>
                <w:p w14:paraId="375552E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600</w:t>
                  </w:r>
                </w:p>
              </w:tc>
              <w:tc>
                <w:tcPr>
                  <w:tcW w:w="738" w:type="dxa"/>
                  <w:tcBorders>
                    <w:tl2br w:val="nil"/>
                    <w:tr2bl w:val="nil"/>
                  </w:tcBorders>
                  <w:vAlign w:val="center"/>
                </w:tcPr>
                <w:p w14:paraId="1B53BB4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7AC560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600</w:t>
                  </w:r>
                </w:p>
              </w:tc>
              <w:tc>
                <w:tcPr>
                  <w:tcW w:w="785" w:type="dxa"/>
                  <w:tcBorders>
                    <w:tl2br w:val="nil"/>
                    <w:tr2bl w:val="nil"/>
                  </w:tcBorders>
                  <w:vAlign w:val="center"/>
                </w:tcPr>
                <w:p w14:paraId="7FF943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5C4EC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FEDC65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8E3E6F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1808B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198E2C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72</w:t>
                  </w:r>
                </w:p>
              </w:tc>
              <w:tc>
                <w:tcPr>
                  <w:tcW w:w="1960" w:type="dxa"/>
                  <w:tcBorders>
                    <w:tl2br w:val="nil"/>
                    <w:tr2bl w:val="nil"/>
                  </w:tcBorders>
                  <w:vAlign w:val="center"/>
                </w:tcPr>
                <w:p w14:paraId="5D384C5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导电板</w:t>
                  </w:r>
                </w:p>
              </w:tc>
              <w:tc>
                <w:tcPr>
                  <w:tcW w:w="927" w:type="dxa"/>
                  <w:tcBorders>
                    <w:tl2br w:val="nil"/>
                    <w:tr2bl w:val="nil"/>
                  </w:tcBorders>
                  <w:vAlign w:val="center"/>
                </w:tcPr>
                <w:p w14:paraId="0483B73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300</w:t>
                  </w:r>
                </w:p>
              </w:tc>
              <w:tc>
                <w:tcPr>
                  <w:tcW w:w="738" w:type="dxa"/>
                  <w:tcBorders>
                    <w:tl2br w:val="nil"/>
                    <w:tr2bl w:val="nil"/>
                  </w:tcBorders>
                  <w:vAlign w:val="center"/>
                </w:tcPr>
                <w:p w14:paraId="031FB93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A3DA1A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300</w:t>
                  </w:r>
                </w:p>
              </w:tc>
              <w:tc>
                <w:tcPr>
                  <w:tcW w:w="785" w:type="dxa"/>
                  <w:tcBorders>
                    <w:tl2br w:val="nil"/>
                    <w:tr2bl w:val="nil"/>
                  </w:tcBorders>
                  <w:vAlign w:val="center"/>
                </w:tcPr>
                <w:p w14:paraId="1988C13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9E99C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991C49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CACAD3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14083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26E14F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73</w:t>
                  </w:r>
                </w:p>
              </w:tc>
              <w:tc>
                <w:tcPr>
                  <w:tcW w:w="1960" w:type="dxa"/>
                  <w:tcBorders>
                    <w:tl2br w:val="nil"/>
                    <w:tr2bl w:val="nil"/>
                  </w:tcBorders>
                  <w:vAlign w:val="center"/>
                </w:tcPr>
                <w:p w14:paraId="761FE3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内六角螺栓</w:t>
                  </w:r>
                </w:p>
              </w:tc>
              <w:tc>
                <w:tcPr>
                  <w:tcW w:w="927" w:type="dxa"/>
                  <w:tcBorders>
                    <w:tl2br w:val="nil"/>
                    <w:tr2bl w:val="nil"/>
                  </w:tcBorders>
                  <w:vAlign w:val="center"/>
                </w:tcPr>
                <w:p w14:paraId="19E5B1B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w:t>
                  </w:r>
                </w:p>
              </w:tc>
              <w:tc>
                <w:tcPr>
                  <w:tcW w:w="738" w:type="dxa"/>
                  <w:tcBorders>
                    <w:tl2br w:val="nil"/>
                    <w:tr2bl w:val="nil"/>
                  </w:tcBorders>
                  <w:vAlign w:val="center"/>
                </w:tcPr>
                <w:p w14:paraId="690D908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5747A21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0.2</w:t>
                  </w:r>
                </w:p>
              </w:tc>
              <w:tc>
                <w:tcPr>
                  <w:tcW w:w="785" w:type="dxa"/>
                  <w:tcBorders>
                    <w:tl2br w:val="nil"/>
                    <w:tr2bl w:val="nil"/>
                  </w:tcBorders>
                  <w:vAlign w:val="center"/>
                </w:tcPr>
                <w:p w14:paraId="0304F60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2A99B1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27A652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7AEDD49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0F23D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BE1718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74</w:t>
                  </w:r>
                </w:p>
              </w:tc>
              <w:tc>
                <w:tcPr>
                  <w:tcW w:w="1960" w:type="dxa"/>
                  <w:tcBorders>
                    <w:tl2br w:val="nil"/>
                    <w:tr2bl w:val="nil"/>
                  </w:tcBorders>
                  <w:vAlign w:val="center"/>
                </w:tcPr>
                <w:p w14:paraId="658ED82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内六角平端紧定螺栓</w:t>
                  </w:r>
                </w:p>
              </w:tc>
              <w:tc>
                <w:tcPr>
                  <w:tcW w:w="927" w:type="dxa"/>
                  <w:tcBorders>
                    <w:tl2br w:val="nil"/>
                    <w:tr2bl w:val="nil"/>
                  </w:tcBorders>
                  <w:vAlign w:val="center"/>
                </w:tcPr>
                <w:p w14:paraId="671C766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0.08</w:t>
                  </w:r>
                </w:p>
              </w:tc>
              <w:tc>
                <w:tcPr>
                  <w:tcW w:w="738" w:type="dxa"/>
                  <w:tcBorders>
                    <w:tl2br w:val="nil"/>
                    <w:tr2bl w:val="nil"/>
                  </w:tcBorders>
                  <w:vAlign w:val="center"/>
                </w:tcPr>
                <w:p w14:paraId="71E6245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14830B8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0.08</w:t>
                  </w:r>
                </w:p>
              </w:tc>
              <w:tc>
                <w:tcPr>
                  <w:tcW w:w="785" w:type="dxa"/>
                  <w:tcBorders>
                    <w:tl2br w:val="nil"/>
                    <w:tr2bl w:val="nil"/>
                  </w:tcBorders>
                  <w:vAlign w:val="center"/>
                </w:tcPr>
                <w:p w14:paraId="232D8FE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016012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CE963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4F69C4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1220D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57B414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75</w:t>
                  </w:r>
                </w:p>
              </w:tc>
              <w:tc>
                <w:tcPr>
                  <w:tcW w:w="1960" w:type="dxa"/>
                  <w:tcBorders>
                    <w:tl2br w:val="nil"/>
                    <w:tr2bl w:val="nil"/>
                  </w:tcBorders>
                  <w:vAlign w:val="center"/>
                </w:tcPr>
                <w:p w14:paraId="066D152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六角头螺栓</w:t>
                  </w:r>
                </w:p>
              </w:tc>
              <w:tc>
                <w:tcPr>
                  <w:tcW w:w="927" w:type="dxa"/>
                  <w:tcBorders>
                    <w:tl2br w:val="nil"/>
                    <w:tr2bl w:val="nil"/>
                  </w:tcBorders>
                  <w:vAlign w:val="center"/>
                </w:tcPr>
                <w:p w14:paraId="483D897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w:t>
                  </w:r>
                </w:p>
              </w:tc>
              <w:tc>
                <w:tcPr>
                  <w:tcW w:w="738" w:type="dxa"/>
                  <w:tcBorders>
                    <w:tl2br w:val="nil"/>
                    <w:tr2bl w:val="nil"/>
                  </w:tcBorders>
                  <w:vAlign w:val="center"/>
                </w:tcPr>
                <w:p w14:paraId="2422CB9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27DCF30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0.5</w:t>
                  </w:r>
                </w:p>
              </w:tc>
              <w:tc>
                <w:tcPr>
                  <w:tcW w:w="785" w:type="dxa"/>
                  <w:tcBorders>
                    <w:tl2br w:val="nil"/>
                    <w:tr2bl w:val="nil"/>
                  </w:tcBorders>
                  <w:vAlign w:val="center"/>
                </w:tcPr>
                <w:p w14:paraId="3DDEB54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4685225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036DDE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0E718D8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5D5F9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9D5EB8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76</w:t>
                  </w:r>
                </w:p>
              </w:tc>
              <w:tc>
                <w:tcPr>
                  <w:tcW w:w="1960" w:type="dxa"/>
                  <w:tcBorders>
                    <w:tl2br w:val="nil"/>
                    <w:tr2bl w:val="nil"/>
                  </w:tcBorders>
                  <w:vAlign w:val="center"/>
                </w:tcPr>
                <w:p w14:paraId="3D4A867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膨胀螺栓</w:t>
                  </w:r>
                </w:p>
              </w:tc>
              <w:tc>
                <w:tcPr>
                  <w:tcW w:w="927" w:type="dxa"/>
                  <w:tcBorders>
                    <w:tl2br w:val="nil"/>
                    <w:tr2bl w:val="nil"/>
                  </w:tcBorders>
                  <w:vAlign w:val="center"/>
                </w:tcPr>
                <w:p w14:paraId="6613924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w:t>
                  </w:r>
                </w:p>
              </w:tc>
              <w:tc>
                <w:tcPr>
                  <w:tcW w:w="738" w:type="dxa"/>
                  <w:tcBorders>
                    <w:tl2br w:val="nil"/>
                    <w:tr2bl w:val="nil"/>
                  </w:tcBorders>
                  <w:vAlign w:val="center"/>
                </w:tcPr>
                <w:p w14:paraId="3927B64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3D77C4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0.5</w:t>
                  </w:r>
                </w:p>
              </w:tc>
              <w:tc>
                <w:tcPr>
                  <w:tcW w:w="785" w:type="dxa"/>
                  <w:tcBorders>
                    <w:tl2br w:val="nil"/>
                    <w:tr2bl w:val="nil"/>
                  </w:tcBorders>
                  <w:vAlign w:val="center"/>
                </w:tcPr>
                <w:p w14:paraId="6042EA9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6B404EE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558474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69F03A1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2E0D2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54EC211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77</w:t>
                  </w:r>
                </w:p>
              </w:tc>
              <w:tc>
                <w:tcPr>
                  <w:tcW w:w="1960" w:type="dxa"/>
                  <w:tcBorders>
                    <w:tl2br w:val="nil"/>
                    <w:tr2bl w:val="nil"/>
                  </w:tcBorders>
                  <w:vAlign w:val="center"/>
                </w:tcPr>
                <w:p w14:paraId="1717887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内六角圆柱头螺栓</w:t>
                  </w:r>
                </w:p>
              </w:tc>
              <w:tc>
                <w:tcPr>
                  <w:tcW w:w="927" w:type="dxa"/>
                  <w:tcBorders>
                    <w:tl2br w:val="nil"/>
                    <w:tr2bl w:val="nil"/>
                  </w:tcBorders>
                  <w:vAlign w:val="center"/>
                </w:tcPr>
                <w:p w14:paraId="4E0DEE0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w:t>
                  </w:r>
                </w:p>
              </w:tc>
              <w:tc>
                <w:tcPr>
                  <w:tcW w:w="738" w:type="dxa"/>
                  <w:tcBorders>
                    <w:tl2br w:val="nil"/>
                    <w:tr2bl w:val="nil"/>
                  </w:tcBorders>
                  <w:vAlign w:val="center"/>
                </w:tcPr>
                <w:p w14:paraId="03C37BE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0947C8B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0.5</w:t>
                  </w:r>
                </w:p>
              </w:tc>
              <w:tc>
                <w:tcPr>
                  <w:tcW w:w="785" w:type="dxa"/>
                  <w:tcBorders>
                    <w:tl2br w:val="nil"/>
                    <w:tr2bl w:val="nil"/>
                  </w:tcBorders>
                  <w:vAlign w:val="center"/>
                </w:tcPr>
                <w:p w14:paraId="211397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3D5F3AD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E82B11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6357A8B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68B86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18D6C2A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78</w:t>
                  </w:r>
                </w:p>
              </w:tc>
              <w:tc>
                <w:tcPr>
                  <w:tcW w:w="1960" w:type="dxa"/>
                  <w:tcBorders>
                    <w:tl2br w:val="nil"/>
                    <w:tr2bl w:val="nil"/>
                  </w:tcBorders>
                  <w:vAlign w:val="center"/>
                </w:tcPr>
                <w:p w14:paraId="65FAB36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U型螺栓</w:t>
                  </w:r>
                </w:p>
              </w:tc>
              <w:tc>
                <w:tcPr>
                  <w:tcW w:w="927" w:type="dxa"/>
                  <w:tcBorders>
                    <w:tl2br w:val="nil"/>
                    <w:tr2bl w:val="nil"/>
                  </w:tcBorders>
                  <w:vAlign w:val="center"/>
                </w:tcPr>
                <w:p w14:paraId="53F5761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0.5</w:t>
                  </w:r>
                </w:p>
              </w:tc>
              <w:tc>
                <w:tcPr>
                  <w:tcW w:w="738" w:type="dxa"/>
                  <w:tcBorders>
                    <w:tl2br w:val="nil"/>
                    <w:tr2bl w:val="nil"/>
                  </w:tcBorders>
                  <w:vAlign w:val="center"/>
                </w:tcPr>
                <w:p w14:paraId="2914B6F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20C5318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0.1</w:t>
                  </w:r>
                </w:p>
              </w:tc>
              <w:tc>
                <w:tcPr>
                  <w:tcW w:w="785" w:type="dxa"/>
                  <w:tcBorders>
                    <w:tl2br w:val="nil"/>
                    <w:tr2bl w:val="nil"/>
                  </w:tcBorders>
                  <w:vAlign w:val="center"/>
                </w:tcPr>
                <w:p w14:paraId="7D763D4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166B34B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FFC181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35B51A9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13A2B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C65520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79</w:t>
                  </w:r>
                </w:p>
              </w:tc>
              <w:tc>
                <w:tcPr>
                  <w:tcW w:w="1960" w:type="dxa"/>
                  <w:tcBorders>
                    <w:tl2br w:val="nil"/>
                    <w:tr2bl w:val="nil"/>
                  </w:tcBorders>
                  <w:vAlign w:val="center"/>
                </w:tcPr>
                <w:p w14:paraId="5AA149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内六角沉头螺钉</w:t>
                  </w:r>
                </w:p>
              </w:tc>
              <w:tc>
                <w:tcPr>
                  <w:tcW w:w="927" w:type="dxa"/>
                  <w:tcBorders>
                    <w:tl2br w:val="nil"/>
                    <w:tr2bl w:val="nil"/>
                  </w:tcBorders>
                  <w:vAlign w:val="center"/>
                </w:tcPr>
                <w:p w14:paraId="7EEC251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sz w:val="21"/>
                      <w:szCs w:val="21"/>
                      <w:lang w:val="en-US" w:eastAsia="zh-CN"/>
                    </w:rPr>
                    <w:t>4</w:t>
                  </w:r>
                </w:p>
              </w:tc>
              <w:tc>
                <w:tcPr>
                  <w:tcW w:w="738" w:type="dxa"/>
                  <w:tcBorders>
                    <w:tl2br w:val="nil"/>
                    <w:tr2bl w:val="nil"/>
                  </w:tcBorders>
                  <w:vAlign w:val="center"/>
                </w:tcPr>
                <w:p w14:paraId="185FD90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15A1096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0.5</w:t>
                  </w:r>
                </w:p>
              </w:tc>
              <w:tc>
                <w:tcPr>
                  <w:tcW w:w="785" w:type="dxa"/>
                  <w:tcBorders>
                    <w:tl2br w:val="nil"/>
                    <w:tr2bl w:val="nil"/>
                  </w:tcBorders>
                  <w:vAlign w:val="center"/>
                </w:tcPr>
                <w:p w14:paraId="2E0251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532A7BC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C8CE33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70F2570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r>
            <w:tr w14:paraId="33825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176507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80</w:t>
                  </w:r>
                </w:p>
              </w:tc>
              <w:tc>
                <w:tcPr>
                  <w:tcW w:w="1960" w:type="dxa"/>
                  <w:tcBorders>
                    <w:tl2br w:val="nil"/>
                    <w:tr2bl w:val="nil"/>
                  </w:tcBorders>
                  <w:vAlign w:val="center"/>
                </w:tcPr>
                <w:p w14:paraId="446D68E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大缸组合V形圈</w:t>
                  </w:r>
                </w:p>
              </w:tc>
              <w:tc>
                <w:tcPr>
                  <w:tcW w:w="927" w:type="dxa"/>
                  <w:tcBorders>
                    <w:tl2br w:val="nil"/>
                    <w:tr2bl w:val="nil"/>
                  </w:tcBorders>
                  <w:vAlign w:val="center"/>
                </w:tcPr>
                <w:p w14:paraId="63D89C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53AD8D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CAA72A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06708FD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E4A5EF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A031F8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3DF3152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根据客户需求</w:t>
                  </w:r>
                  <w:r>
                    <w:rPr>
                      <w:rFonts w:hint="eastAsia" w:ascii="Times New Roman" w:hAnsi="Times New Roman" w:cs="Times New Roman"/>
                      <w:b w:val="0"/>
                      <w:bCs/>
                      <w:color w:val="auto"/>
                      <w:sz w:val="21"/>
                      <w:szCs w:val="21"/>
                      <w:lang w:val="en-US" w:eastAsia="zh-CN"/>
                    </w:rPr>
                    <w:t>委外</w:t>
                  </w:r>
                  <w:r>
                    <w:rPr>
                      <w:rFonts w:hint="default" w:ascii="Times New Roman" w:hAnsi="Times New Roman" w:cs="Times New Roman"/>
                      <w:b w:val="0"/>
                      <w:bCs/>
                      <w:color w:val="auto"/>
                      <w:sz w:val="21"/>
                      <w:szCs w:val="21"/>
                      <w:lang w:val="en-US" w:eastAsia="zh-CN"/>
                    </w:rPr>
                    <w:t>定制</w:t>
                  </w:r>
                </w:p>
              </w:tc>
            </w:tr>
            <w:tr w14:paraId="1C041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CC6F2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81</w:t>
                  </w:r>
                </w:p>
              </w:tc>
              <w:tc>
                <w:tcPr>
                  <w:tcW w:w="1960" w:type="dxa"/>
                  <w:tcBorders>
                    <w:tl2br w:val="nil"/>
                    <w:tr2bl w:val="nil"/>
                  </w:tcBorders>
                  <w:vAlign w:val="center"/>
                </w:tcPr>
                <w:p w14:paraId="231DDD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A型防尘圈</w:t>
                  </w:r>
                </w:p>
              </w:tc>
              <w:tc>
                <w:tcPr>
                  <w:tcW w:w="927" w:type="dxa"/>
                  <w:tcBorders>
                    <w:tl2br w:val="nil"/>
                    <w:tr2bl w:val="nil"/>
                  </w:tcBorders>
                  <w:vAlign w:val="center"/>
                </w:tcPr>
                <w:p w14:paraId="0EF2813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300</w:t>
                  </w:r>
                </w:p>
              </w:tc>
              <w:tc>
                <w:tcPr>
                  <w:tcW w:w="738" w:type="dxa"/>
                  <w:tcBorders>
                    <w:tl2br w:val="nil"/>
                    <w:tr2bl w:val="nil"/>
                  </w:tcBorders>
                  <w:vAlign w:val="center"/>
                </w:tcPr>
                <w:p w14:paraId="038F36A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6E53D7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300</w:t>
                  </w:r>
                </w:p>
              </w:tc>
              <w:tc>
                <w:tcPr>
                  <w:tcW w:w="785" w:type="dxa"/>
                  <w:tcBorders>
                    <w:tl2br w:val="nil"/>
                    <w:tr2bl w:val="nil"/>
                  </w:tcBorders>
                  <w:vAlign w:val="center"/>
                </w:tcPr>
                <w:p w14:paraId="36199FA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5E52F8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81E119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DCF91B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7F130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4493DA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82</w:t>
                  </w:r>
                </w:p>
              </w:tc>
              <w:tc>
                <w:tcPr>
                  <w:tcW w:w="1960" w:type="dxa"/>
                  <w:tcBorders>
                    <w:tl2br w:val="nil"/>
                    <w:tr2bl w:val="nil"/>
                  </w:tcBorders>
                  <w:vAlign w:val="center"/>
                </w:tcPr>
                <w:p w14:paraId="0632BC5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格来圈</w:t>
                  </w:r>
                </w:p>
              </w:tc>
              <w:tc>
                <w:tcPr>
                  <w:tcW w:w="927" w:type="dxa"/>
                  <w:tcBorders>
                    <w:tl2br w:val="nil"/>
                    <w:tr2bl w:val="nil"/>
                  </w:tcBorders>
                  <w:vAlign w:val="center"/>
                </w:tcPr>
                <w:p w14:paraId="0C5F77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0A027C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FFE9E9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w:t>
                  </w:r>
                </w:p>
              </w:tc>
              <w:tc>
                <w:tcPr>
                  <w:tcW w:w="785" w:type="dxa"/>
                  <w:tcBorders>
                    <w:tl2br w:val="nil"/>
                    <w:tr2bl w:val="nil"/>
                  </w:tcBorders>
                  <w:vAlign w:val="center"/>
                </w:tcPr>
                <w:p w14:paraId="715D74B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99081F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CCA867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207167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1D2D3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1D8AAC0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83</w:t>
                  </w:r>
                </w:p>
              </w:tc>
              <w:tc>
                <w:tcPr>
                  <w:tcW w:w="1960" w:type="dxa"/>
                  <w:tcBorders>
                    <w:tl2br w:val="nil"/>
                    <w:tr2bl w:val="nil"/>
                  </w:tcBorders>
                  <w:vAlign w:val="center"/>
                </w:tcPr>
                <w:p w14:paraId="7E37CD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导向环</w:t>
                  </w:r>
                </w:p>
              </w:tc>
              <w:tc>
                <w:tcPr>
                  <w:tcW w:w="927" w:type="dxa"/>
                  <w:tcBorders>
                    <w:tl2br w:val="nil"/>
                    <w:tr2bl w:val="nil"/>
                  </w:tcBorders>
                  <w:vAlign w:val="center"/>
                </w:tcPr>
                <w:p w14:paraId="6AD41A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71D33DC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298326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472E42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51BA43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6777C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7C31ABF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75790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7579B0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84</w:t>
                  </w:r>
                </w:p>
              </w:tc>
              <w:tc>
                <w:tcPr>
                  <w:tcW w:w="1960" w:type="dxa"/>
                  <w:tcBorders>
                    <w:tl2br w:val="nil"/>
                    <w:tr2bl w:val="nil"/>
                  </w:tcBorders>
                  <w:vAlign w:val="center"/>
                </w:tcPr>
                <w:p w14:paraId="44B48C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斯特封</w:t>
                  </w:r>
                </w:p>
              </w:tc>
              <w:tc>
                <w:tcPr>
                  <w:tcW w:w="927" w:type="dxa"/>
                  <w:tcBorders>
                    <w:tl2br w:val="nil"/>
                    <w:tr2bl w:val="nil"/>
                  </w:tcBorders>
                  <w:vAlign w:val="center"/>
                </w:tcPr>
                <w:p w14:paraId="5B9BB3B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38" w:type="dxa"/>
                  <w:tcBorders>
                    <w:tl2br w:val="nil"/>
                    <w:tr2bl w:val="nil"/>
                  </w:tcBorders>
                  <w:vAlign w:val="center"/>
                </w:tcPr>
                <w:p w14:paraId="745D6F0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808DB7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w:t>
                  </w:r>
                </w:p>
              </w:tc>
              <w:tc>
                <w:tcPr>
                  <w:tcW w:w="785" w:type="dxa"/>
                  <w:tcBorders>
                    <w:tl2br w:val="nil"/>
                    <w:tr2bl w:val="nil"/>
                  </w:tcBorders>
                  <w:vAlign w:val="center"/>
                </w:tcPr>
                <w:p w14:paraId="7D2C6B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B3BE8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FDF336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0038F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F458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5221209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85</w:t>
                  </w:r>
                </w:p>
              </w:tc>
              <w:tc>
                <w:tcPr>
                  <w:tcW w:w="1960" w:type="dxa"/>
                  <w:tcBorders>
                    <w:tl2br w:val="nil"/>
                    <w:tr2bl w:val="nil"/>
                  </w:tcBorders>
                  <w:vAlign w:val="center"/>
                </w:tcPr>
                <w:p w14:paraId="75C0AA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导向环</w:t>
                  </w:r>
                </w:p>
              </w:tc>
              <w:tc>
                <w:tcPr>
                  <w:tcW w:w="927" w:type="dxa"/>
                  <w:tcBorders>
                    <w:tl2br w:val="nil"/>
                    <w:tr2bl w:val="nil"/>
                  </w:tcBorders>
                  <w:vAlign w:val="center"/>
                </w:tcPr>
                <w:p w14:paraId="087C7EA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05970E0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23AA6D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23D5128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47B0AC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5B137F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FEA7CD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4E700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64CFE21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86</w:t>
                  </w:r>
                </w:p>
              </w:tc>
              <w:tc>
                <w:tcPr>
                  <w:tcW w:w="1960" w:type="dxa"/>
                  <w:tcBorders>
                    <w:tl2br w:val="nil"/>
                    <w:tr2bl w:val="nil"/>
                  </w:tcBorders>
                  <w:vAlign w:val="center"/>
                </w:tcPr>
                <w:p w14:paraId="4B5C28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平键</w:t>
                  </w:r>
                </w:p>
              </w:tc>
              <w:tc>
                <w:tcPr>
                  <w:tcW w:w="927" w:type="dxa"/>
                  <w:tcBorders>
                    <w:tl2br w:val="nil"/>
                    <w:tr2bl w:val="nil"/>
                  </w:tcBorders>
                  <w:vAlign w:val="center"/>
                </w:tcPr>
                <w:p w14:paraId="2FB32F4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750</w:t>
                  </w:r>
                </w:p>
              </w:tc>
              <w:tc>
                <w:tcPr>
                  <w:tcW w:w="738" w:type="dxa"/>
                  <w:tcBorders>
                    <w:tl2br w:val="nil"/>
                    <w:tr2bl w:val="nil"/>
                  </w:tcBorders>
                  <w:vAlign w:val="center"/>
                </w:tcPr>
                <w:p w14:paraId="08C24F6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8DE192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750</w:t>
                  </w:r>
                </w:p>
              </w:tc>
              <w:tc>
                <w:tcPr>
                  <w:tcW w:w="785" w:type="dxa"/>
                  <w:tcBorders>
                    <w:tl2br w:val="nil"/>
                    <w:tr2bl w:val="nil"/>
                  </w:tcBorders>
                  <w:vAlign w:val="center"/>
                </w:tcPr>
                <w:p w14:paraId="326811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13439F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E7626A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1E103E2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08E54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25683F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87</w:t>
                  </w:r>
                </w:p>
              </w:tc>
              <w:tc>
                <w:tcPr>
                  <w:tcW w:w="1960" w:type="dxa"/>
                  <w:tcBorders>
                    <w:tl2br w:val="nil"/>
                    <w:tr2bl w:val="nil"/>
                  </w:tcBorders>
                  <w:vAlign w:val="center"/>
                </w:tcPr>
                <w:p w14:paraId="001534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滑块</w:t>
                  </w:r>
                </w:p>
              </w:tc>
              <w:tc>
                <w:tcPr>
                  <w:tcW w:w="927" w:type="dxa"/>
                  <w:tcBorders>
                    <w:tl2br w:val="nil"/>
                    <w:tr2bl w:val="nil"/>
                  </w:tcBorders>
                  <w:vAlign w:val="center"/>
                </w:tcPr>
                <w:p w14:paraId="3BDE07F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600</w:t>
                  </w:r>
                </w:p>
              </w:tc>
              <w:tc>
                <w:tcPr>
                  <w:tcW w:w="738" w:type="dxa"/>
                  <w:tcBorders>
                    <w:tl2br w:val="nil"/>
                    <w:tr2bl w:val="nil"/>
                  </w:tcBorders>
                  <w:vAlign w:val="center"/>
                </w:tcPr>
                <w:p w14:paraId="71A0CAE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59D05C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600</w:t>
                  </w:r>
                </w:p>
              </w:tc>
              <w:tc>
                <w:tcPr>
                  <w:tcW w:w="785" w:type="dxa"/>
                  <w:tcBorders>
                    <w:tl2br w:val="nil"/>
                    <w:tr2bl w:val="nil"/>
                  </w:tcBorders>
                  <w:vAlign w:val="center"/>
                </w:tcPr>
                <w:p w14:paraId="1E8C1B8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748B3BF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EAEC0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48F04AB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根据客户需求委外定制</w:t>
                  </w:r>
                </w:p>
              </w:tc>
            </w:tr>
            <w:tr w14:paraId="4CD66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C091E9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88</w:t>
                  </w:r>
                </w:p>
              </w:tc>
              <w:tc>
                <w:tcPr>
                  <w:tcW w:w="1960" w:type="dxa"/>
                  <w:tcBorders>
                    <w:tl2br w:val="nil"/>
                    <w:tr2bl w:val="nil"/>
                  </w:tcBorders>
                  <w:vAlign w:val="center"/>
                </w:tcPr>
                <w:p w14:paraId="4D6AA67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行星减速机</w:t>
                  </w:r>
                </w:p>
              </w:tc>
              <w:tc>
                <w:tcPr>
                  <w:tcW w:w="927" w:type="dxa"/>
                  <w:tcBorders>
                    <w:tl2br w:val="nil"/>
                    <w:tr2bl w:val="nil"/>
                  </w:tcBorders>
                  <w:vAlign w:val="center"/>
                </w:tcPr>
                <w:p w14:paraId="7F3944E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210</w:t>
                  </w:r>
                </w:p>
              </w:tc>
              <w:tc>
                <w:tcPr>
                  <w:tcW w:w="738" w:type="dxa"/>
                  <w:tcBorders>
                    <w:tl2br w:val="nil"/>
                    <w:tr2bl w:val="nil"/>
                  </w:tcBorders>
                  <w:vAlign w:val="center"/>
                </w:tcPr>
                <w:p w14:paraId="64BFF63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ECFF77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210</w:t>
                  </w:r>
                </w:p>
              </w:tc>
              <w:tc>
                <w:tcPr>
                  <w:tcW w:w="785" w:type="dxa"/>
                  <w:tcBorders>
                    <w:tl2br w:val="nil"/>
                    <w:tr2bl w:val="nil"/>
                  </w:tcBorders>
                  <w:vAlign w:val="center"/>
                </w:tcPr>
                <w:p w14:paraId="557B5DA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BE5DD7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0E02B8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60C948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430B3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39B2659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89</w:t>
                  </w:r>
                </w:p>
              </w:tc>
              <w:tc>
                <w:tcPr>
                  <w:tcW w:w="1960" w:type="dxa"/>
                  <w:tcBorders>
                    <w:tl2br w:val="nil"/>
                    <w:tr2bl w:val="nil"/>
                  </w:tcBorders>
                  <w:vAlign w:val="center"/>
                </w:tcPr>
                <w:p w14:paraId="4D8EA0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铜套</w:t>
                  </w:r>
                </w:p>
              </w:tc>
              <w:tc>
                <w:tcPr>
                  <w:tcW w:w="927" w:type="dxa"/>
                  <w:tcBorders>
                    <w:tl2br w:val="nil"/>
                    <w:tr2bl w:val="nil"/>
                  </w:tcBorders>
                  <w:vAlign w:val="center"/>
                </w:tcPr>
                <w:p w14:paraId="66B912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240</w:t>
                  </w:r>
                </w:p>
              </w:tc>
              <w:tc>
                <w:tcPr>
                  <w:tcW w:w="738" w:type="dxa"/>
                  <w:tcBorders>
                    <w:tl2br w:val="nil"/>
                    <w:tr2bl w:val="nil"/>
                  </w:tcBorders>
                  <w:vAlign w:val="center"/>
                </w:tcPr>
                <w:p w14:paraId="48BDFF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85BFA5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240</w:t>
                  </w:r>
                </w:p>
              </w:tc>
              <w:tc>
                <w:tcPr>
                  <w:tcW w:w="785" w:type="dxa"/>
                  <w:tcBorders>
                    <w:tl2br w:val="nil"/>
                    <w:tr2bl w:val="nil"/>
                  </w:tcBorders>
                  <w:vAlign w:val="center"/>
                </w:tcPr>
                <w:p w14:paraId="3084FD9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0F1A6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725FDB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CACA3D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489E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597917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1960" w:type="dxa"/>
                  <w:tcBorders>
                    <w:tl2br w:val="nil"/>
                    <w:tr2bl w:val="nil"/>
                  </w:tcBorders>
                  <w:vAlign w:val="center"/>
                </w:tcPr>
                <w:p w14:paraId="21B61F1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石墨铜板</w:t>
                  </w:r>
                </w:p>
              </w:tc>
              <w:tc>
                <w:tcPr>
                  <w:tcW w:w="927" w:type="dxa"/>
                  <w:tcBorders>
                    <w:tl2br w:val="nil"/>
                    <w:tr2bl w:val="nil"/>
                  </w:tcBorders>
                  <w:vAlign w:val="center"/>
                </w:tcPr>
                <w:p w14:paraId="782E3C2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1200</w:t>
                  </w:r>
                </w:p>
              </w:tc>
              <w:tc>
                <w:tcPr>
                  <w:tcW w:w="738" w:type="dxa"/>
                  <w:tcBorders>
                    <w:tl2br w:val="nil"/>
                    <w:tr2bl w:val="nil"/>
                  </w:tcBorders>
                  <w:vAlign w:val="center"/>
                </w:tcPr>
                <w:p w14:paraId="271A8A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E15786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1200</w:t>
                  </w:r>
                </w:p>
              </w:tc>
              <w:tc>
                <w:tcPr>
                  <w:tcW w:w="785" w:type="dxa"/>
                  <w:tcBorders>
                    <w:tl2br w:val="nil"/>
                    <w:tr2bl w:val="nil"/>
                  </w:tcBorders>
                  <w:vAlign w:val="center"/>
                </w:tcPr>
                <w:p w14:paraId="5589CA8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056C4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94E0D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5CF3BE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2E02B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602" w:type="dxa"/>
                  <w:tcBorders>
                    <w:tl2br w:val="nil"/>
                    <w:tr2bl w:val="nil"/>
                  </w:tcBorders>
                  <w:vAlign w:val="center"/>
                </w:tcPr>
                <w:p w14:paraId="2947A91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91</w:t>
                  </w:r>
                </w:p>
              </w:tc>
              <w:tc>
                <w:tcPr>
                  <w:tcW w:w="1960" w:type="dxa"/>
                  <w:tcBorders>
                    <w:tl2br w:val="nil"/>
                    <w:tr2bl w:val="nil"/>
                  </w:tcBorders>
                  <w:vAlign w:val="center"/>
                </w:tcPr>
                <w:p w14:paraId="24A237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手动泵</w:t>
                  </w:r>
                </w:p>
              </w:tc>
              <w:tc>
                <w:tcPr>
                  <w:tcW w:w="927" w:type="dxa"/>
                  <w:tcBorders>
                    <w:tl2br w:val="nil"/>
                    <w:tr2bl w:val="nil"/>
                  </w:tcBorders>
                  <w:vAlign w:val="center"/>
                </w:tcPr>
                <w:p w14:paraId="16FFA8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38" w:type="dxa"/>
                  <w:tcBorders>
                    <w:tl2br w:val="nil"/>
                    <w:tr2bl w:val="nil"/>
                  </w:tcBorders>
                  <w:vAlign w:val="center"/>
                </w:tcPr>
                <w:p w14:paraId="6044E21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39D4EE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113EB9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04B756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EE107F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024F6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126CD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2D91701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92</w:t>
                  </w:r>
                </w:p>
              </w:tc>
              <w:tc>
                <w:tcPr>
                  <w:tcW w:w="1960" w:type="dxa"/>
                  <w:tcBorders>
                    <w:tl2br w:val="nil"/>
                    <w:tr2bl w:val="nil"/>
                  </w:tcBorders>
                  <w:vAlign w:val="center"/>
                </w:tcPr>
                <w:p w14:paraId="3DD9510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上银滑块</w:t>
                  </w:r>
                </w:p>
              </w:tc>
              <w:tc>
                <w:tcPr>
                  <w:tcW w:w="927" w:type="dxa"/>
                  <w:tcBorders>
                    <w:tl2br w:val="nil"/>
                    <w:tr2bl w:val="nil"/>
                  </w:tcBorders>
                  <w:vAlign w:val="center"/>
                </w:tcPr>
                <w:p w14:paraId="7BBFAA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600</w:t>
                  </w:r>
                </w:p>
              </w:tc>
              <w:tc>
                <w:tcPr>
                  <w:tcW w:w="738" w:type="dxa"/>
                  <w:tcBorders>
                    <w:tl2br w:val="nil"/>
                    <w:tr2bl w:val="nil"/>
                  </w:tcBorders>
                  <w:vAlign w:val="center"/>
                </w:tcPr>
                <w:p w14:paraId="33B8242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D7A369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600</w:t>
                  </w:r>
                </w:p>
              </w:tc>
              <w:tc>
                <w:tcPr>
                  <w:tcW w:w="785" w:type="dxa"/>
                  <w:tcBorders>
                    <w:tl2br w:val="nil"/>
                    <w:tr2bl w:val="nil"/>
                  </w:tcBorders>
                  <w:vAlign w:val="center"/>
                </w:tcPr>
                <w:p w14:paraId="0148A9E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63CBBF2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292CE3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71ED96D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r>
            <w:tr w14:paraId="4FEE2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34C2A8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93</w:t>
                  </w:r>
                </w:p>
              </w:tc>
              <w:tc>
                <w:tcPr>
                  <w:tcW w:w="1960" w:type="dxa"/>
                  <w:tcBorders>
                    <w:tl2br w:val="nil"/>
                    <w:tr2bl w:val="nil"/>
                  </w:tcBorders>
                  <w:vAlign w:val="center"/>
                </w:tcPr>
                <w:p w14:paraId="669D955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上银导轨</w:t>
                  </w:r>
                </w:p>
              </w:tc>
              <w:tc>
                <w:tcPr>
                  <w:tcW w:w="927" w:type="dxa"/>
                  <w:tcBorders>
                    <w:tl2br w:val="nil"/>
                    <w:tr2bl w:val="nil"/>
                  </w:tcBorders>
                  <w:vAlign w:val="center"/>
                </w:tcPr>
                <w:p w14:paraId="24FF55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300</w:t>
                  </w:r>
                </w:p>
              </w:tc>
              <w:tc>
                <w:tcPr>
                  <w:tcW w:w="738" w:type="dxa"/>
                  <w:tcBorders>
                    <w:tl2br w:val="nil"/>
                    <w:tr2bl w:val="nil"/>
                  </w:tcBorders>
                  <w:vAlign w:val="center"/>
                </w:tcPr>
                <w:p w14:paraId="15CC618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DB3ADD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300</w:t>
                  </w:r>
                </w:p>
              </w:tc>
              <w:tc>
                <w:tcPr>
                  <w:tcW w:w="785" w:type="dxa"/>
                  <w:tcBorders>
                    <w:tl2br w:val="nil"/>
                    <w:tr2bl w:val="nil"/>
                  </w:tcBorders>
                  <w:vAlign w:val="center"/>
                </w:tcPr>
                <w:p w14:paraId="25FEDA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24D0A7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A725C1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EB043E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199C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0DC7C0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94</w:t>
                  </w:r>
                </w:p>
              </w:tc>
              <w:tc>
                <w:tcPr>
                  <w:tcW w:w="1960" w:type="dxa"/>
                  <w:tcBorders>
                    <w:tl2br w:val="nil"/>
                    <w:tr2bl w:val="nil"/>
                  </w:tcBorders>
                  <w:vAlign w:val="center"/>
                </w:tcPr>
                <w:p w14:paraId="71D8C11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储能器</w:t>
                  </w:r>
                </w:p>
              </w:tc>
              <w:tc>
                <w:tcPr>
                  <w:tcW w:w="927" w:type="dxa"/>
                  <w:tcBorders>
                    <w:tl2br w:val="nil"/>
                    <w:tr2bl w:val="nil"/>
                  </w:tcBorders>
                  <w:vAlign w:val="center"/>
                </w:tcPr>
                <w:p w14:paraId="69E65F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60</w:t>
                  </w:r>
                </w:p>
              </w:tc>
              <w:tc>
                <w:tcPr>
                  <w:tcW w:w="738" w:type="dxa"/>
                  <w:tcBorders>
                    <w:tl2br w:val="nil"/>
                    <w:tr2bl w:val="nil"/>
                  </w:tcBorders>
                  <w:vAlign w:val="center"/>
                </w:tcPr>
                <w:p w14:paraId="32E3F7C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FAD6F0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60</w:t>
                  </w:r>
                </w:p>
              </w:tc>
              <w:tc>
                <w:tcPr>
                  <w:tcW w:w="785" w:type="dxa"/>
                  <w:tcBorders>
                    <w:tl2br w:val="nil"/>
                    <w:tr2bl w:val="nil"/>
                  </w:tcBorders>
                  <w:vAlign w:val="center"/>
                </w:tcPr>
                <w:p w14:paraId="4344210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A43E6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26D7DA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7C508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12B74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346CE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95</w:t>
                  </w:r>
                </w:p>
              </w:tc>
              <w:tc>
                <w:tcPr>
                  <w:tcW w:w="1960" w:type="dxa"/>
                  <w:tcBorders>
                    <w:tl2br w:val="nil"/>
                    <w:tr2bl w:val="nil"/>
                  </w:tcBorders>
                  <w:vAlign w:val="center"/>
                </w:tcPr>
                <w:p w14:paraId="2C2160F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电柜</w:t>
                  </w:r>
                </w:p>
              </w:tc>
              <w:tc>
                <w:tcPr>
                  <w:tcW w:w="927" w:type="dxa"/>
                  <w:tcBorders>
                    <w:tl2br w:val="nil"/>
                    <w:tr2bl w:val="nil"/>
                  </w:tcBorders>
                  <w:vAlign w:val="center"/>
                </w:tcPr>
                <w:p w14:paraId="35C450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436</w:t>
                  </w:r>
                </w:p>
              </w:tc>
              <w:tc>
                <w:tcPr>
                  <w:tcW w:w="738" w:type="dxa"/>
                  <w:tcBorders>
                    <w:tl2br w:val="nil"/>
                    <w:tr2bl w:val="nil"/>
                  </w:tcBorders>
                  <w:vAlign w:val="center"/>
                </w:tcPr>
                <w:p w14:paraId="1F3CC42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0F61F0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051D76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F37A5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BCBB0B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4838E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A553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54F10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96</w:t>
                  </w:r>
                </w:p>
              </w:tc>
              <w:tc>
                <w:tcPr>
                  <w:tcW w:w="1960" w:type="dxa"/>
                  <w:tcBorders>
                    <w:tl2br w:val="nil"/>
                    <w:tr2bl w:val="nil"/>
                  </w:tcBorders>
                  <w:vAlign w:val="center"/>
                </w:tcPr>
                <w:p w14:paraId="2C69DA2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水性丙烯酸面漆</w:t>
                  </w:r>
                </w:p>
              </w:tc>
              <w:tc>
                <w:tcPr>
                  <w:tcW w:w="927" w:type="dxa"/>
                  <w:tcBorders>
                    <w:tl2br w:val="nil"/>
                    <w:tr2bl w:val="nil"/>
                  </w:tcBorders>
                  <w:vAlign w:val="center"/>
                </w:tcPr>
                <w:p w14:paraId="15C3605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22.15</w:t>
                  </w:r>
                </w:p>
              </w:tc>
              <w:tc>
                <w:tcPr>
                  <w:tcW w:w="738" w:type="dxa"/>
                  <w:tcBorders>
                    <w:tl2br w:val="nil"/>
                    <w:tr2bl w:val="nil"/>
                  </w:tcBorders>
                  <w:vAlign w:val="center"/>
                </w:tcPr>
                <w:p w14:paraId="2806C13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6FC8A9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0.5</w:t>
                  </w:r>
                </w:p>
              </w:tc>
              <w:tc>
                <w:tcPr>
                  <w:tcW w:w="785" w:type="dxa"/>
                  <w:tcBorders>
                    <w:tl2br w:val="nil"/>
                    <w:tr2bl w:val="nil"/>
                  </w:tcBorders>
                  <w:vAlign w:val="center"/>
                </w:tcPr>
                <w:p w14:paraId="046B6F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45D8FF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液态</w:t>
                  </w:r>
                </w:p>
              </w:tc>
              <w:tc>
                <w:tcPr>
                  <w:tcW w:w="1071" w:type="dxa"/>
                  <w:tcBorders>
                    <w:tl2br w:val="nil"/>
                    <w:tr2bl w:val="nil"/>
                  </w:tcBorders>
                  <w:vAlign w:val="center"/>
                </w:tcPr>
                <w:p w14:paraId="6241C7C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25kg/桶</w:t>
                  </w:r>
                </w:p>
              </w:tc>
              <w:tc>
                <w:tcPr>
                  <w:tcW w:w="684" w:type="dxa"/>
                  <w:tcBorders>
                    <w:tl2br w:val="nil"/>
                    <w:tr2bl w:val="nil"/>
                  </w:tcBorders>
                  <w:vAlign w:val="center"/>
                </w:tcPr>
                <w:p w14:paraId="01515B7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626BA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7F63F5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97</w:t>
                  </w:r>
                </w:p>
              </w:tc>
              <w:tc>
                <w:tcPr>
                  <w:tcW w:w="1960" w:type="dxa"/>
                  <w:tcBorders>
                    <w:tl2br w:val="nil"/>
                    <w:tr2bl w:val="nil"/>
                  </w:tcBorders>
                  <w:vAlign w:val="center"/>
                </w:tcPr>
                <w:p w14:paraId="586953B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高温区滚轮</w:t>
                  </w:r>
                </w:p>
              </w:tc>
              <w:tc>
                <w:tcPr>
                  <w:tcW w:w="927" w:type="dxa"/>
                  <w:tcBorders>
                    <w:tl2br w:val="nil"/>
                    <w:tr2bl w:val="nil"/>
                  </w:tcBorders>
                  <w:vAlign w:val="center"/>
                </w:tcPr>
                <w:p w14:paraId="113751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1720</w:t>
                  </w:r>
                </w:p>
              </w:tc>
              <w:tc>
                <w:tcPr>
                  <w:tcW w:w="738" w:type="dxa"/>
                  <w:tcBorders>
                    <w:tl2br w:val="nil"/>
                    <w:tr2bl w:val="nil"/>
                  </w:tcBorders>
                  <w:vAlign w:val="center"/>
                </w:tcPr>
                <w:p w14:paraId="08C9429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A39E2F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500</w:t>
                  </w:r>
                </w:p>
              </w:tc>
              <w:tc>
                <w:tcPr>
                  <w:tcW w:w="785" w:type="dxa"/>
                  <w:tcBorders>
                    <w:tl2br w:val="nil"/>
                    <w:tr2bl w:val="nil"/>
                  </w:tcBorders>
                  <w:vAlign w:val="center"/>
                </w:tcPr>
                <w:p w14:paraId="3C2B0C2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0A831F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BD7F36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3199920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根据客户需求委外定制</w:t>
                  </w:r>
                </w:p>
              </w:tc>
            </w:tr>
            <w:tr w14:paraId="1C60F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CD754C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98</w:t>
                  </w:r>
                </w:p>
              </w:tc>
              <w:tc>
                <w:tcPr>
                  <w:tcW w:w="1960" w:type="dxa"/>
                  <w:tcBorders>
                    <w:tl2br w:val="nil"/>
                    <w:tr2bl w:val="nil"/>
                  </w:tcBorders>
                  <w:vAlign w:val="center"/>
                </w:tcPr>
                <w:p w14:paraId="1235254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低温区滚轮</w:t>
                  </w:r>
                </w:p>
              </w:tc>
              <w:tc>
                <w:tcPr>
                  <w:tcW w:w="927" w:type="dxa"/>
                  <w:tcBorders>
                    <w:tl2br w:val="nil"/>
                    <w:tr2bl w:val="nil"/>
                  </w:tcBorders>
                  <w:vAlign w:val="center"/>
                </w:tcPr>
                <w:p w14:paraId="3E7045F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1680</w:t>
                  </w:r>
                </w:p>
              </w:tc>
              <w:tc>
                <w:tcPr>
                  <w:tcW w:w="738" w:type="dxa"/>
                  <w:tcBorders>
                    <w:tl2br w:val="nil"/>
                    <w:tr2bl w:val="nil"/>
                  </w:tcBorders>
                  <w:vAlign w:val="center"/>
                </w:tcPr>
                <w:p w14:paraId="312A143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59896A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500</w:t>
                  </w:r>
                </w:p>
              </w:tc>
              <w:tc>
                <w:tcPr>
                  <w:tcW w:w="785" w:type="dxa"/>
                  <w:tcBorders>
                    <w:tl2br w:val="nil"/>
                    <w:tr2bl w:val="nil"/>
                  </w:tcBorders>
                  <w:vAlign w:val="center"/>
                </w:tcPr>
                <w:p w14:paraId="0A21F8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5B5AE0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DF69E9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EFBFAE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46555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B5BCB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99</w:t>
                  </w:r>
                </w:p>
              </w:tc>
              <w:tc>
                <w:tcPr>
                  <w:tcW w:w="1960" w:type="dxa"/>
                  <w:tcBorders>
                    <w:tl2br w:val="nil"/>
                    <w:tr2bl w:val="nil"/>
                  </w:tcBorders>
                  <w:vAlign w:val="center"/>
                </w:tcPr>
                <w:p w14:paraId="164611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高温区滚轮套</w:t>
                  </w:r>
                </w:p>
              </w:tc>
              <w:tc>
                <w:tcPr>
                  <w:tcW w:w="927" w:type="dxa"/>
                  <w:tcBorders>
                    <w:tl2br w:val="nil"/>
                    <w:tr2bl w:val="nil"/>
                  </w:tcBorders>
                  <w:vAlign w:val="center"/>
                </w:tcPr>
                <w:p w14:paraId="2E30B68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3440</w:t>
                  </w:r>
                </w:p>
              </w:tc>
              <w:tc>
                <w:tcPr>
                  <w:tcW w:w="738" w:type="dxa"/>
                  <w:tcBorders>
                    <w:tl2br w:val="nil"/>
                    <w:tr2bl w:val="nil"/>
                  </w:tcBorders>
                  <w:vAlign w:val="center"/>
                </w:tcPr>
                <w:p w14:paraId="09757EA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1C89D1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500</w:t>
                  </w:r>
                </w:p>
              </w:tc>
              <w:tc>
                <w:tcPr>
                  <w:tcW w:w="785" w:type="dxa"/>
                  <w:tcBorders>
                    <w:tl2br w:val="nil"/>
                    <w:tr2bl w:val="nil"/>
                  </w:tcBorders>
                  <w:vAlign w:val="center"/>
                </w:tcPr>
                <w:p w14:paraId="048248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0FD8F37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C87B61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BB244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50F6C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828184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100</w:t>
                  </w:r>
                </w:p>
              </w:tc>
              <w:tc>
                <w:tcPr>
                  <w:tcW w:w="1960" w:type="dxa"/>
                  <w:tcBorders>
                    <w:tl2br w:val="nil"/>
                    <w:tr2bl w:val="nil"/>
                  </w:tcBorders>
                  <w:vAlign w:val="center"/>
                </w:tcPr>
                <w:p w14:paraId="3DA343B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低温区滚轮套</w:t>
                  </w:r>
                </w:p>
              </w:tc>
              <w:tc>
                <w:tcPr>
                  <w:tcW w:w="927" w:type="dxa"/>
                  <w:tcBorders>
                    <w:tl2br w:val="nil"/>
                    <w:tr2bl w:val="nil"/>
                  </w:tcBorders>
                  <w:vAlign w:val="center"/>
                </w:tcPr>
                <w:p w14:paraId="45D029C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3360</w:t>
                  </w:r>
                </w:p>
              </w:tc>
              <w:tc>
                <w:tcPr>
                  <w:tcW w:w="738" w:type="dxa"/>
                  <w:tcBorders>
                    <w:tl2br w:val="nil"/>
                    <w:tr2bl w:val="nil"/>
                  </w:tcBorders>
                  <w:vAlign w:val="center"/>
                </w:tcPr>
                <w:p w14:paraId="672D9D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6252D0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500</w:t>
                  </w:r>
                </w:p>
              </w:tc>
              <w:tc>
                <w:tcPr>
                  <w:tcW w:w="785" w:type="dxa"/>
                  <w:tcBorders>
                    <w:tl2br w:val="nil"/>
                    <w:tr2bl w:val="nil"/>
                  </w:tcBorders>
                  <w:vAlign w:val="center"/>
                </w:tcPr>
                <w:p w14:paraId="7FFB15C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4988676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D6D930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57947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6D5C9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42744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101</w:t>
                  </w:r>
                </w:p>
              </w:tc>
              <w:tc>
                <w:tcPr>
                  <w:tcW w:w="1960" w:type="dxa"/>
                  <w:tcBorders>
                    <w:tl2br w:val="nil"/>
                    <w:tr2bl w:val="nil"/>
                  </w:tcBorders>
                  <w:vAlign w:val="center"/>
                </w:tcPr>
                <w:p w14:paraId="151B2B5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高温支架</w:t>
                  </w:r>
                </w:p>
              </w:tc>
              <w:tc>
                <w:tcPr>
                  <w:tcW w:w="927" w:type="dxa"/>
                  <w:tcBorders>
                    <w:tl2br w:val="nil"/>
                    <w:tr2bl w:val="nil"/>
                  </w:tcBorders>
                  <w:vAlign w:val="center"/>
                </w:tcPr>
                <w:p w14:paraId="24EF2C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70</w:t>
                  </w:r>
                </w:p>
              </w:tc>
              <w:tc>
                <w:tcPr>
                  <w:tcW w:w="738" w:type="dxa"/>
                  <w:tcBorders>
                    <w:tl2br w:val="nil"/>
                    <w:tr2bl w:val="nil"/>
                  </w:tcBorders>
                  <w:vAlign w:val="center"/>
                </w:tcPr>
                <w:p w14:paraId="0CEFE3B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6498DE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35</w:t>
                  </w:r>
                </w:p>
              </w:tc>
              <w:tc>
                <w:tcPr>
                  <w:tcW w:w="785" w:type="dxa"/>
                  <w:tcBorders>
                    <w:tl2br w:val="nil"/>
                    <w:tr2bl w:val="nil"/>
                  </w:tcBorders>
                  <w:vAlign w:val="center"/>
                </w:tcPr>
                <w:p w14:paraId="356AE3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181793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25635A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773BDA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0996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A41DA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102</w:t>
                  </w:r>
                </w:p>
              </w:tc>
              <w:tc>
                <w:tcPr>
                  <w:tcW w:w="1960" w:type="dxa"/>
                  <w:tcBorders>
                    <w:tl2br w:val="nil"/>
                    <w:tr2bl w:val="nil"/>
                  </w:tcBorders>
                  <w:vAlign w:val="center"/>
                </w:tcPr>
                <w:p w14:paraId="4A46DA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滚轮</w:t>
                  </w:r>
                </w:p>
              </w:tc>
              <w:tc>
                <w:tcPr>
                  <w:tcW w:w="927" w:type="dxa"/>
                  <w:tcBorders>
                    <w:tl2br w:val="nil"/>
                    <w:tr2bl w:val="nil"/>
                  </w:tcBorders>
                  <w:vAlign w:val="center"/>
                </w:tcPr>
                <w:p w14:paraId="06252C6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60</w:t>
                  </w:r>
                </w:p>
              </w:tc>
              <w:tc>
                <w:tcPr>
                  <w:tcW w:w="738" w:type="dxa"/>
                  <w:tcBorders>
                    <w:tl2br w:val="nil"/>
                    <w:tr2bl w:val="nil"/>
                  </w:tcBorders>
                  <w:vAlign w:val="center"/>
                </w:tcPr>
                <w:p w14:paraId="42CBF3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78F007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245EDD7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7D200E9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42C959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B971D3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38ACA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2614CC8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103</w:t>
                  </w:r>
                </w:p>
              </w:tc>
              <w:tc>
                <w:tcPr>
                  <w:tcW w:w="1960" w:type="dxa"/>
                  <w:tcBorders>
                    <w:tl2br w:val="nil"/>
                    <w:tr2bl w:val="nil"/>
                  </w:tcBorders>
                  <w:vAlign w:val="center"/>
                </w:tcPr>
                <w:p w14:paraId="38544FF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橡胶软接头</w:t>
                  </w:r>
                </w:p>
              </w:tc>
              <w:tc>
                <w:tcPr>
                  <w:tcW w:w="927" w:type="dxa"/>
                  <w:tcBorders>
                    <w:tl2br w:val="nil"/>
                    <w:tr2bl w:val="nil"/>
                  </w:tcBorders>
                  <w:vAlign w:val="center"/>
                </w:tcPr>
                <w:p w14:paraId="6FDC6F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5C9135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346DD9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79C9855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13E2B8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F64186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74271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55941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833164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104</w:t>
                  </w:r>
                </w:p>
              </w:tc>
              <w:tc>
                <w:tcPr>
                  <w:tcW w:w="1960" w:type="dxa"/>
                  <w:tcBorders>
                    <w:tl2br w:val="nil"/>
                    <w:tr2bl w:val="nil"/>
                  </w:tcBorders>
                  <w:vAlign w:val="center"/>
                </w:tcPr>
                <w:p w14:paraId="1249C6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小火助燃风机</w:t>
                  </w:r>
                </w:p>
              </w:tc>
              <w:tc>
                <w:tcPr>
                  <w:tcW w:w="927" w:type="dxa"/>
                  <w:tcBorders>
                    <w:tl2br w:val="nil"/>
                    <w:tr2bl w:val="nil"/>
                  </w:tcBorders>
                  <w:vAlign w:val="center"/>
                </w:tcPr>
                <w:p w14:paraId="4B3F4AF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24201C1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台</w:t>
                  </w:r>
                </w:p>
              </w:tc>
              <w:tc>
                <w:tcPr>
                  <w:tcW w:w="869" w:type="dxa"/>
                  <w:tcBorders>
                    <w:tl2br w:val="nil"/>
                    <w:tr2bl w:val="nil"/>
                  </w:tcBorders>
                  <w:vAlign w:val="center"/>
                </w:tcPr>
                <w:p w14:paraId="68B7D4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5728A3E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D3BE3A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66C091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372C46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B15EF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276434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105</w:t>
                  </w:r>
                </w:p>
              </w:tc>
              <w:tc>
                <w:tcPr>
                  <w:tcW w:w="1960" w:type="dxa"/>
                  <w:tcBorders>
                    <w:tl2br w:val="nil"/>
                    <w:tr2bl w:val="nil"/>
                  </w:tcBorders>
                  <w:vAlign w:val="center"/>
                </w:tcPr>
                <w:p w14:paraId="06A95E1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大火助燃风机</w:t>
                  </w:r>
                </w:p>
              </w:tc>
              <w:tc>
                <w:tcPr>
                  <w:tcW w:w="927" w:type="dxa"/>
                  <w:tcBorders>
                    <w:tl2br w:val="nil"/>
                    <w:tr2bl w:val="nil"/>
                  </w:tcBorders>
                  <w:vAlign w:val="center"/>
                </w:tcPr>
                <w:p w14:paraId="34A9B31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7CBD893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台</w:t>
                  </w:r>
                </w:p>
              </w:tc>
              <w:tc>
                <w:tcPr>
                  <w:tcW w:w="869" w:type="dxa"/>
                  <w:tcBorders>
                    <w:tl2br w:val="nil"/>
                    <w:tr2bl w:val="nil"/>
                  </w:tcBorders>
                  <w:vAlign w:val="center"/>
                </w:tcPr>
                <w:p w14:paraId="3222BD5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696E203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69D7A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0F31A4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626F11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2F734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A03B98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106</w:t>
                  </w:r>
                </w:p>
              </w:tc>
              <w:tc>
                <w:tcPr>
                  <w:tcW w:w="1960" w:type="dxa"/>
                  <w:tcBorders>
                    <w:tl2br w:val="nil"/>
                    <w:tr2bl w:val="nil"/>
                  </w:tcBorders>
                  <w:vAlign w:val="center"/>
                </w:tcPr>
                <w:p w14:paraId="33C7CF9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循环风机</w:t>
                  </w:r>
                </w:p>
              </w:tc>
              <w:tc>
                <w:tcPr>
                  <w:tcW w:w="927" w:type="dxa"/>
                  <w:tcBorders>
                    <w:tl2br w:val="nil"/>
                    <w:tr2bl w:val="nil"/>
                  </w:tcBorders>
                  <w:vAlign w:val="center"/>
                </w:tcPr>
                <w:p w14:paraId="353C72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0592772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台</w:t>
                  </w:r>
                </w:p>
              </w:tc>
              <w:tc>
                <w:tcPr>
                  <w:tcW w:w="869" w:type="dxa"/>
                  <w:tcBorders>
                    <w:tl2br w:val="nil"/>
                    <w:tr2bl w:val="nil"/>
                  </w:tcBorders>
                  <w:vAlign w:val="center"/>
                </w:tcPr>
                <w:p w14:paraId="392D24E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66F128E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08EBE2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4FC824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6372E7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5C0E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EB407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107</w:t>
                  </w:r>
                </w:p>
              </w:tc>
              <w:tc>
                <w:tcPr>
                  <w:tcW w:w="1960" w:type="dxa"/>
                  <w:tcBorders>
                    <w:tl2br w:val="nil"/>
                    <w:tr2bl w:val="nil"/>
                  </w:tcBorders>
                  <w:vAlign w:val="center"/>
                </w:tcPr>
                <w:p w14:paraId="6024363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耐火砖</w:t>
                  </w:r>
                </w:p>
              </w:tc>
              <w:tc>
                <w:tcPr>
                  <w:tcW w:w="927" w:type="dxa"/>
                  <w:tcBorders>
                    <w:tl2br w:val="nil"/>
                    <w:tr2bl w:val="nil"/>
                  </w:tcBorders>
                  <w:vAlign w:val="center"/>
                </w:tcPr>
                <w:p w14:paraId="5C71C48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w:t>
                  </w:r>
                </w:p>
              </w:tc>
              <w:tc>
                <w:tcPr>
                  <w:tcW w:w="738" w:type="dxa"/>
                  <w:tcBorders>
                    <w:tl2br w:val="nil"/>
                    <w:tr2bl w:val="nil"/>
                  </w:tcBorders>
                  <w:vAlign w:val="center"/>
                </w:tcPr>
                <w:p w14:paraId="539784D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47F9798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w:t>
                  </w:r>
                </w:p>
              </w:tc>
              <w:tc>
                <w:tcPr>
                  <w:tcW w:w="785" w:type="dxa"/>
                  <w:tcBorders>
                    <w:tl2br w:val="nil"/>
                    <w:tr2bl w:val="nil"/>
                  </w:tcBorders>
                  <w:vAlign w:val="center"/>
                </w:tcPr>
                <w:p w14:paraId="0B5E072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B94341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29E2B9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7D4DC8D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EC56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F8528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108</w:t>
                  </w:r>
                </w:p>
              </w:tc>
              <w:tc>
                <w:tcPr>
                  <w:tcW w:w="1960" w:type="dxa"/>
                  <w:tcBorders>
                    <w:tl2br w:val="nil"/>
                    <w:tr2bl w:val="nil"/>
                  </w:tcBorders>
                  <w:vAlign w:val="center"/>
                </w:tcPr>
                <w:p w14:paraId="690CBE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钢纤维浇注料</w:t>
                  </w:r>
                </w:p>
              </w:tc>
              <w:tc>
                <w:tcPr>
                  <w:tcW w:w="927" w:type="dxa"/>
                  <w:tcBorders>
                    <w:tl2br w:val="nil"/>
                    <w:tr2bl w:val="nil"/>
                  </w:tcBorders>
                  <w:vAlign w:val="center"/>
                </w:tcPr>
                <w:p w14:paraId="20C11C7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180</w:t>
                  </w:r>
                </w:p>
              </w:tc>
              <w:tc>
                <w:tcPr>
                  <w:tcW w:w="738" w:type="dxa"/>
                  <w:tcBorders>
                    <w:tl2br w:val="nil"/>
                    <w:tr2bl w:val="nil"/>
                  </w:tcBorders>
                  <w:vAlign w:val="center"/>
                </w:tcPr>
                <w:p w14:paraId="04E2CD9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2BBDED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w:t>
                  </w:r>
                </w:p>
              </w:tc>
              <w:tc>
                <w:tcPr>
                  <w:tcW w:w="785" w:type="dxa"/>
                  <w:tcBorders>
                    <w:tl2br w:val="nil"/>
                    <w:tr2bl w:val="nil"/>
                  </w:tcBorders>
                  <w:vAlign w:val="center"/>
                </w:tcPr>
                <w:p w14:paraId="65A6946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6B0AD7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59367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25kg/袋</w:t>
                  </w:r>
                </w:p>
              </w:tc>
              <w:tc>
                <w:tcPr>
                  <w:tcW w:w="684" w:type="dxa"/>
                  <w:tcBorders>
                    <w:tl2br w:val="nil"/>
                    <w:tr2bl w:val="nil"/>
                  </w:tcBorders>
                  <w:vAlign w:val="center"/>
                </w:tcPr>
                <w:p w14:paraId="51976E8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35D4A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4FC191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109</w:t>
                  </w:r>
                </w:p>
              </w:tc>
              <w:tc>
                <w:tcPr>
                  <w:tcW w:w="1960" w:type="dxa"/>
                  <w:tcBorders>
                    <w:tl2br w:val="nil"/>
                    <w:tr2bl w:val="nil"/>
                  </w:tcBorders>
                  <w:vAlign w:val="center"/>
                </w:tcPr>
                <w:p w14:paraId="166AC14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高铝耐火泥</w:t>
                  </w:r>
                </w:p>
              </w:tc>
              <w:tc>
                <w:tcPr>
                  <w:tcW w:w="927" w:type="dxa"/>
                  <w:tcBorders>
                    <w:tl2br w:val="nil"/>
                    <w:tr2bl w:val="nil"/>
                  </w:tcBorders>
                  <w:vAlign w:val="center"/>
                </w:tcPr>
                <w:p w14:paraId="497EDD8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w:t>
                  </w:r>
                </w:p>
              </w:tc>
              <w:tc>
                <w:tcPr>
                  <w:tcW w:w="738" w:type="dxa"/>
                  <w:tcBorders>
                    <w:tl2br w:val="nil"/>
                    <w:tr2bl w:val="nil"/>
                  </w:tcBorders>
                  <w:vAlign w:val="center"/>
                </w:tcPr>
                <w:p w14:paraId="2961C6E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0F0DEE0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w:t>
                  </w:r>
                </w:p>
              </w:tc>
              <w:tc>
                <w:tcPr>
                  <w:tcW w:w="785" w:type="dxa"/>
                  <w:tcBorders>
                    <w:tl2br w:val="nil"/>
                    <w:tr2bl w:val="nil"/>
                  </w:tcBorders>
                  <w:vAlign w:val="center"/>
                </w:tcPr>
                <w:p w14:paraId="10EB2CB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39F741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B70F7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25kg/袋</w:t>
                  </w:r>
                </w:p>
              </w:tc>
              <w:tc>
                <w:tcPr>
                  <w:tcW w:w="684" w:type="dxa"/>
                  <w:tcBorders>
                    <w:tl2br w:val="nil"/>
                    <w:tr2bl w:val="nil"/>
                  </w:tcBorders>
                  <w:vAlign w:val="center"/>
                </w:tcPr>
                <w:p w14:paraId="77B103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4268E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1690DD6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110</w:t>
                  </w:r>
                </w:p>
              </w:tc>
              <w:tc>
                <w:tcPr>
                  <w:tcW w:w="1960" w:type="dxa"/>
                  <w:tcBorders>
                    <w:tl2br w:val="nil"/>
                    <w:tr2bl w:val="nil"/>
                  </w:tcBorders>
                  <w:vAlign w:val="center"/>
                </w:tcPr>
                <w:p w14:paraId="3E2614A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玻璃水</w:t>
                  </w:r>
                </w:p>
              </w:tc>
              <w:tc>
                <w:tcPr>
                  <w:tcW w:w="927" w:type="dxa"/>
                  <w:tcBorders>
                    <w:tl2br w:val="nil"/>
                    <w:tr2bl w:val="nil"/>
                  </w:tcBorders>
                  <w:vAlign w:val="center"/>
                </w:tcPr>
                <w:p w14:paraId="548CD1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w:t>
                  </w:r>
                </w:p>
              </w:tc>
              <w:tc>
                <w:tcPr>
                  <w:tcW w:w="738" w:type="dxa"/>
                  <w:tcBorders>
                    <w:tl2br w:val="nil"/>
                    <w:tr2bl w:val="nil"/>
                  </w:tcBorders>
                  <w:vAlign w:val="center"/>
                </w:tcPr>
                <w:p w14:paraId="795558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597B71F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2CEC7B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桶装</w:t>
                  </w:r>
                </w:p>
              </w:tc>
              <w:tc>
                <w:tcPr>
                  <w:tcW w:w="968" w:type="dxa"/>
                  <w:tcBorders>
                    <w:tl2br w:val="nil"/>
                    <w:tr2bl w:val="nil"/>
                  </w:tcBorders>
                  <w:vAlign w:val="center"/>
                </w:tcPr>
                <w:p w14:paraId="6C6683D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液态</w:t>
                  </w:r>
                </w:p>
              </w:tc>
              <w:tc>
                <w:tcPr>
                  <w:tcW w:w="1071" w:type="dxa"/>
                  <w:tcBorders>
                    <w:tl2br w:val="nil"/>
                    <w:tr2bl w:val="nil"/>
                  </w:tcBorders>
                  <w:vAlign w:val="center"/>
                </w:tcPr>
                <w:p w14:paraId="4F3E76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25kg/桶</w:t>
                  </w:r>
                </w:p>
              </w:tc>
              <w:tc>
                <w:tcPr>
                  <w:tcW w:w="684" w:type="dxa"/>
                  <w:tcBorders>
                    <w:tl2br w:val="nil"/>
                    <w:tr2bl w:val="nil"/>
                  </w:tcBorders>
                  <w:vAlign w:val="center"/>
                </w:tcPr>
                <w:p w14:paraId="40FD82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22A7A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573029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111</w:t>
                  </w:r>
                </w:p>
              </w:tc>
              <w:tc>
                <w:tcPr>
                  <w:tcW w:w="1960" w:type="dxa"/>
                  <w:tcBorders>
                    <w:tl2br w:val="nil"/>
                    <w:tr2bl w:val="nil"/>
                  </w:tcBorders>
                  <w:vAlign w:val="center"/>
                </w:tcPr>
                <w:p w14:paraId="5486850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紫外探头</w:t>
                  </w:r>
                </w:p>
              </w:tc>
              <w:tc>
                <w:tcPr>
                  <w:tcW w:w="927" w:type="dxa"/>
                  <w:tcBorders>
                    <w:tl2br w:val="nil"/>
                    <w:tr2bl w:val="nil"/>
                  </w:tcBorders>
                  <w:vAlign w:val="center"/>
                </w:tcPr>
                <w:p w14:paraId="46679CF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7D2776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19B11A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428ABF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44FFACC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C2028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1412247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根据客户需求委外定制</w:t>
                  </w:r>
                </w:p>
              </w:tc>
            </w:tr>
            <w:tr w14:paraId="1A14B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EC10C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112</w:t>
                  </w:r>
                </w:p>
              </w:tc>
              <w:tc>
                <w:tcPr>
                  <w:tcW w:w="1960" w:type="dxa"/>
                  <w:tcBorders>
                    <w:tl2br w:val="nil"/>
                    <w:tr2bl w:val="nil"/>
                  </w:tcBorders>
                  <w:vAlign w:val="center"/>
                </w:tcPr>
                <w:p w14:paraId="61CB61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点火变压器</w:t>
                  </w:r>
                </w:p>
              </w:tc>
              <w:tc>
                <w:tcPr>
                  <w:tcW w:w="927" w:type="dxa"/>
                  <w:tcBorders>
                    <w:tl2br w:val="nil"/>
                    <w:tr2bl w:val="nil"/>
                  </w:tcBorders>
                  <w:vAlign w:val="center"/>
                </w:tcPr>
                <w:p w14:paraId="6F99EE3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799124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36698E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36479D6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50D1D8F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498870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F349B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24919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9314A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113</w:t>
                  </w:r>
                </w:p>
              </w:tc>
              <w:tc>
                <w:tcPr>
                  <w:tcW w:w="1960" w:type="dxa"/>
                  <w:tcBorders>
                    <w:tl2br w:val="nil"/>
                    <w:tr2bl w:val="nil"/>
                  </w:tcBorders>
                  <w:vAlign w:val="center"/>
                </w:tcPr>
                <w:p w14:paraId="43056F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点火控制器</w:t>
                  </w:r>
                </w:p>
              </w:tc>
              <w:tc>
                <w:tcPr>
                  <w:tcW w:w="927" w:type="dxa"/>
                  <w:tcBorders>
                    <w:tl2br w:val="nil"/>
                    <w:tr2bl w:val="nil"/>
                  </w:tcBorders>
                  <w:vAlign w:val="center"/>
                </w:tcPr>
                <w:p w14:paraId="5B92FC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126FB73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013E9A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548C15E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6F49200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C7EF6D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87FE4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2F38C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567FE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114</w:t>
                  </w:r>
                </w:p>
              </w:tc>
              <w:tc>
                <w:tcPr>
                  <w:tcW w:w="1960" w:type="dxa"/>
                  <w:tcBorders>
                    <w:tl2br w:val="nil"/>
                    <w:tr2bl w:val="nil"/>
                  </w:tcBorders>
                  <w:vAlign w:val="center"/>
                </w:tcPr>
                <w:p w14:paraId="648CC5D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电动执行器+热风蝶阀</w:t>
                  </w:r>
                </w:p>
              </w:tc>
              <w:tc>
                <w:tcPr>
                  <w:tcW w:w="927" w:type="dxa"/>
                  <w:tcBorders>
                    <w:tl2br w:val="nil"/>
                    <w:tr2bl w:val="nil"/>
                  </w:tcBorders>
                  <w:vAlign w:val="center"/>
                </w:tcPr>
                <w:p w14:paraId="435AC96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36884F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DE8D7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2D273F4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010D8B5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FF303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225091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4A80F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09A2D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115</w:t>
                  </w:r>
                </w:p>
              </w:tc>
              <w:tc>
                <w:tcPr>
                  <w:tcW w:w="1960" w:type="dxa"/>
                  <w:tcBorders>
                    <w:tl2br w:val="nil"/>
                    <w:tr2bl w:val="nil"/>
                  </w:tcBorders>
                  <w:vAlign w:val="center"/>
                </w:tcPr>
                <w:p w14:paraId="0C16B2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过滤器</w:t>
                  </w:r>
                </w:p>
              </w:tc>
              <w:tc>
                <w:tcPr>
                  <w:tcW w:w="927" w:type="dxa"/>
                  <w:tcBorders>
                    <w:tl2br w:val="nil"/>
                    <w:tr2bl w:val="nil"/>
                  </w:tcBorders>
                  <w:vAlign w:val="center"/>
                </w:tcPr>
                <w:p w14:paraId="43DA46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25F30F8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6A310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5BCCC26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01272BF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2BC703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700EB8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489A8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EE55E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116</w:t>
                  </w:r>
                </w:p>
              </w:tc>
              <w:tc>
                <w:tcPr>
                  <w:tcW w:w="1960" w:type="dxa"/>
                  <w:tcBorders>
                    <w:tl2br w:val="nil"/>
                    <w:tr2bl w:val="nil"/>
                  </w:tcBorders>
                  <w:vAlign w:val="center"/>
                </w:tcPr>
                <w:p w14:paraId="350A852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调压阀</w:t>
                  </w:r>
                </w:p>
              </w:tc>
              <w:tc>
                <w:tcPr>
                  <w:tcW w:w="927" w:type="dxa"/>
                  <w:tcBorders>
                    <w:tl2br w:val="nil"/>
                    <w:tr2bl w:val="nil"/>
                  </w:tcBorders>
                  <w:vAlign w:val="center"/>
                </w:tcPr>
                <w:p w14:paraId="3EEDCA6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518A8D8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2847CA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2CDE165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1DCEB7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E04BE5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9CB54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1AE4A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BCD621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117</w:t>
                  </w:r>
                </w:p>
              </w:tc>
              <w:tc>
                <w:tcPr>
                  <w:tcW w:w="1960" w:type="dxa"/>
                  <w:tcBorders>
                    <w:tl2br w:val="nil"/>
                    <w:tr2bl w:val="nil"/>
                  </w:tcBorders>
                  <w:vAlign w:val="center"/>
                </w:tcPr>
                <w:p w14:paraId="018F13F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压力开关</w:t>
                  </w:r>
                </w:p>
              </w:tc>
              <w:tc>
                <w:tcPr>
                  <w:tcW w:w="927" w:type="dxa"/>
                  <w:tcBorders>
                    <w:tl2br w:val="nil"/>
                    <w:tr2bl w:val="nil"/>
                  </w:tcBorders>
                  <w:vAlign w:val="center"/>
                </w:tcPr>
                <w:p w14:paraId="779B56F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167398C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42E30F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6F9B3B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15FE3AD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D1A47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42BD42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A5DD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27AEFD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118</w:t>
                  </w:r>
                </w:p>
              </w:tc>
              <w:tc>
                <w:tcPr>
                  <w:tcW w:w="1960" w:type="dxa"/>
                  <w:tcBorders>
                    <w:tl2br w:val="nil"/>
                    <w:tr2bl w:val="nil"/>
                  </w:tcBorders>
                  <w:vAlign w:val="center"/>
                </w:tcPr>
                <w:p w14:paraId="6757468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燃气电磁阀</w:t>
                  </w:r>
                </w:p>
              </w:tc>
              <w:tc>
                <w:tcPr>
                  <w:tcW w:w="927" w:type="dxa"/>
                  <w:tcBorders>
                    <w:tl2br w:val="nil"/>
                    <w:tr2bl w:val="nil"/>
                  </w:tcBorders>
                  <w:vAlign w:val="center"/>
                </w:tcPr>
                <w:p w14:paraId="29C3CD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3D11AD6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BF031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3A488A1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64F4FE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4EB18A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EE4EC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6AC07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EFA2F9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119</w:t>
                  </w:r>
                </w:p>
              </w:tc>
              <w:tc>
                <w:tcPr>
                  <w:tcW w:w="1960" w:type="dxa"/>
                  <w:tcBorders>
                    <w:tl2br w:val="nil"/>
                    <w:tr2bl w:val="nil"/>
                  </w:tcBorders>
                  <w:vAlign w:val="center"/>
                </w:tcPr>
                <w:p w14:paraId="68CA24D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比例阀</w:t>
                  </w:r>
                </w:p>
              </w:tc>
              <w:tc>
                <w:tcPr>
                  <w:tcW w:w="927" w:type="dxa"/>
                  <w:tcBorders>
                    <w:tl2br w:val="nil"/>
                    <w:tr2bl w:val="nil"/>
                  </w:tcBorders>
                  <w:vAlign w:val="center"/>
                </w:tcPr>
                <w:p w14:paraId="6B2115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6375099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3FEB5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1457715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5FA18D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57BC4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7C5D4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3F330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9B30A0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120</w:t>
                  </w:r>
                </w:p>
              </w:tc>
              <w:tc>
                <w:tcPr>
                  <w:tcW w:w="1960" w:type="dxa"/>
                  <w:tcBorders>
                    <w:tl2br w:val="nil"/>
                    <w:tr2bl w:val="nil"/>
                  </w:tcBorders>
                  <w:vAlign w:val="center"/>
                </w:tcPr>
                <w:p w14:paraId="24FEE00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手动线性阀</w:t>
                  </w:r>
                </w:p>
              </w:tc>
              <w:tc>
                <w:tcPr>
                  <w:tcW w:w="927" w:type="dxa"/>
                  <w:tcBorders>
                    <w:tl2br w:val="nil"/>
                    <w:tr2bl w:val="nil"/>
                  </w:tcBorders>
                  <w:vAlign w:val="center"/>
                </w:tcPr>
                <w:p w14:paraId="54857C5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320</w:t>
                  </w:r>
                </w:p>
              </w:tc>
              <w:tc>
                <w:tcPr>
                  <w:tcW w:w="738" w:type="dxa"/>
                  <w:tcBorders>
                    <w:tl2br w:val="nil"/>
                    <w:tr2bl w:val="nil"/>
                  </w:tcBorders>
                  <w:vAlign w:val="center"/>
                </w:tcPr>
                <w:p w14:paraId="51117D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CA4F5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85" w:type="dxa"/>
                  <w:tcBorders>
                    <w:tl2br w:val="nil"/>
                    <w:tr2bl w:val="nil"/>
                  </w:tcBorders>
                  <w:vAlign w:val="center"/>
                </w:tcPr>
                <w:p w14:paraId="43900EA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7573A9B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473642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80D3D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6BE5B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F2DF96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121</w:t>
                  </w:r>
                </w:p>
              </w:tc>
              <w:tc>
                <w:tcPr>
                  <w:tcW w:w="1960" w:type="dxa"/>
                  <w:tcBorders>
                    <w:tl2br w:val="nil"/>
                    <w:tr2bl w:val="nil"/>
                  </w:tcBorders>
                  <w:vAlign w:val="center"/>
                </w:tcPr>
                <w:p w14:paraId="74EAF5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燃气电磁阀</w:t>
                  </w:r>
                </w:p>
              </w:tc>
              <w:tc>
                <w:tcPr>
                  <w:tcW w:w="927" w:type="dxa"/>
                  <w:tcBorders>
                    <w:tl2br w:val="nil"/>
                    <w:tr2bl w:val="nil"/>
                  </w:tcBorders>
                  <w:vAlign w:val="center"/>
                </w:tcPr>
                <w:p w14:paraId="067676B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320</w:t>
                  </w:r>
                </w:p>
              </w:tc>
              <w:tc>
                <w:tcPr>
                  <w:tcW w:w="738" w:type="dxa"/>
                  <w:tcBorders>
                    <w:tl2br w:val="nil"/>
                    <w:tr2bl w:val="nil"/>
                  </w:tcBorders>
                  <w:vAlign w:val="center"/>
                </w:tcPr>
                <w:p w14:paraId="2ACCEAC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2CE37A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85" w:type="dxa"/>
                  <w:tcBorders>
                    <w:tl2br w:val="nil"/>
                    <w:tr2bl w:val="nil"/>
                  </w:tcBorders>
                  <w:vAlign w:val="center"/>
                </w:tcPr>
                <w:p w14:paraId="3B8379C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2EA968C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9C1C8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7AAC8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A206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751EC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122</w:t>
                  </w:r>
                </w:p>
              </w:tc>
              <w:tc>
                <w:tcPr>
                  <w:tcW w:w="1960" w:type="dxa"/>
                  <w:tcBorders>
                    <w:tl2br w:val="nil"/>
                    <w:tr2bl w:val="nil"/>
                  </w:tcBorders>
                  <w:vAlign w:val="center"/>
                </w:tcPr>
                <w:p w14:paraId="75DB5F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陶瓷纤维密封绳</w:t>
                  </w:r>
                </w:p>
              </w:tc>
              <w:tc>
                <w:tcPr>
                  <w:tcW w:w="927" w:type="dxa"/>
                  <w:tcBorders>
                    <w:tl2br w:val="nil"/>
                    <w:tr2bl w:val="nil"/>
                  </w:tcBorders>
                  <w:vAlign w:val="center"/>
                </w:tcPr>
                <w:p w14:paraId="4BBBF2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w:t>
                  </w:r>
                </w:p>
              </w:tc>
              <w:tc>
                <w:tcPr>
                  <w:tcW w:w="738" w:type="dxa"/>
                  <w:tcBorders>
                    <w:tl2br w:val="nil"/>
                    <w:tr2bl w:val="nil"/>
                  </w:tcBorders>
                  <w:vAlign w:val="center"/>
                </w:tcPr>
                <w:p w14:paraId="3C51E90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卷</w:t>
                  </w:r>
                </w:p>
              </w:tc>
              <w:tc>
                <w:tcPr>
                  <w:tcW w:w="869" w:type="dxa"/>
                  <w:tcBorders>
                    <w:tl2br w:val="nil"/>
                    <w:tr2bl w:val="nil"/>
                  </w:tcBorders>
                  <w:vAlign w:val="center"/>
                </w:tcPr>
                <w:p w14:paraId="3244EE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w:t>
                  </w:r>
                </w:p>
              </w:tc>
              <w:tc>
                <w:tcPr>
                  <w:tcW w:w="785" w:type="dxa"/>
                  <w:tcBorders>
                    <w:tl2br w:val="nil"/>
                    <w:tr2bl w:val="nil"/>
                  </w:tcBorders>
                  <w:vAlign w:val="center"/>
                </w:tcPr>
                <w:p w14:paraId="0A41566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7F83FA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59FBB3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100m/卷</w:t>
                  </w:r>
                </w:p>
              </w:tc>
              <w:tc>
                <w:tcPr>
                  <w:tcW w:w="684" w:type="dxa"/>
                  <w:tcBorders>
                    <w:tl2br w:val="nil"/>
                    <w:tr2bl w:val="nil"/>
                  </w:tcBorders>
                  <w:vAlign w:val="center"/>
                </w:tcPr>
                <w:p w14:paraId="63853C4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08F40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B34967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123</w:t>
                  </w:r>
                </w:p>
              </w:tc>
              <w:tc>
                <w:tcPr>
                  <w:tcW w:w="1960" w:type="dxa"/>
                  <w:tcBorders>
                    <w:tl2br w:val="nil"/>
                    <w:tr2bl w:val="nil"/>
                  </w:tcBorders>
                  <w:vAlign w:val="center"/>
                </w:tcPr>
                <w:p w14:paraId="35B0376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通风对夹式蝶阀</w:t>
                  </w:r>
                </w:p>
              </w:tc>
              <w:tc>
                <w:tcPr>
                  <w:tcW w:w="927" w:type="dxa"/>
                  <w:tcBorders>
                    <w:tl2br w:val="nil"/>
                    <w:tr2bl w:val="nil"/>
                  </w:tcBorders>
                  <w:vAlign w:val="center"/>
                </w:tcPr>
                <w:p w14:paraId="08DEC8F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7C1DB7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277052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4FFC34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78D2C60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F7ACBD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54470FB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根据客户需求委外定制</w:t>
                  </w:r>
                </w:p>
              </w:tc>
            </w:tr>
            <w:tr w14:paraId="5861F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9F6C8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124</w:t>
                  </w:r>
                </w:p>
              </w:tc>
              <w:tc>
                <w:tcPr>
                  <w:tcW w:w="1960" w:type="dxa"/>
                  <w:tcBorders>
                    <w:tl2br w:val="nil"/>
                    <w:tr2bl w:val="nil"/>
                  </w:tcBorders>
                  <w:vAlign w:val="center"/>
                </w:tcPr>
                <w:p w14:paraId="1633BE7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焊接式直通管接头</w:t>
                  </w:r>
                </w:p>
              </w:tc>
              <w:tc>
                <w:tcPr>
                  <w:tcW w:w="927" w:type="dxa"/>
                  <w:tcBorders>
                    <w:tl2br w:val="nil"/>
                    <w:tr2bl w:val="nil"/>
                  </w:tcBorders>
                  <w:vAlign w:val="center"/>
                </w:tcPr>
                <w:p w14:paraId="77DA721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4240</w:t>
                  </w:r>
                </w:p>
              </w:tc>
              <w:tc>
                <w:tcPr>
                  <w:tcW w:w="738" w:type="dxa"/>
                  <w:tcBorders>
                    <w:tl2br w:val="nil"/>
                    <w:tr2bl w:val="nil"/>
                  </w:tcBorders>
                  <w:vAlign w:val="center"/>
                </w:tcPr>
                <w:p w14:paraId="166FA40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1C920B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w:t>
                  </w:r>
                </w:p>
              </w:tc>
              <w:tc>
                <w:tcPr>
                  <w:tcW w:w="785" w:type="dxa"/>
                  <w:tcBorders>
                    <w:tl2br w:val="nil"/>
                    <w:tr2bl w:val="nil"/>
                  </w:tcBorders>
                  <w:vAlign w:val="center"/>
                </w:tcPr>
                <w:p w14:paraId="157B13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2CAF3D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2EFB61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27A35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2D3CC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CF255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125</w:t>
                  </w:r>
                </w:p>
              </w:tc>
              <w:tc>
                <w:tcPr>
                  <w:tcW w:w="1960" w:type="dxa"/>
                  <w:tcBorders>
                    <w:tl2br w:val="nil"/>
                    <w:tr2bl w:val="nil"/>
                  </w:tcBorders>
                  <w:vAlign w:val="center"/>
                </w:tcPr>
                <w:p w14:paraId="12A544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小火点火枪</w:t>
                  </w:r>
                </w:p>
              </w:tc>
              <w:tc>
                <w:tcPr>
                  <w:tcW w:w="927" w:type="dxa"/>
                  <w:tcBorders>
                    <w:tl2br w:val="nil"/>
                    <w:tr2bl w:val="nil"/>
                  </w:tcBorders>
                  <w:vAlign w:val="center"/>
                </w:tcPr>
                <w:p w14:paraId="3A64A15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30AA962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71A532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w:t>
                  </w:r>
                </w:p>
              </w:tc>
              <w:tc>
                <w:tcPr>
                  <w:tcW w:w="785" w:type="dxa"/>
                  <w:tcBorders>
                    <w:tl2br w:val="nil"/>
                    <w:tr2bl w:val="nil"/>
                  </w:tcBorders>
                  <w:vAlign w:val="center"/>
                </w:tcPr>
                <w:p w14:paraId="56DF491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83EE8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A617AE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7DAD63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56BEF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AE4421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126</w:t>
                  </w:r>
                </w:p>
              </w:tc>
              <w:tc>
                <w:tcPr>
                  <w:tcW w:w="1960" w:type="dxa"/>
                  <w:tcBorders>
                    <w:tl2br w:val="nil"/>
                    <w:tr2bl w:val="nil"/>
                  </w:tcBorders>
                  <w:vAlign w:val="center"/>
                </w:tcPr>
                <w:p w14:paraId="53B4F6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文丘里混合器</w:t>
                  </w:r>
                </w:p>
              </w:tc>
              <w:tc>
                <w:tcPr>
                  <w:tcW w:w="927" w:type="dxa"/>
                  <w:tcBorders>
                    <w:tl2br w:val="nil"/>
                    <w:tr2bl w:val="nil"/>
                  </w:tcBorders>
                  <w:vAlign w:val="center"/>
                </w:tcPr>
                <w:p w14:paraId="2E527BB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2E9C920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5236C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w:t>
                  </w:r>
                </w:p>
              </w:tc>
              <w:tc>
                <w:tcPr>
                  <w:tcW w:w="785" w:type="dxa"/>
                  <w:tcBorders>
                    <w:tl2br w:val="nil"/>
                    <w:tr2bl w:val="nil"/>
                  </w:tcBorders>
                  <w:vAlign w:val="center"/>
                </w:tcPr>
                <w:p w14:paraId="6B0BA18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2252A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77108A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DD945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1F977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AECD3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127</w:t>
                  </w:r>
                </w:p>
              </w:tc>
              <w:tc>
                <w:tcPr>
                  <w:tcW w:w="1960" w:type="dxa"/>
                  <w:tcBorders>
                    <w:tl2br w:val="nil"/>
                    <w:tr2bl w:val="nil"/>
                  </w:tcBorders>
                  <w:vAlign w:val="center"/>
                </w:tcPr>
                <w:p w14:paraId="73E3B4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大火喷头</w:t>
                  </w:r>
                </w:p>
              </w:tc>
              <w:tc>
                <w:tcPr>
                  <w:tcW w:w="927" w:type="dxa"/>
                  <w:tcBorders>
                    <w:tl2br w:val="nil"/>
                    <w:tr2bl w:val="nil"/>
                  </w:tcBorders>
                  <w:vAlign w:val="center"/>
                </w:tcPr>
                <w:p w14:paraId="109F89A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4240</w:t>
                  </w:r>
                </w:p>
              </w:tc>
              <w:tc>
                <w:tcPr>
                  <w:tcW w:w="738" w:type="dxa"/>
                  <w:tcBorders>
                    <w:tl2br w:val="nil"/>
                    <w:tr2bl w:val="nil"/>
                  </w:tcBorders>
                  <w:vAlign w:val="center"/>
                </w:tcPr>
                <w:p w14:paraId="6D91FA6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23858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w:t>
                  </w:r>
                </w:p>
              </w:tc>
              <w:tc>
                <w:tcPr>
                  <w:tcW w:w="785" w:type="dxa"/>
                  <w:tcBorders>
                    <w:tl2br w:val="nil"/>
                    <w:tr2bl w:val="nil"/>
                  </w:tcBorders>
                  <w:vAlign w:val="center"/>
                </w:tcPr>
                <w:p w14:paraId="429AC66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5AC1DBF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AF4694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B01A80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85D3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DAC8D6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128</w:t>
                  </w:r>
                </w:p>
              </w:tc>
              <w:tc>
                <w:tcPr>
                  <w:tcW w:w="1960" w:type="dxa"/>
                  <w:tcBorders>
                    <w:tl2br w:val="nil"/>
                    <w:tr2bl w:val="nil"/>
                  </w:tcBorders>
                  <w:vAlign w:val="center"/>
                </w:tcPr>
                <w:p w14:paraId="21056BA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金属垫片</w:t>
                  </w:r>
                </w:p>
              </w:tc>
              <w:tc>
                <w:tcPr>
                  <w:tcW w:w="927" w:type="dxa"/>
                  <w:tcBorders>
                    <w:tl2br w:val="nil"/>
                    <w:tr2bl w:val="nil"/>
                  </w:tcBorders>
                  <w:vAlign w:val="center"/>
                </w:tcPr>
                <w:p w14:paraId="695B878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880</w:t>
                  </w:r>
                </w:p>
              </w:tc>
              <w:tc>
                <w:tcPr>
                  <w:tcW w:w="738" w:type="dxa"/>
                  <w:tcBorders>
                    <w:tl2br w:val="nil"/>
                    <w:tr2bl w:val="nil"/>
                  </w:tcBorders>
                  <w:vAlign w:val="center"/>
                </w:tcPr>
                <w:p w14:paraId="00355C4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E4459E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w:t>
                  </w:r>
                </w:p>
              </w:tc>
              <w:tc>
                <w:tcPr>
                  <w:tcW w:w="785" w:type="dxa"/>
                  <w:tcBorders>
                    <w:tl2br w:val="nil"/>
                    <w:tr2bl w:val="nil"/>
                  </w:tcBorders>
                  <w:vAlign w:val="center"/>
                </w:tcPr>
                <w:p w14:paraId="3655ABC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56CB14E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4BC3DA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A4C352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43DF1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FF1E5C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129</w:t>
                  </w:r>
                </w:p>
              </w:tc>
              <w:tc>
                <w:tcPr>
                  <w:tcW w:w="1960" w:type="dxa"/>
                  <w:tcBorders>
                    <w:tl2br w:val="nil"/>
                    <w:tr2bl w:val="nil"/>
                  </w:tcBorders>
                  <w:vAlign w:val="center"/>
                </w:tcPr>
                <w:p w14:paraId="1138DF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弯头</w:t>
                  </w:r>
                </w:p>
              </w:tc>
              <w:tc>
                <w:tcPr>
                  <w:tcW w:w="927" w:type="dxa"/>
                  <w:tcBorders>
                    <w:tl2br w:val="nil"/>
                    <w:tr2bl w:val="nil"/>
                  </w:tcBorders>
                  <w:vAlign w:val="center"/>
                </w:tcPr>
                <w:p w14:paraId="7746CF6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1640</w:t>
                  </w:r>
                </w:p>
              </w:tc>
              <w:tc>
                <w:tcPr>
                  <w:tcW w:w="738" w:type="dxa"/>
                  <w:tcBorders>
                    <w:tl2br w:val="nil"/>
                    <w:tr2bl w:val="nil"/>
                  </w:tcBorders>
                  <w:vAlign w:val="center"/>
                </w:tcPr>
                <w:p w14:paraId="5520E10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0AE184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200</w:t>
                  </w:r>
                </w:p>
              </w:tc>
              <w:tc>
                <w:tcPr>
                  <w:tcW w:w="785" w:type="dxa"/>
                  <w:tcBorders>
                    <w:tl2br w:val="nil"/>
                    <w:tr2bl w:val="nil"/>
                  </w:tcBorders>
                  <w:vAlign w:val="center"/>
                </w:tcPr>
                <w:p w14:paraId="289809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329D8C0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15E94D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7BD21FF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26A8D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D16C49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130</w:t>
                  </w:r>
                </w:p>
              </w:tc>
              <w:tc>
                <w:tcPr>
                  <w:tcW w:w="1960" w:type="dxa"/>
                  <w:tcBorders>
                    <w:tl2br w:val="nil"/>
                    <w:tr2bl w:val="nil"/>
                  </w:tcBorders>
                  <w:vAlign w:val="center"/>
                </w:tcPr>
                <w:p w14:paraId="00B8349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大小头</w:t>
                  </w:r>
                </w:p>
              </w:tc>
              <w:tc>
                <w:tcPr>
                  <w:tcW w:w="927" w:type="dxa"/>
                  <w:tcBorders>
                    <w:tl2br w:val="nil"/>
                    <w:tr2bl w:val="nil"/>
                  </w:tcBorders>
                  <w:vAlign w:val="center"/>
                </w:tcPr>
                <w:p w14:paraId="7FA365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200</w:t>
                  </w:r>
                </w:p>
              </w:tc>
              <w:tc>
                <w:tcPr>
                  <w:tcW w:w="738" w:type="dxa"/>
                  <w:tcBorders>
                    <w:tl2br w:val="nil"/>
                    <w:tr2bl w:val="nil"/>
                  </w:tcBorders>
                  <w:vAlign w:val="center"/>
                </w:tcPr>
                <w:p w14:paraId="3FDE4CB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F37F4A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1DAFC92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1133918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A45313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32696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4EA5A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4BEB9A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131</w:t>
                  </w:r>
                </w:p>
              </w:tc>
              <w:tc>
                <w:tcPr>
                  <w:tcW w:w="1960" w:type="dxa"/>
                  <w:tcBorders>
                    <w:tl2br w:val="nil"/>
                    <w:tr2bl w:val="nil"/>
                  </w:tcBorders>
                  <w:vAlign w:val="center"/>
                </w:tcPr>
                <w:p w14:paraId="134466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气缸+Y叉+CA</w:t>
                  </w:r>
                </w:p>
              </w:tc>
              <w:tc>
                <w:tcPr>
                  <w:tcW w:w="927" w:type="dxa"/>
                  <w:tcBorders>
                    <w:tl2br w:val="nil"/>
                    <w:tr2bl w:val="nil"/>
                  </w:tcBorders>
                  <w:vAlign w:val="center"/>
                </w:tcPr>
                <w:p w14:paraId="0A76742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575</w:t>
                  </w:r>
                </w:p>
              </w:tc>
              <w:tc>
                <w:tcPr>
                  <w:tcW w:w="738" w:type="dxa"/>
                  <w:tcBorders>
                    <w:tl2br w:val="nil"/>
                    <w:tr2bl w:val="nil"/>
                  </w:tcBorders>
                  <w:vAlign w:val="center"/>
                </w:tcPr>
                <w:p w14:paraId="3DA89C0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2F705E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15</w:t>
                  </w:r>
                </w:p>
              </w:tc>
              <w:tc>
                <w:tcPr>
                  <w:tcW w:w="785" w:type="dxa"/>
                  <w:tcBorders>
                    <w:tl2br w:val="nil"/>
                    <w:tr2bl w:val="nil"/>
                  </w:tcBorders>
                  <w:vAlign w:val="center"/>
                </w:tcPr>
                <w:p w14:paraId="017905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0915171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ECB509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E58EE2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E434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6C266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132</w:t>
                  </w:r>
                </w:p>
              </w:tc>
              <w:tc>
                <w:tcPr>
                  <w:tcW w:w="1960" w:type="dxa"/>
                  <w:tcBorders>
                    <w:tl2br w:val="nil"/>
                    <w:tr2bl w:val="nil"/>
                  </w:tcBorders>
                  <w:vAlign w:val="center"/>
                </w:tcPr>
                <w:p w14:paraId="2B7DC3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无杆气缸</w:t>
                  </w:r>
                </w:p>
              </w:tc>
              <w:tc>
                <w:tcPr>
                  <w:tcW w:w="927" w:type="dxa"/>
                  <w:tcBorders>
                    <w:tl2br w:val="nil"/>
                    <w:tr2bl w:val="nil"/>
                  </w:tcBorders>
                  <w:vAlign w:val="center"/>
                </w:tcPr>
                <w:p w14:paraId="1B5D62A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5CA748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F2BCF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21A3D0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7EEF83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1BB322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2B450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1BDA0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DB51BD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133</w:t>
                  </w:r>
                </w:p>
              </w:tc>
              <w:tc>
                <w:tcPr>
                  <w:tcW w:w="1960" w:type="dxa"/>
                  <w:tcBorders>
                    <w:tl2br w:val="nil"/>
                    <w:tr2bl w:val="nil"/>
                  </w:tcBorders>
                  <w:vAlign w:val="center"/>
                </w:tcPr>
                <w:p w14:paraId="7CB2D0F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压力表</w:t>
                  </w:r>
                </w:p>
              </w:tc>
              <w:tc>
                <w:tcPr>
                  <w:tcW w:w="927" w:type="dxa"/>
                  <w:tcBorders>
                    <w:tl2br w:val="nil"/>
                    <w:tr2bl w:val="nil"/>
                  </w:tcBorders>
                  <w:vAlign w:val="center"/>
                </w:tcPr>
                <w:p w14:paraId="7379E3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2A73BCA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EAFA97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481E03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28C800F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DD4A3E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E8DA8D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1C75B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0DABA5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134</w:t>
                  </w:r>
                </w:p>
              </w:tc>
              <w:tc>
                <w:tcPr>
                  <w:tcW w:w="1960" w:type="dxa"/>
                  <w:tcBorders>
                    <w:tl2br w:val="nil"/>
                    <w:tr2bl w:val="nil"/>
                  </w:tcBorders>
                  <w:vAlign w:val="center"/>
                </w:tcPr>
                <w:p w14:paraId="56DBBC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压力表转换头</w:t>
                  </w:r>
                </w:p>
              </w:tc>
              <w:tc>
                <w:tcPr>
                  <w:tcW w:w="927" w:type="dxa"/>
                  <w:tcBorders>
                    <w:tl2br w:val="nil"/>
                    <w:tr2bl w:val="nil"/>
                  </w:tcBorders>
                  <w:vAlign w:val="center"/>
                </w:tcPr>
                <w:p w14:paraId="35B7C86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0AE7397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27799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6F3A31D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3D38526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CF36A1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83EC09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5D932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602" w:type="dxa"/>
                  <w:tcBorders>
                    <w:tl2br w:val="nil"/>
                    <w:tr2bl w:val="nil"/>
                  </w:tcBorders>
                  <w:vAlign w:val="center"/>
                </w:tcPr>
                <w:p w14:paraId="5DD7956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135</w:t>
                  </w:r>
                </w:p>
              </w:tc>
              <w:tc>
                <w:tcPr>
                  <w:tcW w:w="1960" w:type="dxa"/>
                  <w:tcBorders>
                    <w:tl2br w:val="nil"/>
                    <w:tr2bl w:val="nil"/>
                  </w:tcBorders>
                  <w:vAlign w:val="center"/>
                </w:tcPr>
                <w:p w14:paraId="1C32095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碳钢外丝</w:t>
                  </w:r>
                </w:p>
              </w:tc>
              <w:tc>
                <w:tcPr>
                  <w:tcW w:w="927" w:type="dxa"/>
                  <w:tcBorders>
                    <w:tl2br w:val="nil"/>
                    <w:tr2bl w:val="nil"/>
                  </w:tcBorders>
                  <w:vAlign w:val="center"/>
                </w:tcPr>
                <w:p w14:paraId="06C21BD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920</w:t>
                  </w:r>
                </w:p>
              </w:tc>
              <w:tc>
                <w:tcPr>
                  <w:tcW w:w="738" w:type="dxa"/>
                  <w:tcBorders>
                    <w:tl2br w:val="nil"/>
                    <w:tr2bl w:val="nil"/>
                  </w:tcBorders>
                  <w:vAlign w:val="center"/>
                </w:tcPr>
                <w:p w14:paraId="49F5FE3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66435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3592C11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48563FC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960F0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10个/盒</w:t>
                  </w:r>
                </w:p>
              </w:tc>
              <w:tc>
                <w:tcPr>
                  <w:tcW w:w="684" w:type="dxa"/>
                  <w:tcBorders>
                    <w:tl2br w:val="nil"/>
                    <w:tr2bl w:val="nil"/>
                  </w:tcBorders>
                  <w:vAlign w:val="center"/>
                </w:tcPr>
                <w:p w14:paraId="21E128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1F712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5F92D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136</w:t>
                  </w:r>
                </w:p>
              </w:tc>
              <w:tc>
                <w:tcPr>
                  <w:tcW w:w="1960" w:type="dxa"/>
                  <w:tcBorders>
                    <w:tl2br w:val="nil"/>
                    <w:tr2bl w:val="nil"/>
                  </w:tcBorders>
                  <w:vAlign w:val="center"/>
                </w:tcPr>
                <w:p w14:paraId="0289E8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凹404金属软管</w:t>
                  </w:r>
                </w:p>
              </w:tc>
              <w:tc>
                <w:tcPr>
                  <w:tcW w:w="927" w:type="dxa"/>
                  <w:tcBorders>
                    <w:tl2br w:val="nil"/>
                    <w:tr2bl w:val="nil"/>
                  </w:tcBorders>
                  <w:vAlign w:val="center"/>
                </w:tcPr>
                <w:p w14:paraId="48FB92C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144</w:t>
                  </w:r>
                </w:p>
              </w:tc>
              <w:tc>
                <w:tcPr>
                  <w:tcW w:w="738" w:type="dxa"/>
                  <w:tcBorders>
                    <w:tl2br w:val="nil"/>
                    <w:tr2bl w:val="nil"/>
                  </w:tcBorders>
                  <w:vAlign w:val="center"/>
                </w:tcPr>
                <w:p w14:paraId="494125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米</w:t>
                  </w:r>
                </w:p>
              </w:tc>
              <w:tc>
                <w:tcPr>
                  <w:tcW w:w="869" w:type="dxa"/>
                  <w:tcBorders>
                    <w:tl2br w:val="nil"/>
                    <w:tr2bl w:val="nil"/>
                  </w:tcBorders>
                  <w:vAlign w:val="center"/>
                </w:tcPr>
                <w:p w14:paraId="0B6B4EC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144</w:t>
                  </w:r>
                </w:p>
              </w:tc>
              <w:tc>
                <w:tcPr>
                  <w:tcW w:w="785" w:type="dxa"/>
                  <w:tcBorders>
                    <w:tl2br w:val="nil"/>
                    <w:tr2bl w:val="nil"/>
                  </w:tcBorders>
                  <w:vAlign w:val="center"/>
                </w:tcPr>
                <w:p w14:paraId="1F51C1B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5C241A7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218271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1F09BE2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根据客户需求委外定制</w:t>
                  </w:r>
                </w:p>
              </w:tc>
            </w:tr>
            <w:tr w14:paraId="25412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0EE1B1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137</w:t>
                  </w:r>
                </w:p>
              </w:tc>
              <w:tc>
                <w:tcPr>
                  <w:tcW w:w="1960" w:type="dxa"/>
                  <w:tcBorders>
                    <w:tl2br w:val="nil"/>
                    <w:tr2bl w:val="nil"/>
                  </w:tcBorders>
                  <w:vAlign w:val="center"/>
                </w:tcPr>
                <w:p w14:paraId="32557F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凹405金属软管</w:t>
                  </w:r>
                </w:p>
              </w:tc>
              <w:tc>
                <w:tcPr>
                  <w:tcW w:w="927" w:type="dxa"/>
                  <w:tcBorders>
                    <w:tl2br w:val="nil"/>
                    <w:tr2bl w:val="nil"/>
                  </w:tcBorders>
                  <w:vAlign w:val="center"/>
                </w:tcPr>
                <w:p w14:paraId="138BEC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144</w:t>
                  </w:r>
                </w:p>
              </w:tc>
              <w:tc>
                <w:tcPr>
                  <w:tcW w:w="738" w:type="dxa"/>
                  <w:tcBorders>
                    <w:tl2br w:val="nil"/>
                    <w:tr2bl w:val="nil"/>
                  </w:tcBorders>
                  <w:vAlign w:val="center"/>
                </w:tcPr>
                <w:p w14:paraId="30D3694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米</w:t>
                  </w:r>
                </w:p>
              </w:tc>
              <w:tc>
                <w:tcPr>
                  <w:tcW w:w="869" w:type="dxa"/>
                  <w:tcBorders>
                    <w:tl2br w:val="nil"/>
                    <w:tr2bl w:val="nil"/>
                  </w:tcBorders>
                  <w:vAlign w:val="center"/>
                </w:tcPr>
                <w:p w14:paraId="7ABE56C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144</w:t>
                  </w:r>
                </w:p>
              </w:tc>
              <w:tc>
                <w:tcPr>
                  <w:tcW w:w="785" w:type="dxa"/>
                  <w:tcBorders>
                    <w:tl2br w:val="nil"/>
                    <w:tr2bl w:val="nil"/>
                  </w:tcBorders>
                  <w:vAlign w:val="center"/>
                </w:tcPr>
                <w:p w14:paraId="1AD1D65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5E10D7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E95E8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1252CC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1E97C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88415B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138</w:t>
                  </w:r>
                </w:p>
              </w:tc>
              <w:tc>
                <w:tcPr>
                  <w:tcW w:w="1960" w:type="dxa"/>
                  <w:tcBorders>
                    <w:tl2br w:val="nil"/>
                    <w:tr2bl w:val="nil"/>
                  </w:tcBorders>
                  <w:vAlign w:val="center"/>
                </w:tcPr>
                <w:p w14:paraId="65470D1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8铜管</w:t>
                  </w:r>
                </w:p>
              </w:tc>
              <w:tc>
                <w:tcPr>
                  <w:tcW w:w="927" w:type="dxa"/>
                  <w:tcBorders>
                    <w:tl2br w:val="nil"/>
                    <w:tr2bl w:val="nil"/>
                  </w:tcBorders>
                  <w:vAlign w:val="center"/>
                </w:tcPr>
                <w:p w14:paraId="2312ADE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200</w:t>
                  </w:r>
                </w:p>
              </w:tc>
              <w:tc>
                <w:tcPr>
                  <w:tcW w:w="738" w:type="dxa"/>
                  <w:tcBorders>
                    <w:tl2br w:val="nil"/>
                    <w:tr2bl w:val="nil"/>
                  </w:tcBorders>
                  <w:vAlign w:val="center"/>
                </w:tcPr>
                <w:p w14:paraId="206ACF8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23E2AE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w:t>
                  </w:r>
                </w:p>
              </w:tc>
              <w:tc>
                <w:tcPr>
                  <w:tcW w:w="785" w:type="dxa"/>
                  <w:tcBorders>
                    <w:tl2br w:val="nil"/>
                    <w:tr2bl w:val="nil"/>
                  </w:tcBorders>
                  <w:vAlign w:val="center"/>
                </w:tcPr>
                <w:p w14:paraId="599C319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4B2BB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566062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D4343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2A8CD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E3F0018">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139</w:t>
                  </w:r>
                </w:p>
              </w:tc>
              <w:tc>
                <w:tcPr>
                  <w:tcW w:w="1960" w:type="dxa"/>
                  <w:tcBorders>
                    <w:tl2br w:val="nil"/>
                    <w:tr2bl w:val="nil"/>
                  </w:tcBorders>
                  <w:vAlign w:val="center"/>
                </w:tcPr>
                <w:p w14:paraId="1CA8791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外丝直角弯</w:t>
                  </w:r>
                </w:p>
              </w:tc>
              <w:tc>
                <w:tcPr>
                  <w:tcW w:w="927" w:type="dxa"/>
                  <w:tcBorders>
                    <w:tl2br w:val="nil"/>
                    <w:tr2bl w:val="nil"/>
                  </w:tcBorders>
                  <w:vAlign w:val="center"/>
                </w:tcPr>
                <w:p w14:paraId="48FC745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640</w:t>
                  </w:r>
                </w:p>
              </w:tc>
              <w:tc>
                <w:tcPr>
                  <w:tcW w:w="738" w:type="dxa"/>
                  <w:tcBorders>
                    <w:tl2br w:val="nil"/>
                    <w:tr2bl w:val="nil"/>
                  </w:tcBorders>
                  <w:vAlign w:val="center"/>
                </w:tcPr>
                <w:p w14:paraId="738E3C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5D582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85" w:type="dxa"/>
                  <w:tcBorders>
                    <w:tl2br w:val="nil"/>
                    <w:tr2bl w:val="nil"/>
                  </w:tcBorders>
                  <w:vAlign w:val="center"/>
                </w:tcPr>
                <w:p w14:paraId="3E8FBB2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571C896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232B57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3DD66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242E7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4DE229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140</w:t>
                  </w:r>
                </w:p>
              </w:tc>
              <w:tc>
                <w:tcPr>
                  <w:tcW w:w="1960" w:type="dxa"/>
                  <w:tcBorders>
                    <w:tl2br w:val="nil"/>
                    <w:tr2bl w:val="nil"/>
                  </w:tcBorders>
                  <w:vAlign w:val="center"/>
                </w:tcPr>
                <w:p w14:paraId="20FFB4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镀彩锌单头外丝接头</w:t>
                  </w:r>
                </w:p>
              </w:tc>
              <w:tc>
                <w:tcPr>
                  <w:tcW w:w="927" w:type="dxa"/>
                  <w:tcBorders>
                    <w:tl2br w:val="nil"/>
                    <w:tr2bl w:val="nil"/>
                  </w:tcBorders>
                  <w:vAlign w:val="center"/>
                </w:tcPr>
                <w:p w14:paraId="47E780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640</w:t>
                  </w:r>
                </w:p>
              </w:tc>
              <w:tc>
                <w:tcPr>
                  <w:tcW w:w="738" w:type="dxa"/>
                  <w:tcBorders>
                    <w:tl2br w:val="nil"/>
                    <w:tr2bl w:val="nil"/>
                  </w:tcBorders>
                  <w:vAlign w:val="center"/>
                </w:tcPr>
                <w:p w14:paraId="64E4AC5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075ED9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85" w:type="dxa"/>
                  <w:tcBorders>
                    <w:tl2br w:val="nil"/>
                    <w:tr2bl w:val="nil"/>
                  </w:tcBorders>
                  <w:vAlign w:val="center"/>
                </w:tcPr>
                <w:p w14:paraId="160998E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2B21D79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E14D6F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F29DB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5A877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06FEA2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141</w:t>
                  </w:r>
                </w:p>
              </w:tc>
              <w:tc>
                <w:tcPr>
                  <w:tcW w:w="1960" w:type="dxa"/>
                  <w:tcBorders>
                    <w:tl2br w:val="nil"/>
                    <w:tr2bl w:val="nil"/>
                  </w:tcBorders>
                  <w:vAlign w:val="center"/>
                </w:tcPr>
                <w:p w14:paraId="43EE15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镀彩锌补芯异径内外丝</w:t>
                  </w:r>
                </w:p>
              </w:tc>
              <w:tc>
                <w:tcPr>
                  <w:tcW w:w="927" w:type="dxa"/>
                  <w:tcBorders>
                    <w:tl2br w:val="nil"/>
                    <w:tr2bl w:val="nil"/>
                  </w:tcBorders>
                  <w:vAlign w:val="center"/>
                </w:tcPr>
                <w:p w14:paraId="6F877AF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0E61DD7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EEAAB3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6C70E6B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52CB9F0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26578A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85518B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E3A3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3AB852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142</w:t>
                  </w:r>
                </w:p>
              </w:tc>
              <w:tc>
                <w:tcPr>
                  <w:tcW w:w="1960" w:type="dxa"/>
                  <w:tcBorders>
                    <w:tl2br w:val="nil"/>
                    <w:tr2bl w:val="nil"/>
                  </w:tcBorders>
                  <w:vAlign w:val="center"/>
                </w:tcPr>
                <w:p w14:paraId="5D8C5B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镀彩锌单头外丝弯头</w:t>
                  </w:r>
                </w:p>
              </w:tc>
              <w:tc>
                <w:tcPr>
                  <w:tcW w:w="927" w:type="dxa"/>
                  <w:tcBorders>
                    <w:tl2br w:val="nil"/>
                    <w:tr2bl w:val="nil"/>
                  </w:tcBorders>
                  <w:vAlign w:val="center"/>
                </w:tcPr>
                <w:p w14:paraId="55AAED5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4AC92A6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C51512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4A2E873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5563163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74998B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B44AB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1C4D1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A76E1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143</w:t>
                  </w:r>
                </w:p>
              </w:tc>
              <w:tc>
                <w:tcPr>
                  <w:tcW w:w="1960" w:type="dxa"/>
                  <w:tcBorders>
                    <w:tl2br w:val="nil"/>
                    <w:tr2bl w:val="nil"/>
                  </w:tcBorders>
                  <w:vAlign w:val="center"/>
                </w:tcPr>
                <w:p w14:paraId="70E9158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镀彩锌单头外丝接头</w:t>
                  </w:r>
                </w:p>
              </w:tc>
              <w:tc>
                <w:tcPr>
                  <w:tcW w:w="927" w:type="dxa"/>
                  <w:tcBorders>
                    <w:tl2br w:val="nil"/>
                    <w:tr2bl w:val="nil"/>
                  </w:tcBorders>
                  <w:vAlign w:val="center"/>
                </w:tcPr>
                <w:p w14:paraId="69C16E2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400</w:t>
                  </w:r>
                </w:p>
              </w:tc>
              <w:tc>
                <w:tcPr>
                  <w:tcW w:w="738" w:type="dxa"/>
                  <w:tcBorders>
                    <w:tl2br w:val="nil"/>
                    <w:tr2bl w:val="nil"/>
                  </w:tcBorders>
                  <w:vAlign w:val="center"/>
                </w:tcPr>
                <w:p w14:paraId="348B9C7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2D0B8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1FDA648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0CAA7E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0755EB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1191F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140FE7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99A20E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144</w:t>
                  </w:r>
                </w:p>
              </w:tc>
              <w:tc>
                <w:tcPr>
                  <w:tcW w:w="1960" w:type="dxa"/>
                  <w:tcBorders>
                    <w:tl2br w:val="nil"/>
                    <w:tr2bl w:val="nil"/>
                  </w:tcBorders>
                  <w:vAlign w:val="center"/>
                </w:tcPr>
                <w:p w14:paraId="0A844E7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304不锈钢球阀</w:t>
                  </w:r>
                </w:p>
              </w:tc>
              <w:tc>
                <w:tcPr>
                  <w:tcW w:w="927" w:type="dxa"/>
                  <w:tcBorders>
                    <w:tl2br w:val="nil"/>
                    <w:tr2bl w:val="nil"/>
                  </w:tcBorders>
                  <w:vAlign w:val="center"/>
                </w:tcPr>
                <w:p w14:paraId="05AF6B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480</w:t>
                  </w:r>
                </w:p>
              </w:tc>
              <w:tc>
                <w:tcPr>
                  <w:tcW w:w="738" w:type="dxa"/>
                  <w:tcBorders>
                    <w:tl2br w:val="nil"/>
                    <w:tr2bl w:val="nil"/>
                  </w:tcBorders>
                  <w:vAlign w:val="center"/>
                </w:tcPr>
                <w:p w14:paraId="3DFB77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E6CFB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60</w:t>
                  </w:r>
                </w:p>
              </w:tc>
              <w:tc>
                <w:tcPr>
                  <w:tcW w:w="785" w:type="dxa"/>
                  <w:tcBorders>
                    <w:tl2br w:val="nil"/>
                    <w:tr2bl w:val="nil"/>
                  </w:tcBorders>
                  <w:vAlign w:val="center"/>
                </w:tcPr>
                <w:p w14:paraId="38C09B9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69A2D90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67F40D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334E04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33FB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9B40E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145</w:t>
                  </w:r>
                </w:p>
              </w:tc>
              <w:tc>
                <w:tcPr>
                  <w:tcW w:w="1960" w:type="dxa"/>
                  <w:tcBorders>
                    <w:tl2br w:val="nil"/>
                    <w:tr2bl w:val="nil"/>
                  </w:tcBorders>
                  <w:vAlign w:val="center"/>
                </w:tcPr>
                <w:p w14:paraId="2684284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螺纹套管接头</w:t>
                  </w:r>
                </w:p>
              </w:tc>
              <w:tc>
                <w:tcPr>
                  <w:tcW w:w="927" w:type="dxa"/>
                  <w:tcBorders>
                    <w:tl2br w:val="nil"/>
                    <w:tr2bl w:val="nil"/>
                  </w:tcBorders>
                  <w:vAlign w:val="center"/>
                </w:tcPr>
                <w:p w14:paraId="067D900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240</w:t>
                  </w:r>
                </w:p>
              </w:tc>
              <w:tc>
                <w:tcPr>
                  <w:tcW w:w="738" w:type="dxa"/>
                  <w:tcBorders>
                    <w:tl2br w:val="nil"/>
                    <w:tr2bl w:val="nil"/>
                  </w:tcBorders>
                  <w:vAlign w:val="center"/>
                </w:tcPr>
                <w:p w14:paraId="641231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57521C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0B4D0A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2066EA2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5606F1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058F8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AFAC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EB8CBF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146</w:t>
                  </w:r>
                </w:p>
              </w:tc>
              <w:tc>
                <w:tcPr>
                  <w:tcW w:w="1960" w:type="dxa"/>
                  <w:tcBorders>
                    <w:tl2br w:val="nil"/>
                    <w:tr2bl w:val="nil"/>
                  </w:tcBorders>
                  <w:vAlign w:val="center"/>
                </w:tcPr>
                <w:p w14:paraId="6DAE852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304不锈钢铁丝</w:t>
                  </w:r>
                </w:p>
              </w:tc>
              <w:tc>
                <w:tcPr>
                  <w:tcW w:w="927" w:type="dxa"/>
                  <w:tcBorders>
                    <w:tl2br w:val="nil"/>
                    <w:tr2bl w:val="nil"/>
                  </w:tcBorders>
                  <w:vAlign w:val="center"/>
                </w:tcPr>
                <w:p w14:paraId="4B15D3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144</w:t>
                  </w:r>
                </w:p>
              </w:tc>
              <w:tc>
                <w:tcPr>
                  <w:tcW w:w="738" w:type="dxa"/>
                  <w:tcBorders>
                    <w:tl2br w:val="nil"/>
                    <w:tr2bl w:val="nil"/>
                  </w:tcBorders>
                  <w:vAlign w:val="center"/>
                </w:tcPr>
                <w:p w14:paraId="42BC79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米</w:t>
                  </w:r>
                </w:p>
              </w:tc>
              <w:tc>
                <w:tcPr>
                  <w:tcW w:w="869" w:type="dxa"/>
                  <w:tcBorders>
                    <w:tl2br w:val="nil"/>
                    <w:tr2bl w:val="nil"/>
                  </w:tcBorders>
                  <w:vAlign w:val="center"/>
                </w:tcPr>
                <w:p w14:paraId="54C4178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85" w:type="dxa"/>
                  <w:tcBorders>
                    <w:tl2br w:val="nil"/>
                    <w:tr2bl w:val="nil"/>
                  </w:tcBorders>
                  <w:vAlign w:val="center"/>
                </w:tcPr>
                <w:p w14:paraId="5CF7DD4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40F33D1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1CF8CF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9091F1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51E31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276D41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147</w:t>
                  </w:r>
                </w:p>
              </w:tc>
              <w:tc>
                <w:tcPr>
                  <w:tcW w:w="1960" w:type="dxa"/>
                  <w:tcBorders>
                    <w:tl2br w:val="nil"/>
                    <w:tr2bl w:val="nil"/>
                  </w:tcBorders>
                  <w:vAlign w:val="center"/>
                </w:tcPr>
                <w:p w14:paraId="7B6395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304不锈钢波纹管</w:t>
                  </w:r>
                </w:p>
              </w:tc>
              <w:tc>
                <w:tcPr>
                  <w:tcW w:w="927" w:type="dxa"/>
                  <w:tcBorders>
                    <w:tl2br w:val="nil"/>
                    <w:tr2bl w:val="nil"/>
                  </w:tcBorders>
                  <w:vAlign w:val="center"/>
                </w:tcPr>
                <w:p w14:paraId="47173C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w:t>
                  </w:r>
                </w:p>
              </w:tc>
              <w:tc>
                <w:tcPr>
                  <w:tcW w:w="738" w:type="dxa"/>
                  <w:tcBorders>
                    <w:tl2br w:val="nil"/>
                    <w:tr2bl w:val="nil"/>
                  </w:tcBorders>
                  <w:vAlign w:val="center"/>
                </w:tcPr>
                <w:p w14:paraId="4EFD071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A006AD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w:t>
                  </w:r>
                </w:p>
              </w:tc>
              <w:tc>
                <w:tcPr>
                  <w:tcW w:w="785" w:type="dxa"/>
                  <w:tcBorders>
                    <w:tl2br w:val="nil"/>
                    <w:tr2bl w:val="nil"/>
                  </w:tcBorders>
                  <w:vAlign w:val="center"/>
                </w:tcPr>
                <w:p w14:paraId="16FA2AA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3A7BB9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5A5413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32EB6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D7E5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2B5791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148</w:t>
                  </w:r>
                </w:p>
              </w:tc>
              <w:tc>
                <w:tcPr>
                  <w:tcW w:w="1960" w:type="dxa"/>
                  <w:tcBorders>
                    <w:tl2br w:val="nil"/>
                    <w:tr2bl w:val="nil"/>
                  </w:tcBorders>
                  <w:vAlign w:val="center"/>
                </w:tcPr>
                <w:p w14:paraId="381E131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热电偶</w:t>
                  </w:r>
                </w:p>
              </w:tc>
              <w:tc>
                <w:tcPr>
                  <w:tcW w:w="927" w:type="dxa"/>
                  <w:tcBorders>
                    <w:tl2br w:val="nil"/>
                    <w:tr2bl w:val="nil"/>
                  </w:tcBorders>
                  <w:vAlign w:val="center"/>
                </w:tcPr>
                <w:p w14:paraId="7D4ADD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245</w:t>
                  </w:r>
                </w:p>
              </w:tc>
              <w:tc>
                <w:tcPr>
                  <w:tcW w:w="738" w:type="dxa"/>
                  <w:tcBorders>
                    <w:tl2br w:val="nil"/>
                    <w:tr2bl w:val="nil"/>
                  </w:tcBorders>
                  <w:vAlign w:val="center"/>
                </w:tcPr>
                <w:p w14:paraId="2F17035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1B00A4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798B61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4FFCE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AD5617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10个/捆</w:t>
                  </w:r>
                </w:p>
              </w:tc>
              <w:tc>
                <w:tcPr>
                  <w:tcW w:w="684" w:type="dxa"/>
                  <w:tcBorders>
                    <w:tl2br w:val="nil"/>
                    <w:tr2bl w:val="nil"/>
                  </w:tcBorders>
                  <w:vAlign w:val="center"/>
                </w:tcPr>
                <w:p w14:paraId="346905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11ED6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4A4EB7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149</w:t>
                  </w:r>
                </w:p>
              </w:tc>
              <w:tc>
                <w:tcPr>
                  <w:tcW w:w="1960" w:type="dxa"/>
                  <w:tcBorders>
                    <w:tl2br w:val="nil"/>
                    <w:tr2bl w:val="nil"/>
                  </w:tcBorders>
                  <w:vAlign w:val="center"/>
                </w:tcPr>
                <w:p w14:paraId="0BC58F0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钢丝绳</w:t>
                  </w:r>
                </w:p>
              </w:tc>
              <w:tc>
                <w:tcPr>
                  <w:tcW w:w="927" w:type="dxa"/>
                  <w:tcBorders>
                    <w:tl2br w:val="nil"/>
                    <w:tr2bl w:val="nil"/>
                  </w:tcBorders>
                  <w:vAlign w:val="center"/>
                </w:tcPr>
                <w:p w14:paraId="1A4E58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2450</w:t>
                  </w:r>
                </w:p>
              </w:tc>
              <w:tc>
                <w:tcPr>
                  <w:tcW w:w="738" w:type="dxa"/>
                  <w:tcBorders>
                    <w:tl2br w:val="nil"/>
                    <w:tr2bl w:val="nil"/>
                  </w:tcBorders>
                  <w:vAlign w:val="center"/>
                </w:tcPr>
                <w:p w14:paraId="18AC23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米</w:t>
                  </w:r>
                </w:p>
              </w:tc>
              <w:tc>
                <w:tcPr>
                  <w:tcW w:w="869" w:type="dxa"/>
                  <w:tcBorders>
                    <w:tl2br w:val="nil"/>
                    <w:tr2bl w:val="nil"/>
                  </w:tcBorders>
                  <w:vAlign w:val="center"/>
                </w:tcPr>
                <w:p w14:paraId="4A55722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500</w:t>
                  </w:r>
                </w:p>
              </w:tc>
              <w:tc>
                <w:tcPr>
                  <w:tcW w:w="785" w:type="dxa"/>
                  <w:tcBorders>
                    <w:tl2br w:val="nil"/>
                    <w:tr2bl w:val="nil"/>
                  </w:tcBorders>
                  <w:vAlign w:val="center"/>
                </w:tcPr>
                <w:p w14:paraId="6EE3B3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500D38C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2BA3F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100米/卷</w:t>
                  </w:r>
                </w:p>
              </w:tc>
              <w:tc>
                <w:tcPr>
                  <w:tcW w:w="684" w:type="dxa"/>
                  <w:tcBorders>
                    <w:tl2br w:val="nil"/>
                    <w:tr2bl w:val="nil"/>
                  </w:tcBorders>
                  <w:vAlign w:val="center"/>
                </w:tcPr>
                <w:p w14:paraId="3833626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551D7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2E4B5D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150</w:t>
                  </w:r>
                </w:p>
              </w:tc>
              <w:tc>
                <w:tcPr>
                  <w:tcW w:w="1960" w:type="dxa"/>
                  <w:tcBorders>
                    <w:tl2br w:val="nil"/>
                    <w:tr2bl w:val="nil"/>
                  </w:tcBorders>
                  <w:vAlign w:val="center"/>
                </w:tcPr>
                <w:p w14:paraId="2010AFB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钢丝绳卡扣</w:t>
                  </w:r>
                </w:p>
              </w:tc>
              <w:tc>
                <w:tcPr>
                  <w:tcW w:w="927" w:type="dxa"/>
                  <w:tcBorders>
                    <w:tl2br w:val="nil"/>
                    <w:tr2bl w:val="nil"/>
                  </w:tcBorders>
                  <w:vAlign w:val="center"/>
                </w:tcPr>
                <w:p w14:paraId="5A98B57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420</w:t>
                  </w:r>
                </w:p>
              </w:tc>
              <w:tc>
                <w:tcPr>
                  <w:tcW w:w="738" w:type="dxa"/>
                  <w:tcBorders>
                    <w:tl2br w:val="nil"/>
                    <w:tr2bl w:val="nil"/>
                  </w:tcBorders>
                  <w:vAlign w:val="center"/>
                </w:tcPr>
                <w:p w14:paraId="387F34D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7AC5F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278747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1C0A8C2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0CBED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100个/盒</w:t>
                  </w:r>
                </w:p>
              </w:tc>
              <w:tc>
                <w:tcPr>
                  <w:tcW w:w="684" w:type="dxa"/>
                  <w:tcBorders>
                    <w:tl2br w:val="nil"/>
                    <w:tr2bl w:val="nil"/>
                  </w:tcBorders>
                  <w:vAlign w:val="center"/>
                </w:tcPr>
                <w:p w14:paraId="1A87AA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0A912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DA9E90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151</w:t>
                  </w:r>
                </w:p>
              </w:tc>
              <w:tc>
                <w:tcPr>
                  <w:tcW w:w="1960" w:type="dxa"/>
                  <w:tcBorders>
                    <w:tl2br w:val="nil"/>
                    <w:tr2bl w:val="nil"/>
                  </w:tcBorders>
                  <w:vAlign w:val="center"/>
                </w:tcPr>
                <w:p w14:paraId="2658224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保温棉</w:t>
                  </w:r>
                </w:p>
              </w:tc>
              <w:tc>
                <w:tcPr>
                  <w:tcW w:w="927" w:type="dxa"/>
                  <w:tcBorders>
                    <w:tl2br w:val="nil"/>
                    <w:tr2bl w:val="nil"/>
                  </w:tcBorders>
                  <w:vAlign w:val="center"/>
                </w:tcPr>
                <w:p w14:paraId="6826B04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2187.5</w:t>
                  </w:r>
                </w:p>
              </w:tc>
              <w:tc>
                <w:tcPr>
                  <w:tcW w:w="738" w:type="dxa"/>
                  <w:tcBorders>
                    <w:tl2br w:val="nil"/>
                    <w:tr2bl w:val="nil"/>
                  </w:tcBorders>
                  <w:vAlign w:val="center"/>
                </w:tcPr>
                <w:p w14:paraId="2CF24C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6A7D88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2.5</w:t>
                  </w:r>
                </w:p>
              </w:tc>
              <w:tc>
                <w:tcPr>
                  <w:tcW w:w="785" w:type="dxa"/>
                  <w:tcBorders>
                    <w:tl2br w:val="nil"/>
                    <w:tr2bl w:val="nil"/>
                  </w:tcBorders>
                  <w:vAlign w:val="center"/>
                </w:tcPr>
                <w:p w14:paraId="073C32F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7220C0F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E0B7F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25kg/袋</w:t>
                  </w:r>
                </w:p>
              </w:tc>
              <w:tc>
                <w:tcPr>
                  <w:tcW w:w="684" w:type="dxa"/>
                  <w:tcBorders>
                    <w:tl2br w:val="nil"/>
                    <w:tr2bl w:val="nil"/>
                  </w:tcBorders>
                  <w:vAlign w:val="center"/>
                </w:tcPr>
                <w:p w14:paraId="7A51B2F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2E07B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0BDFA3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152</w:t>
                  </w:r>
                </w:p>
              </w:tc>
              <w:tc>
                <w:tcPr>
                  <w:tcW w:w="1960" w:type="dxa"/>
                  <w:tcBorders>
                    <w:tl2br w:val="nil"/>
                    <w:tr2bl w:val="nil"/>
                  </w:tcBorders>
                  <w:vAlign w:val="center"/>
                </w:tcPr>
                <w:p w14:paraId="3DCA19B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自攻螺丝</w:t>
                  </w:r>
                </w:p>
              </w:tc>
              <w:tc>
                <w:tcPr>
                  <w:tcW w:w="927" w:type="dxa"/>
                  <w:tcBorders>
                    <w:tl2br w:val="nil"/>
                    <w:tr2bl w:val="nil"/>
                  </w:tcBorders>
                  <w:vAlign w:val="center"/>
                </w:tcPr>
                <w:p w14:paraId="5A6F90A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17</w:t>
                  </w:r>
                </w:p>
              </w:tc>
              <w:tc>
                <w:tcPr>
                  <w:tcW w:w="738" w:type="dxa"/>
                  <w:tcBorders>
                    <w:tl2br w:val="nil"/>
                    <w:tr2bl w:val="nil"/>
                  </w:tcBorders>
                  <w:vAlign w:val="center"/>
                </w:tcPr>
                <w:p w14:paraId="62BA8D0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35F43B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w:t>
                  </w:r>
                </w:p>
              </w:tc>
              <w:tc>
                <w:tcPr>
                  <w:tcW w:w="785" w:type="dxa"/>
                  <w:tcBorders>
                    <w:tl2br w:val="nil"/>
                    <w:tr2bl w:val="nil"/>
                  </w:tcBorders>
                  <w:vAlign w:val="center"/>
                </w:tcPr>
                <w:p w14:paraId="7A6E06B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5E6332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183472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600621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049C0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5FD8EEA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w:t>
                  </w:r>
                  <w:r>
                    <w:rPr>
                      <w:rFonts w:hint="eastAsia" w:ascii="Times New Roman" w:hAnsi="Times New Roman" w:cs="Times New Roman"/>
                      <w:b w:val="0"/>
                      <w:bCs/>
                      <w:color w:val="auto"/>
                      <w:sz w:val="21"/>
                      <w:szCs w:val="21"/>
                      <w:lang w:val="en-US" w:eastAsia="zh-CN"/>
                    </w:rPr>
                    <w:t>53</w:t>
                  </w:r>
                </w:p>
              </w:tc>
              <w:tc>
                <w:tcPr>
                  <w:tcW w:w="1960" w:type="dxa"/>
                  <w:tcBorders>
                    <w:tl2br w:val="nil"/>
                    <w:tr2bl w:val="nil"/>
                  </w:tcBorders>
                  <w:vAlign w:val="center"/>
                </w:tcPr>
                <w:p w14:paraId="165FD56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单排链条</w:t>
                  </w:r>
                </w:p>
              </w:tc>
              <w:tc>
                <w:tcPr>
                  <w:tcW w:w="927" w:type="dxa"/>
                  <w:tcBorders>
                    <w:tl2br w:val="nil"/>
                    <w:tr2bl w:val="nil"/>
                  </w:tcBorders>
                  <w:vAlign w:val="center"/>
                </w:tcPr>
                <w:p w14:paraId="440724C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1435</w:t>
                  </w:r>
                </w:p>
              </w:tc>
              <w:tc>
                <w:tcPr>
                  <w:tcW w:w="738" w:type="dxa"/>
                  <w:tcBorders>
                    <w:tl2br w:val="nil"/>
                    <w:tr2bl w:val="nil"/>
                  </w:tcBorders>
                  <w:vAlign w:val="center"/>
                </w:tcPr>
                <w:p w14:paraId="60B86F0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条</w:t>
                  </w:r>
                </w:p>
              </w:tc>
              <w:tc>
                <w:tcPr>
                  <w:tcW w:w="869" w:type="dxa"/>
                  <w:tcBorders>
                    <w:tl2br w:val="nil"/>
                    <w:tr2bl w:val="nil"/>
                  </w:tcBorders>
                  <w:vAlign w:val="center"/>
                </w:tcPr>
                <w:p w14:paraId="101E2D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0B28DF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74F7F74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AF99EA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10条/袋</w:t>
                  </w:r>
                </w:p>
              </w:tc>
              <w:tc>
                <w:tcPr>
                  <w:tcW w:w="684" w:type="dxa"/>
                  <w:tcBorders>
                    <w:tl2br w:val="nil"/>
                    <w:tr2bl w:val="nil"/>
                  </w:tcBorders>
                  <w:vAlign w:val="center"/>
                </w:tcPr>
                <w:p w14:paraId="50A5D02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47484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C2FC31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15</w:t>
                  </w:r>
                  <w:r>
                    <w:rPr>
                      <w:rFonts w:hint="eastAsia" w:ascii="Times New Roman" w:hAnsi="Times New Roman" w:cs="Times New Roman"/>
                      <w:b w:val="0"/>
                      <w:bCs/>
                      <w:color w:val="auto"/>
                      <w:sz w:val="21"/>
                      <w:szCs w:val="21"/>
                      <w:lang w:val="en-US" w:eastAsia="zh-CN"/>
                    </w:rPr>
                    <w:t>4</w:t>
                  </w:r>
                </w:p>
              </w:tc>
              <w:tc>
                <w:tcPr>
                  <w:tcW w:w="1960" w:type="dxa"/>
                  <w:tcBorders>
                    <w:tl2br w:val="nil"/>
                    <w:tr2bl w:val="nil"/>
                  </w:tcBorders>
                  <w:vAlign w:val="center"/>
                </w:tcPr>
                <w:p w14:paraId="5D163B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单排半扣</w:t>
                  </w:r>
                </w:p>
              </w:tc>
              <w:tc>
                <w:tcPr>
                  <w:tcW w:w="927" w:type="dxa"/>
                  <w:tcBorders>
                    <w:tl2br w:val="nil"/>
                    <w:tr2bl w:val="nil"/>
                  </w:tcBorders>
                  <w:vAlign w:val="center"/>
                </w:tcPr>
                <w:p w14:paraId="5F96C90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385</w:t>
                  </w:r>
                </w:p>
              </w:tc>
              <w:tc>
                <w:tcPr>
                  <w:tcW w:w="738" w:type="dxa"/>
                  <w:tcBorders>
                    <w:tl2br w:val="nil"/>
                    <w:tr2bl w:val="nil"/>
                  </w:tcBorders>
                  <w:vAlign w:val="center"/>
                </w:tcPr>
                <w:p w14:paraId="2BDCB4D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FF65E5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0C4BB54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29BA647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5D6FF4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5D5D829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51BD51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145354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w:t>
                  </w:r>
                  <w:r>
                    <w:rPr>
                      <w:rFonts w:hint="eastAsia" w:ascii="Times New Roman" w:hAnsi="Times New Roman" w:cs="Times New Roman"/>
                      <w:b w:val="0"/>
                      <w:bCs/>
                      <w:color w:val="auto"/>
                      <w:sz w:val="21"/>
                      <w:szCs w:val="21"/>
                      <w:lang w:val="en-US" w:eastAsia="zh-CN"/>
                    </w:rPr>
                    <w:t>55</w:t>
                  </w:r>
                </w:p>
              </w:tc>
              <w:tc>
                <w:tcPr>
                  <w:tcW w:w="1960" w:type="dxa"/>
                  <w:tcBorders>
                    <w:tl2br w:val="nil"/>
                    <w:tr2bl w:val="nil"/>
                  </w:tcBorders>
                  <w:vAlign w:val="center"/>
                </w:tcPr>
                <w:p w14:paraId="10776C5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单排全扣</w:t>
                  </w:r>
                </w:p>
              </w:tc>
              <w:tc>
                <w:tcPr>
                  <w:tcW w:w="927" w:type="dxa"/>
                  <w:tcBorders>
                    <w:tl2br w:val="nil"/>
                    <w:tr2bl w:val="nil"/>
                  </w:tcBorders>
                  <w:vAlign w:val="center"/>
                </w:tcPr>
                <w:p w14:paraId="58B52F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385</w:t>
                  </w:r>
                </w:p>
              </w:tc>
              <w:tc>
                <w:tcPr>
                  <w:tcW w:w="738" w:type="dxa"/>
                  <w:tcBorders>
                    <w:tl2br w:val="nil"/>
                    <w:tr2bl w:val="nil"/>
                  </w:tcBorders>
                  <w:vAlign w:val="center"/>
                </w:tcPr>
                <w:p w14:paraId="0BA213C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F4629A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5FF0613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57FAFE4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DA94A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1D5D07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76A40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18B0D1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156</w:t>
                  </w:r>
                </w:p>
              </w:tc>
              <w:tc>
                <w:tcPr>
                  <w:tcW w:w="1960" w:type="dxa"/>
                  <w:tcBorders>
                    <w:tl2br w:val="nil"/>
                    <w:tr2bl w:val="nil"/>
                  </w:tcBorders>
                  <w:vAlign w:val="center"/>
                </w:tcPr>
                <w:p w14:paraId="0BAC65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带座外球面轴承</w:t>
                  </w:r>
                </w:p>
              </w:tc>
              <w:tc>
                <w:tcPr>
                  <w:tcW w:w="927" w:type="dxa"/>
                  <w:tcBorders>
                    <w:tl2br w:val="nil"/>
                    <w:tr2bl w:val="nil"/>
                  </w:tcBorders>
                  <w:vAlign w:val="center"/>
                </w:tcPr>
                <w:p w14:paraId="6578465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1715</w:t>
                  </w:r>
                </w:p>
              </w:tc>
              <w:tc>
                <w:tcPr>
                  <w:tcW w:w="738" w:type="dxa"/>
                  <w:tcBorders>
                    <w:tl2br w:val="nil"/>
                    <w:tr2bl w:val="nil"/>
                  </w:tcBorders>
                  <w:vAlign w:val="center"/>
                </w:tcPr>
                <w:p w14:paraId="2C5058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A939FC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200</w:t>
                  </w:r>
                </w:p>
              </w:tc>
              <w:tc>
                <w:tcPr>
                  <w:tcW w:w="785" w:type="dxa"/>
                  <w:tcBorders>
                    <w:tl2br w:val="nil"/>
                    <w:tr2bl w:val="nil"/>
                  </w:tcBorders>
                  <w:vAlign w:val="center"/>
                </w:tcPr>
                <w:p w14:paraId="1C10E67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ED1AF7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F12174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684" w:type="dxa"/>
                  <w:tcBorders>
                    <w:tl2br w:val="nil"/>
                    <w:tr2bl w:val="nil"/>
                  </w:tcBorders>
                  <w:vAlign w:val="center"/>
                </w:tcPr>
                <w:p w14:paraId="6E8C19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2C746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6B56FE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157</w:t>
                  </w:r>
                </w:p>
              </w:tc>
              <w:tc>
                <w:tcPr>
                  <w:tcW w:w="1960" w:type="dxa"/>
                  <w:tcBorders>
                    <w:tl2br w:val="nil"/>
                    <w:tr2bl w:val="nil"/>
                  </w:tcBorders>
                  <w:vAlign w:val="center"/>
                </w:tcPr>
                <w:p w14:paraId="76C5E05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普通平键</w:t>
                  </w:r>
                </w:p>
              </w:tc>
              <w:tc>
                <w:tcPr>
                  <w:tcW w:w="927" w:type="dxa"/>
                  <w:tcBorders>
                    <w:tl2br w:val="nil"/>
                    <w:tr2bl w:val="nil"/>
                  </w:tcBorders>
                  <w:vAlign w:val="center"/>
                </w:tcPr>
                <w:p w14:paraId="3B64C1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910</w:t>
                  </w:r>
                </w:p>
              </w:tc>
              <w:tc>
                <w:tcPr>
                  <w:tcW w:w="738" w:type="dxa"/>
                  <w:tcBorders>
                    <w:tl2br w:val="nil"/>
                    <w:tr2bl w:val="nil"/>
                  </w:tcBorders>
                  <w:vAlign w:val="center"/>
                </w:tcPr>
                <w:p w14:paraId="0D4701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E0E9C0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74A8F25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5E388BC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5115DF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2322D35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33316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FF4A98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158</w:t>
                  </w:r>
                </w:p>
              </w:tc>
              <w:tc>
                <w:tcPr>
                  <w:tcW w:w="1960" w:type="dxa"/>
                  <w:tcBorders>
                    <w:tl2br w:val="nil"/>
                    <w:tr2bl w:val="nil"/>
                  </w:tcBorders>
                  <w:vAlign w:val="center"/>
                </w:tcPr>
                <w:p w14:paraId="66F730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轴用卡簧</w:t>
                  </w:r>
                </w:p>
              </w:tc>
              <w:tc>
                <w:tcPr>
                  <w:tcW w:w="927" w:type="dxa"/>
                  <w:tcBorders>
                    <w:tl2br w:val="nil"/>
                    <w:tr2bl w:val="nil"/>
                  </w:tcBorders>
                  <w:vAlign w:val="center"/>
                </w:tcPr>
                <w:p w14:paraId="7BAE234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910</w:t>
                  </w:r>
                </w:p>
              </w:tc>
              <w:tc>
                <w:tcPr>
                  <w:tcW w:w="738" w:type="dxa"/>
                  <w:tcBorders>
                    <w:tl2br w:val="nil"/>
                    <w:tr2bl w:val="nil"/>
                  </w:tcBorders>
                  <w:vAlign w:val="center"/>
                </w:tcPr>
                <w:p w14:paraId="4E4758E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80389A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035A94A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2901515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0362A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60F8881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3E21C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8EDA7F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159</w:t>
                  </w:r>
                </w:p>
              </w:tc>
              <w:tc>
                <w:tcPr>
                  <w:tcW w:w="1960" w:type="dxa"/>
                  <w:tcBorders>
                    <w:tl2br w:val="nil"/>
                    <w:tr2bl w:val="nil"/>
                  </w:tcBorders>
                  <w:vAlign w:val="center"/>
                </w:tcPr>
                <w:p w14:paraId="20E5C3C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单排全接</w:t>
                  </w:r>
                </w:p>
              </w:tc>
              <w:tc>
                <w:tcPr>
                  <w:tcW w:w="927" w:type="dxa"/>
                  <w:tcBorders>
                    <w:tl2br w:val="nil"/>
                    <w:tr2bl w:val="nil"/>
                  </w:tcBorders>
                  <w:vAlign w:val="center"/>
                </w:tcPr>
                <w:p w14:paraId="1639BA5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560</w:t>
                  </w:r>
                </w:p>
              </w:tc>
              <w:tc>
                <w:tcPr>
                  <w:tcW w:w="738" w:type="dxa"/>
                  <w:tcBorders>
                    <w:tl2br w:val="nil"/>
                    <w:tr2bl w:val="nil"/>
                  </w:tcBorders>
                  <w:vAlign w:val="center"/>
                </w:tcPr>
                <w:p w14:paraId="563C3FB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D3B72D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7D1EA2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3720733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BD2FF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1FA2F22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1D5F4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4E8A39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160</w:t>
                  </w:r>
                </w:p>
              </w:tc>
              <w:tc>
                <w:tcPr>
                  <w:tcW w:w="1960" w:type="dxa"/>
                  <w:tcBorders>
                    <w:tl2br w:val="nil"/>
                    <w:tr2bl w:val="nil"/>
                  </w:tcBorders>
                  <w:vAlign w:val="center"/>
                </w:tcPr>
                <w:p w14:paraId="200543F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单排半接</w:t>
                  </w:r>
                </w:p>
              </w:tc>
              <w:tc>
                <w:tcPr>
                  <w:tcW w:w="927" w:type="dxa"/>
                  <w:tcBorders>
                    <w:tl2br w:val="nil"/>
                    <w:tr2bl w:val="nil"/>
                  </w:tcBorders>
                  <w:vAlign w:val="center"/>
                </w:tcPr>
                <w:p w14:paraId="3092201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490</w:t>
                  </w:r>
                </w:p>
              </w:tc>
              <w:tc>
                <w:tcPr>
                  <w:tcW w:w="738" w:type="dxa"/>
                  <w:tcBorders>
                    <w:tl2br w:val="nil"/>
                    <w:tr2bl w:val="nil"/>
                  </w:tcBorders>
                  <w:vAlign w:val="center"/>
                </w:tcPr>
                <w:p w14:paraId="7876A8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883049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5CD787F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2DEE324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62790B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43AD8EB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213EA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1065CD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161</w:t>
                  </w:r>
                </w:p>
              </w:tc>
              <w:tc>
                <w:tcPr>
                  <w:tcW w:w="1960" w:type="dxa"/>
                  <w:tcBorders>
                    <w:tl2br w:val="nil"/>
                    <w:tr2bl w:val="nil"/>
                  </w:tcBorders>
                  <w:vAlign w:val="center"/>
                </w:tcPr>
                <w:p w14:paraId="45C260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深沟球轴承</w:t>
                  </w:r>
                </w:p>
              </w:tc>
              <w:tc>
                <w:tcPr>
                  <w:tcW w:w="927" w:type="dxa"/>
                  <w:tcBorders>
                    <w:tl2br w:val="nil"/>
                    <w:tr2bl w:val="nil"/>
                  </w:tcBorders>
                  <w:vAlign w:val="center"/>
                </w:tcPr>
                <w:p w14:paraId="0B3437C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210</w:t>
                  </w:r>
                </w:p>
              </w:tc>
              <w:tc>
                <w:tcPr>
                  <w:tcW w:w="738" w:type="dxa"/>
                  <w:tcBorders>
                    <w:tl2br w:val="nil"/>
                    <w:tr2bl w:val="nil"/>
                  </w:tcBorders>
                  <w:vAlign w:val="center"/>
                </w:tcPr>
                <w:p w14:paraId="5122DA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CF399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6509DFB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6B1BA3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57E0EB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10个/盒</w:t>
                  </w:r>
                </w:p>
              </w:tc>
              <w:tc>
                <w:tcPr>
                  <w:tcW w:w="684" w:type="dxa"/>
                  <w:tcBorders>
                    <w:tl2br w:val="nil"/>
                    <w:tr2bl w:val="nil"/>
                  </w:tcBorders>
                  <w:vAlign w:val="center"/>
                </w:tcPr>
                <w:p w14:paraId="15D5FDF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780B2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A60871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162</w:t>
                  </w:r>
                </w:p>
              </w:tc>
              <w:tc>
                <w:tcPr>
                  <w:tcW w:w="1960" w:type="dxa"/>
                  <w:tcBorders>
                    <w:tl2br w:val="nil"/>
                    <w:tr2bl w:val="nil"/>
                  </w:tcBorders>
                  <w:vAlign w:val="center"/>
                </w:tcPr>
                <w:p w14:paraId="216B231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传动链轮</w:t>
                  </w:r>
                </w:p>
              </w:tc>
              <w:tc>
                <w:tcPr>
                  <w:tcW w:w="927" w:type="dxa"/>
                  <w:tcBorders>
                    <w:tl2br w:val="nil"/>
                    <w:tr2bl w:val="nil"/>
                  </w:tcBorders>
                  <w:vAlign w:val="center"/>
                </w:tcPr>
                <w:p w14:paraId="75BA9D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910</w:t>
                  </w:r>
                </w:p>
              </w:tc>
              <w:tc>
                <w:tcPr>
                  <w:tcW w:w="738" w:type="dxa"/>
                  <w:tcBorders>
                    <w:tl2br w:val="nil"/>
                    <w:tr2bl w:val="nil"/>
                  </w:tcBorders>
                  <w:vAlign w:val="center"/>
                </w:tcPr>
                <w:p w14:paraId="6DA77B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EA9248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6AE9A13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02AEE73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89485B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651F6B0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根据客户需求委外定制</w:t>
                  </w:r>
                </w:p>
              </w:tc>
            </w:tr>
            <w:tr w14:paraId="548B3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81ED4F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163</w:t>
                  </w:r>
                </w:p>
              </w:tc>
              <w:tc>
                <w:tcPr>
                  <w:tcW w:w="1960" w:type="dxa"/>
                  <w:tcBorders>
                    <w:tl2br w:val="nil"/>
                    <w:tr2bl w:val="nil"/>
                  </w:tcBorders>
                  <w:vAlign w:val="center"/>
                </w:tcPr>
                <w:p w14:paraId="2FCBBD3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电机链轮</w:t>
                  </w:r>
                </w:p>
              </w:tc>
              <w:tc>
                <w:tcPr>
                  <w:tcW w:w="927" w:type="dxa"/>
                  <w:tcBorders>
                    <w:tl2br w:val="nil"/>
                    <w:tr2bl w:val="nil"/>
                  </w:tcBorders>
                  <w:vAlign w:val="center"/>
                </w:tcPr>
                <w:p w14:paraId="4790421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70</w:t>
                  </w:r>
                </w:p>
              </w:tc>
              <w:tc>
                <w:tcPr>
                  <w:tcW w:w="738" w:type="dxa"/>
                  <w:tcBorders>
                    <w:tl2br w:val="nil"/>
                    <w:tr2bl w:val="nil"/>
                  </w:tcBorders>
                  <w:vAlign w:val="center"/>
                </w:tcPr>
                <w:p w14:paraId="3458E4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09C00A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1C198AB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352D6D6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00676D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320CC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AA76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D0AFB0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164</w:t>
                  </w:r>
                </w:p>
              </w:tc>
              <w:tc>
                <w:tcPr>
                  <w:tcW w:w="1960" w:type="dxa"/>
                  <w:tcBorders>
                    <w:tl2br w:val="nil"/>
                    <w:tr2bl w:val="nil"/>
                  </w:tcBorders>
                  <w:vAlign w:val="center"/>
                </w:tcPr>
                <w:p w14:paraId="4FF977D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开口销</w:t>
                  </w:r>
                </w:p>
              </w:tc>
              <w:tc>
                <w:tcPr>
                  <w:tcW w:w="927" w:type="dxa"/>
                  <w:tcBorders>
                    <w:tl2br w:val="nil"/>
                    <w:tr2bl w:val="nil"/>
                  </w:tcBorders>
                  <w:vAlign w:val="center"/>
                </w:tcPr>
                <w:p w14:paraId="42D8C2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2835</w:t>
                  </w:r>
                </w:p>
              </w:tc>
              <w:tc>
                <w:tcPr>
                  <w:tcW w:w="738" w:type="dxa"/>
                  <w:tcBorders>
                    <w:tl2br w:val="nil"/>
                    <w:tr2bl w:val="nil"/>
                  </w:tcBorders>
                  <w:vAlign w:val="center"/>
                </w:tcPr>
                <w:p w14:paraId="33AF414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A4319F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4E3CED5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752129B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60B8A0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44F3A82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4867A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2CE42F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165</w:t>
                  </w:r>
                </w:p>
              </w:tc>
              <w:tc>
                <w:tcPr>
                  <w:tcW w:w="1960" w:type="dxa"/>
                  <w:tcBorders>
                    <w:tl2br w:val="nil"/>
                    <w:tr2bl w:val="nil"/>
                  </w:tcBorders>
                  <w:vAlign w:val="center"/>
                </w:tcPr>
                <w:p w14:paraId="07EA52B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内六角圆柱头螺丝</w:t>
                  </w:r>
                </w:p>
              </w:tc>
              <w:tc>
                <w:tcPr>
                  <w:tcW w:w="927" w:type="dxa"/>
                  <w:tcBorders>
                    <w:tl2br w:val="nil"/>
                    <w:tr2bl w:val="nil"/>
                  </w:tcBorders>
                  <w:vAlign w:val="center"/>
                </w:tcPr>
                <w:p w14:paraId="5503B5A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w:t>
                  </w:r>
                </w:p>
              </w:tc>
              <w:tc>
                <w:tcPr>
                  <w:tcW w:w="738" w:type="dxa"/>
                  <w:tcBorders>
                    <w:tl2br w:val="nil"/>
                    <w:tr2bl w:val="nil"/>
                  </w:tcBorders>
                  <w:vAlign w:val="center"/>
                </w:tcPr>
                <w:p w14:paraId="6BC69D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7CC463E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0.5</w:t>
                  </w:r>
                </w:p>
              </w:tc>
              <w:tc>
                <w:tcPr>
                  <w:tcW w:w="785" w:type="dxa"/>
                  <w:tcBorders>
                    <w:tl2br w:val="nil"/>
                    <w:tr2bl w:val="nil"/>
                  </w:tcBorders>
                  <w:vAlign w:val="center"/>
                </w:tcPr>
                <w:p w14:paraId="3C6A6D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7CC629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9F3C5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47F7B6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6D8C0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60A285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166</w:t>
                  </w:r>
                </w:p>
              </w:tc>
              <w:tc>
                <w:tcPr>
                  <w:tcW w:w="1960" w:type="dxa"/>
                  <w:tcBorders>
                    <w:tl2br w:val="nil"/>
                    <w:tr2bl w:val="nil"/>
                  </w:tcBorders>
                  <w:vAlign w:val="center"/>
                </w:tcPr>
                <w:p w14:paraId="112F0D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C级螺母</w:t>
                  </w:r>
                </w:p>
              </w:tc>
              <w:tc>
                <w:tcPr>
                  <w:tcW w:w="927" w:type="dxa"/>
                  <w:tcBorders>
                    <w:tl2br w:val="nil"/>
                    <w:tr2bl w:val="nil"/>
                  </w:tcBorders>
                  <w:vAlign w:val="center"/>
                </w:tcPr>
                <w:p w14:paraId="3E5515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420</w:t>
                  </w:r>
                </w:p>
              </w:tc>
              <w:tc>
                <w:tcPr>
                  <w:tcW w:w="738" w:type="dxa"/>
                  <w:tcBorders>
                    <w:tl2br w:val="nil"/>
                    <w:tr2bl w:val="nil"/>
                  </w:tcBorders>
                  <w:vAlign w:val="center"/>
                </w:tcPr>
                <w:p w14:paraId="25DCCB8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FBA223F">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7BF0A7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313822B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3D2F0A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0FBCEA0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63D9F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74BD6F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167</w:t>
                  </w:r>
                </w:p>
              </w:tc>
              <w:tc>
                <w:tcPr>
                  <w:tcW w:w="1960" w:type="dxa"/>
                  <w:tcBorders>
                    <w:tl2br w:val="nil"/>
                    <w:tr2bl w:val="nil"/>
                  </w:tcBorders>
                  <w:vAlign w:val="center"/>
                </w:tcPr>
                <w:p w14:paraId="043904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深沟球轴承</w:t>
                  </w:r>
                </w:p>
              </w:tc>
              <w:tc>
                <w:tcPr>
                  <w:tcW w:w="927" w:type="dxa"/>
                  <w:tcBorders>
                    <w:tl2br w:val="nil"/>
                    <w:tr2bl w:val="nil"/>
                  </w:tcBorders>
                  <w:vAlign w:val="center"/>
                </w:tcPr>
                <w:p w14:paraId="1C7760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560</w:t>
                  </w:r>
                </w:p>
              </w:tc>
              <w:tc>
                <w:tcPr>
                  <w:tcW w:w="738" w:type="dxa"/>
                  <w:tcBorders>
                    <w:tl2br w:val="nil"/>
                    <w:tr2bl w:val="nil"/>
                  </w:tcBorders>
                  <w:vAlign w:val="center"/>
                </w:tcPr>
                <w:p w14:paraId="3280F5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C5C5F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200</w:t>
                  </w:r>
                </w:p>
              </w:tc>
              <w:tc>
                <w:tcPr>
                  <w:tcW w:w="785" w:type="dxa"/>
                  <w:tcBorders>
                    <w:tl2br w:val="nil"/>
                    <w:tr2bl w:val="nil"/>
                  </w:tcBorders>
                  <w:vAlign w:val="center"/>
                </w:tcPr>
                <w:p w14:paraId="224E52E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48A962C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8580C0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10个/盒</w:t>
                  </w:r>
                </w:p>
              </w:tc>
              <w:tc>
                <w:tcPr>
                  <w:tcW w:w="684" w:type="dxa"/>
                  <w:tcBorders>
                    <w:tl2br w:val="nil"/>
                    <w:tr2bl w:val="nil"/>
                  </w:tcBorders>
                  <w:vAlign w:val="center"/>
                </w:tcPr>
                <w:p w14:paraId="14295E0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50AA5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0EB476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168</w:t>
                  </w:r>
                </w:p>
              </w:tc>
              <w:tc>
                <w:tcPr>
                  <w:tcW w:w="1960" w:type="dxa"/>
                  <w:tcBorders>
                    <w:tl2br w:val="nil"/>
                    <w:tr2bl w:val="nil"/>
                  </w:tcBorders>
                  <w:vAlign w:val="center"/>
                </w:tcPr>
                <w:p w14:paraId="5EC324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孔用挡圈</w:t>
                  </w:r>
                </w:p>
              </w:tc>
              <w:tc>
                <w:tcPr>
                  <w:tcW w:w="927" w:type="dxa"/>
                  <w:tcBorders>
                    <w:tl2br w:val="nil"/>
                    <w:tr2bl w:val="nil"/>
                  </w:tcBorders>
                  <w:vAlign w:val="center"/>
                </w:tcPr>
                <w:p w14:paraId="72CA73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560</w:t>
                  </w:r>
                </w:p>
              </w:tc>
              <w:tc>
                <w:tcPr>
                  <w:tcW w:w="738" w:type="dxa"/>
                  <w:tcBorders>
                    <w:tl2br w:val="nil"/>
                    <w:tr2bl w:val="nil"/>
                  </w:tcBorders>
                  <w:vAlign w:val="center"/>
                </w:tcPr>
                <w:p w14:paraId="7142A75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A655D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32033A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241BB96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EBD67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0DF44AF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11DD1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E72F4B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169</w:t>
                  </w:r>
                </w:p>
              </w:tc>
              <w:tc>
                <w:tcPr>
                  <w:tcW w:w="1960" w:type="dxa"/>
                  <w:tcBorders>
                    <w:tl2br w:val="nil"/>
                    <w:tr2bl w:val="nil"/>
                  </w:tcBorders>
                  <w:vAlign w:val="center"/>
                </w:tcPr>
                <w:p w14:paraId="42EB01F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陶瓷纤维密封绳</w:t>
                  </w:r>
                </w:p>
              </w:tc>
              <w:tc>
                <w:tcPr>
                  <w:tcW w:w="927" w:type="dxa"/>
                  <w:tcBorders>
                    <w:tl2br w:val="nil"/>
                    <w:tr2bl w:val="nil"/>
                  </w:tcBorders>
                  <w:vAlign w:val="center"/>
                </w:tcPr>
                <w:p w14:paraId="2864DC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11</w:t>
                  </w:r>
                </w:p>
              </w:tc>
              <w:tc>
                <w:tcPr>
                  <w:tcW w:w="738" w:type="dxa"/>
                  <w:tcBorders>
                    <w:tl2br w:val="nil"/>
                    <w:tr2bl w:val="nil"/>
                  </w:tcBorders>
                  <w:vAlign w:val="center"/>
                </w:tcPr>
                <w:p w14:paraId="7EFC061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卷</w:t>
                  </w:r>
                </w:p>
              </w:tc>
              <w:tc>
                <w:tcPr>
                  <w:tcW w:w="869" w:type="dxa"/>
                  <w:tcBorders>
                    <w:tl2br w:val="nil"/>
                    <w:tr2bl w:val="nil"/>
                  </w:tcBorders>
                  <w:vAlign w:val="center"/>
                </w:tcPr>
                <w:p w14:paraId="72446BC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w:t>
                  </w:r>
                </w:p>
              </w:tc>
              <w:tc>
                <w:tcPr>
                  <w:tcW w:w="785" w:type="dxa"/>
                  <w:tcBorders>
                    <w:tl2br w:val="nil"/>
                    <w:tr2bl w:val="nil"/>
                  </w:tcBorders>
                  <w:vAlign w:val="center"/>
                </w:tcPr>
                <w:p w14:paraId="087313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1A9CAE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A0FD87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100米/卷</w:t>
                  </w:r>
                </w:p>
              </w:tc>
              <w:tc>
                <w:tcPr>
                  <w:tcW w:w="684" w:type="dxa"/>
                  <w:tcBorders>
                    <w:tl2br w:val="nil"/>
                    <w:tr2bl w:val="nil"/>
                  </w:tcBorders>
                  <w:vAlign w:val="center"/>
                </w:tcPr>
                <w:p w14:paraId="4E5EA25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67656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FA9777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170</w:t>
                  </w:r>
                </w:p>
              </w:tc>
              <w:tc>
                <w:tcPr>
                  <w:tcW w:w="1960" w:type="dxa"/>
                  <w:tcBorders>
                    <w:tl2br w:val="nil"/>
                    <w:tr2bl w:val="nil"/>
                  </w:tcBorders>
                  <w:vAlign w:val="center"/>
                </w:tcPr>
                <w:p w14:paraId="3183305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带方形座外球面球轴承</w:t>
                  </w:r>
                </w:p>
              </w:tc>
              <w:tc>
                <w:tcPr>
                  <w:tcW w:w="927" w:type="dxa"/>
                  <w:tcBorders>
                    <w:tl2br w:val="nil"/>
                    <w:tr2bl w:val="nil"/>
                  </w:tcBorders>
                  <w:vAlign w:val="center"/>
                </w:tcPr>
                <w:p w14:paraId="261DA7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140</w:t>
                  </w:r>
                </w:p>
              </w:tc>
              <w:tc>
                <w:tcPr>
                  <w:tcW w:w="738" w:type="dxa"/>
                  <w:tcBorders>
                    <w:tl2br w:val="nil"/>
                    <w:tr2bl w:val="nil"/>
                  </w:tcBorders>
                  <w:vAlign w:val="center"/>
                </w:tcPr>
                <w:p w14:paraId="3E09590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926FA6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2EF447B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0EBD3D2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5D57C5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tcBorders>
                    <w:tl2br w:val="nil"/>
                    <w:tr2bl w:val="nil"/>
                  </w:tcBorders>
                  <w:vAlign w:val="center"/>
                </w:tcPr>
                <w:p w14:paraId="45125D2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1731A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512B62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171</w:t>
                  </w:r>
                </w:p>
              </w:tc>
              <w:tc>
                <w:tcPr>
                  <w:tcW w:w="1960" w:type="dxa"/>
                  <w:tcBorders>
                    <w:tl2br w:val="nil"/>
                    <w:tr2bl w:val="nil"/>
                  </w:tcBorders>
                  <w:vAlign w:val="center"/>
                </w:tcPr>
                <w:p w14:paraId="6874F3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平键</w:t>
                  </w:r>
                </w:p>
              </w:tc>
              <w:tc>
                <w:tcPr>
                  <w:tcW w:w="927" w:type="dxa"/>
                  <w:tcBorders>
                    <w:tl2br w:val="nil"/>
                    <w:tr2bl w:val="nil"/>
                  </w:tcBorders>
                  <w:vAlign w:val="center"/>
                </w:tcPr>
                <w:p w14:paraId="59439A2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420</w:t>
                  </w:r>
                </w:p>
              </w:tc>
              <w:tc>
                <w:tcPr>
                  <w:tcW w:w="738" w:type="dxa"/>
                  <w:tcBorders>
                    <w:tl2br w:val="nil"/>
                    <w:tr2bl w:val="nil"/>
                  </w:tcBorders>
                  <w:vAlign w:val="center"/>
                </w:tcPr>
                <w:p w14:paraId="7DCCF3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1EE9B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55838B8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0CEAD0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472DE8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2EDC240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75041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ABD2B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172</w:t>
                  </w:r>
                </w:p>
              </w:tc>
              <w:tc>
                <w:tcPr>
                  <w:tcW w:w="1960" w:type="dxa"/>
                  <w:tcBorders>
                    <w:tl2br w:val="nil"/>
                    <w:tr2bl w:val="nil"/>
                  </w:tcBorders>
                  <w:vAlign w:val="center"/>
                </w:tcPr>
                <w:p w14:paraId="64472ED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铸铁中空蜗轮减速机</w:t>
                  </w:r>
                </w:p>
              </w:tc>
              <w:tc>
                <w:tcPr>
                  <w:tcW w:w="927" w:type="dxa"/>
                  <w:tcBorders>
                    <w:tl2br w:val="nil"/>
                    <w:tr2bl w:val="nil"/>
                  </w:tcBorders>
                  <w:vAlign w:val="center"/>
                </w:tcPr>
                <w:p w14:paraId="6297E57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70</w:t>
                  </w:r>
                </w:p>
              </w:tc>
              <w:tc>
                <w:tcPr>
                  <w:tcW w:w="738" w:type="dxa"/>
                  <w:tcBorders>
                    <w:tl2br w:val="nil"/>
                    <w:tr2bl w:val="nil"/>
                  </w:tcBorders>
                  <w:vAlign w:val="center"/>
                </w:tcPr>
                <w:p w14:paraId="1AF26C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台</w:t>
                  </w:r>
                </w:p>
              </w:tc>
              <w:tc>
                <w:tcPr>
                  <w:tcW w:w="869" w:type="dxa"/>
                  <w:tcBorders>
                    <w:tl2br w:val="nil"/>
                    <w:tr2bl w:val="nil"/>
                  </w:tcBorders>
                  <w:vAlign w:val="center"/>
                </w:tcPr>
                <w:p w14:paraId="67D08B4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24B845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993ED6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053394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1D08CFA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根据客户需求委外定制</w:t>
                  </w:r>
                </w:p>
              </w:tc>
            </w:tr>
            <w:tr w14:paraId="3ACDB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DB37E7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173</w:t>
                  </w:r>
                </w:p>
              </w:tc>
              <w:tc>
                <w:tcPr>
                  <w:tcW w:w="1960" w:type="dxa"/>
                  <w:tcBorders>
                    <w:tl2br w:val="nil"/>
                    <w:tr2bl w:val="nil"/>
                  </w:tcBorders>
                  <w:vAlign w:val="center"/>
                </w:tcPr>
                <w:p w14:paraId="3F72596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双吸式风机</w:t>
                  </w:r>
                </w:p>
              </w:tc>
              <w:tc>
                <w:tcPr>
                  <w:tcW w:w="927" w:type="dxa"/>
                  <w:tcBorders>
                    <w:tl2br w:val="nil"/>
                    <w:tr2bl w:val="nil"/>
                  </w:tcBorders>
                  <w:vAlign w:val="center"/>
                </w:tcPr>
                <w:p w14:paraId="2282EDE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35</w:t>
                  </w:r>
                </w:p>
              </w:tc>
              <w:tc>
                <w:tcPr>
                  <w:tcW w:w="738" w:type="dxa"/>
                  <w:tcBorders>
                    <w:tl2br w:val="nil"/>
                    <w:tr2bl w:val="nil"/>
                  </w:tcBorders>
                  <w:vAlign w:val="center"/>
                </w:tcPr>
                <w:p w14:paraId="45EC7C6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台</w:t>
                  </w:r>
                </w:p>
              </w:tc>
              <w:tc>
                <w:tcPr>
                  <w:tcW w:w="869" w:type="dxa"/>
                  <w:tcBorders>
                    <w:tl2br w:val="nil"/>
                    <w:tr2bl w:val="nil"/>
                  </w:tcBorders>
                  <w:vAlign w:val="center"/>
                </w:tcPr>
                <w:p w14:paraId="2C2D864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2A87EE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AAE8F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76FBE2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1FFAB1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6DC2C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112770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174</w:t>
                  </w:r>
                </w:p>
              </w:tc>
              <w:tc>
                <w:tcPr>
                  <w:tcW w:w="1960" w:type="dxa"/>
                  <w:tcBorders>
                    <w:tl2br w:val="nil"/>
                    <w:tr2bl w:val="nil"/>
                  </w:tcBorders>
                  <w:vAlign w:val="center"/>
                </w:tcPr>
                <w:p w14:paraId="72AABB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主动轮+锥套</w:t>
                  </w:r>
                </w:p>
              </w:tc>
              <w:tc>
                <w:tcPr>
                  <w:tcW w:w="927" w:type="dxa"/>
                  <w:tcBorders>
                    <w:tl2br w:val="nil"/>
                    <w:tr2bl w:val="nil"/>
                  </w:tcBorders>
                  <w:vAlign w:val="center"/>
                </w:tcPr>
                <w:p w14:paraId="49965E2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35</w:t>
                  </w:r>
                </w:p>
              </w:tc>
              <w:tc>
                <w:tcPr>
                  <w:tcW w:w="738" w:type="dxa"/>
                  <w:tcBorders>
                    <w:tl2br w:val="nil"/>
                    <w:tr2bl w:val="nil"/>
                  </w:tcBorders>
                  <w:vAlign w:val="center"/>
                </w:tcPr>
                <w:p w14:paraId="0169C8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53CA9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619E2D0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423B9F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1AFCA8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A4F46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32AE8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3BECEA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175</w:t>
                  </w:r>
                </w:p>
              </w:tc>
              <w:tc>
                <w:tcPr>
                  <w:tcW w:w="1960" w:type="dxa"/>
                  <w:tcBorders>
                    <w:tl2br w:val="nil"/>
                    <w:tr2bl w:val="nil"/>
                  </w:tcBorders>
                  <w:vAlign w:val="center"/>
                </w:tcPr>
                <w:p w14:paraId="58FEAE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从动轮+锥套</w:t>
                  </w:r>
                </w:p>
              </w:tc>
              <w:tc>
                <w:tcPr>
                  <w:tcW w:w="927" w:type="dxa"/>
                  <w:tcBorders>
                    <w:tl2br w:val="nil"/>
                    <w:tr2bl w:val="nil"/>
                  </w:tcBorders>
                  <w:vAlign w:val="center"/>
                </w:tcPr>
                <w:p w14:paraId="02B958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35</w:t>
                  </w:r>
                </w:p>
              </w:tc>
              <w:tc>
                <w:tcPr>
                  <w:tcW w:w="738" w:type="dxa"/>
                  <w:tcBorders>
                    <w:tl2br w:val="nil"/>
                    <w:tr2bl w:val="nil"/>
                  </w:tcBorders>
                  <w:vAlign w:val="center"/>
                </w:tcPr>
                <w:p w14:paraId="4E8A587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376A0D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5F65DA1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682EB2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C4709C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638F0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5125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98C553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176</w:t>
                  </w:r>
                </w:p>
              </w:tc>
              <w:tc>
                <w:tcPr>
                  <w:tcW w:w="1960" w:type="dxa"/>
                  <w:tcBorders>
                    <w:tl2br w:val="nil"/>
                    <w:tr2bl w:val="nil"/>
                  </w:tcBorders>
                  <w:vAlign w:val="center"/>
                </w:tcPr>
                <w:p w14:paraId="64BFB3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窄V带</w:t>
                  </w:r>
                </w:p>
              </w:tc>
              <w:tc>
                <w:tcPr>
                  <w:tcW w:w="927" w:type="dxa"/>
                  <w:tcBorders>
                    <w:tl2br w:val="nil"/>
                    <w:tr2bl w:val="nil"/>
                  </w:tcBorders>
                  <w:vAlign w:val="center"/>
                </w:tcPr>
                <w:p w14:paraId="00D2DE5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140</w:t>
                  </w:r>
                </w:p>
              </w:tc>
              <w:tc>
                <w:tcPr>
                  <w:tcW w:w="738" w:type="dxa"/>
                  <w:tcBorders>
                    <w:tl2br w:val="nil"/>
                    <w:tr2bl w:val="nil"/>
                  </w:tcBorders>
                  <w:vAlign w:val="center"/>
                </w:tcPr>
                <w:p w14:paraId="4F6A46E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条</w:t>
                  </w:r>
                </w:p>
              </w:tc>
              <w:tc>
                <w:tcPr>
                  <w:tcW w:w="869" w:type="dxa"/>
                  <w:tcBorders>
                    <w:tl2br w:val="nil"/>
                    <w:tr2bl w:val="nil"/>
                  </w:tcBorders>
                  <w:vAlign w:val="center"/>
                </w:tcPr>
                <w:p w14:paraId="7550A9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4C1CBA2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114EAF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03DCB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10个/捆</w:t>
                  </w:r>
                </w:p>
              </w:tc>
              <w:tc>
                <w:tcPr>
                  <w:tcW w:w="684" w:type="dxa"/>
                  <w:tcBorders>
                    <w:tl2br w:val="nil"/>
                    <w:tr2bl w:val="nil"/>
                  </w:tcBorders>
                  <w:vAlign w:val="center"/>
                </w:tcPr>
                <w:p w14:paraId="390161D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r>
            <w:tr w14:paraId="4835E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8CF477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177</w:t>
                  </w:r>
                </w:p>
              </w:tc>
              <w:tc>
                <w:tcPr>
                  <w:tcW w:w="1960" w:type="dxa"/>
                  <w:tcBorders>
                    <w:tl2br w:val="nil"/>
                    <w:tr2bl w:val="nil"/>
                  </w:tcBorders>
                  <w:vAlign w:val="center"/>
                </w:tcPr>
                <w:p w14:paraId="444F4A2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带立式座球面轴承</w:t>
                  </w:r>
                </w:p>
              </w:tc>
              <w:tc>
                <w:tcPr>
                  <w:tcW w:w="927" w:type="dxa"/>
                  <w:tcBorders>
                    <w:tl2br w:val="nil"/>
                    <w:tr2bl w:val="nil"/>
                  </w:tcBorders>
                  <w:vAlign w:val="center"/>
                </w:tcPr>
                <w:p w14:paraId="090BA9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70</w:t>
                  </w:r>
                </w:p>
              </w:tc>
              <w:tc>
                <w:tcPr>
                  <w:tcW w:w="738" w:type="dxa"/>
                  <w:tcBorders>
                    <w:tl2br w:val="nil"/>
                    <w:tr2bl w:val="nil"/>
                  </w:tcBorders>
                  <w:vAlign w:val="center"/>
                </w:tcPr>
                <w:p w14:paraId="523228B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B7A61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6A9F6F9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0A125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12F41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3D9226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根据客户需求委外定制</w:t>
                  </w:r>
                </w:p>
              </w:tc>
            </w:tr>
            <w:tr w14:paraId="40F0C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09B142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178</w:t>
                  </w:r>
                </w:p>
              </w:tc>
              <w:tc>
                <w:tcPr>
                  <w:tcW w:w="1960" w:type="dxa"/>
                  <w:tcBorders>
                    <w:tl2br w:val="nil"/>
                    <w:tr2bl w:val="nil"/>
                  </w:tcBorders>
                  <w:vAlign w:val="center"/>
                </w:tcPr>
                <w:p w14:paraId="54C36A7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工业烧嘴燃烧机</w:t>
                  </w:r>
                </w:p>
              </w:tc>
              <w:tc>
                <w:tcPr>
                  <w:tcW w:w="927" w:type="dxa"/>
                  <w:tcBorders>
                    <w:tl2br w:val="nil"/>
                    <w:tr2bl w:val="nil"/>
                  </w:tcBorders>
                  <w:vAlign w:val="center"/>
                </w:tcPr>
                <w:p w14:paraId="789BB18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35</w:t>
                  </w:r>
                </w:p>
              </w:tc>
              <w:tc>
                <w:tcPr>
                  <w:tcW w:w="738" w:type="dxa"/>
                  <w:tcBorders>
                    <w:tl2br w:val="nil"/>
                    <w:tr2bl w:val="nil"/>
                  </w:tcBorders>
                  <w:vAlign w:val="center"/>
                </w:tcPr>
                <w:p w14:paraId="1DCBAB2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台</w:t>
                  </w:r>
                </w:p>
              </w:tc>
              <w:tc>
                <w:tcPr>
                  <w:tcW w:w="869" w:type="dxa"/>
                  <w:tcBorders>
                    <w:tl2br w:val="nil"/>
                    <w:tr2bl w:val="nil"/>
                  </w:tcBorders>
                  <w:vAlign w:val="center"/>
                </w:tcPr>
                <w:p w14:paraId="3F4B765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w:t>
                  </w:r>
                </w:p>
              </w:tc>
              <w:tc>
                <w:tcPr>
                  <w:tcW w:w="785" w:type="dxa"/>
                  <w:tcBorders>
                    <w:tl2br w:val="nil"/>
                    <w:tr2bl w:val="nil"/>
                  </w:tcBorders>
                  <w:vAlign w:val="center"/>
                </w:tcPr>
                <w:p w14:paraId="3424A1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0E3C06E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9EF625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70D1C6F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6C459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090FE1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179</w:t>
                  </w:r>
                </w:p>
              </w:tc>
              <w:tc>
                <w:tcPr>
                  <w:tcW w:w="1960" w:type="dxa"/>
                  <w:tcBorders>
                    <w:tl2br w:val="nil"/>
                    <w:tr2bl w:val="nil"/>
                  </w:tcBorders>
                  <w:vAlign w:val="center"/>
                </w:tcPr>
                <w:p w14:paraId="7AEF188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带菱形座球面轴承</w:t>
                  </w:r>
                </w:p>
              </w:tc>
              <w:tc>
                <w:tcPr>
                  <w:tcW w:w="927" w:type="dxa"/>
                  <w:tcBorders>
                    <w:tl2br w:val="nil"/>
                    <w:tr2bl w:val="nil"/>
                  </w:tcBorders>
                  <w:vAlign w:val="center"/>
                </w:tcPr>
                <w:p w14:paraId="320F9F4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70</w:t>
                  </w:r>
                </w:p>
              </w:tc>
              <w:tc>
                <w:tcPr>
                  <w:tcW w:w="738" w:type="dxa"/>
                  <w:tcBorders>
                    <w:tl2br w:val="nil"/>
                    <w:tr2bl w:val="nil"/>
                  </w:tcBorders>
                  <w:vAlign w:val="center"/>
                </w:tcPr>
                <w:p w14:paraId="433B832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4B127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1B3CAAD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3C412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C625FF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4ACAD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5DE5B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7867DA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180</w:t>
                  </w:r>
                </w:p>
              </w:tc>
              <w:tc>
                <w:tcPr>
                  <w:tcW w:w="1960" w:type="dxa"/>
                  <w:tcBorders>
                    <w:tl2br w:val="nil"/>
                    <w:tr2bl w:val="nil"/>
                  </w:tcBorders>
                  <w:vAlign w:val="center"/>
                </w:tcPr>
                <w:p w14:paraId="5E83F7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长城牌离心风机</w:t>
                  </w:r>
                </w:p>
              </w:tc>
              <w:tc>
                <w:tcPr>
                  <w:tcW w:w="927" w:type="dxa"/>
                  <w:tcBorders>
                    <w:tl2br w:val="nil"/>
                    <w:tr2bl w:val="nil"/>
                  </w:tcBorders>
                  <w:vAlign w:val="center"/>
                </w:tcPr>
                <w:p w14:paraId="0AB5A54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35</w:t>
                  </w:r>
                </w:p>
              </w:tc>
              <w:tc>
                <w:tcPr>
                  <w:tcW w:w="738" w:type="dxa"/>
                  <w:tcBorders>
                    <w:tl2br w:val="nil"/>
                    <w:tr2bl w:val="nil"/>
                  </w:tcBorders>
                  <w:vAlign w:val="center"/>
                </w:tcPr>
                <w:p w14:paraId="1D6646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台</w:t>
                  </w:r>
                </w:p>
              </w:tc>
              <w:tc>
                <w:tcPr>
                  <w:tcW w:w="869" w:type="dxa"/>
                  <w:tcBorders>
                    <w:tl2br w:val="nil"/>
                    <w:tr2bl w:val="nil"/>
                  </w:tcBorders>
                  <w:vAlign w:val="center"/>
                </w:tcPr>
                <w:p w14:paraId="6DC22C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w:t>
                  </w:r>
                </w:p>
              </w:tc>
              <w:tc>
                <w:tcPr>
                  <w:tcW w:w="785" w:type="dxa"/>
                  <w:tcBorders>
                    <w:tl2br w:val="nil"/>
                    <w:tr2bl w:val="nil"/>
                  </w:tcBorders>
                  <w:vAlign w:val="center"/>
                </w:tcPr>
                <w:p w14:paraId="7270011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633C82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B56D51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685D2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6E9AC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E935EC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181</w:t>
                  </w:r>
                </w:p>
              </w:tc>
              <w:tc>
                <w:tcPr>
                  <w:tcW w:w="1960" w:type="dxa"/>
                  <w:tcBorders>
                    <w:tl2br w:val="nil"/>
                    <w:tr2bl w:val="nil"/>
                  </w:tcBorders>
                  <w:vAlign w:val="center"/>
                </w:tcPr>
                <w:p w14:paraId="4A5F343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螺杆</w:t>
                  </w:r>
                </w:p>
              </w:tc>
              <w:tc>
                <w:tcPr>
                  <w:tcW w:w="927" w:type="dxa"/>
                  <w:tcBorders>
                    <w:tl2br w:val="nil"/>
                    <w:tr2bl w:val="nil"/>
                  </w:tcBorders>
                  <w:vAlign w:val="center"/>
                </w:tcPr>
                <w:p w14:paraId="6E8C95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175</w:t>
                  </w:r>
                </w:p>
              </w:tc>
              <w:tc>
                <w:tcPr>
                  <w:tcW w:w="738" w:type="dxa"/>
                  <w:tcBorders>
                    <w:tl2br w:val="nil"/>
                    <w:tr2bl w:val="nil"/>
                  </w:tcBorders>
                  <w:vAlign w:val="center"/>
                </w:tcPr>
                <w:p w14:paraId="5ED1582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w:t>
                  </w:r>
                </w:p>
              </w:tc>
              <w:tc>
                <w:tcPr>
                  <w:tcW w:w="869" w:type="dxa"/>
                  <w:tcBorders>
                    <w:tl2br w:val="nil"/>
                    <w:tr2bl w:val="nil"/>
                  </w:tcBorders>
                  <w:vAlign w:val="center"/>
                </w:tcPr>
                <w:p w14:paraId="6F1E38B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3143D13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13EFB91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5F4BB3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10根/捆</w:t>
                  </w:r>
                </w:p>
              </w:tc>
              <w:tc>
                <w:tcPr>
                  <w:tcW w:w="684" w:type="dxa"/>
                  <w:tcBorders>
                    <w:tl2br w:val="nil"/>
                    <w:tr2bl w:val="nil"/>
                  </w:tcBorders>
                  <w:vAlign w:val="center"/>
                </w:tcPr>
                <w:p w14:paraId="356A56D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46CF3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C2BA0E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182</w:t>
                  </w:r>
                </w:p>
              </w:tc>
              <w:tc>
                <w:tcPr>
                  <w:tcW w:w="1960" w:type="dxa"/>
                  <w:tcBorders>
                    <w:tl2br w:val="nil"/>
                    <w:tr2bl w:val="nil"/>
                  </w:tcBorders>
                  <w:vAlign w:val="center"/>
                </w:tcPr>
                <w:p w14:paraId="07A2BA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喷淋喷头</w:t>
                  </w:r>
                </w:p>
              </w:tc>
              <w:tc>
                <w:tcPr>
                  <w:tcW w:w="927" w:type="dxa"/>
                  <w:tcBorders>
                    <w:tl2br w:val="nil"/>
                    <w:tr2bl w:val="nil"/>
                  </w:tcBorders>
                  <w:vAlign w:val="center"/>
                </w:tcPr>
                <w:p w14:paraId="4A08F4E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6400</w:t>
                  </w:r>
                </w:p>
              </w:tc>
              <w:tc>
                <w:tcPr>
                  <w:tcW w:w="738" w:type="dxa"/>
                  <w:tcBorders>
                    <w:tl2br w:val="nil"/>
                    <w:tr2bl w:val="nil"/>
                  </w:tcBorders>
                  <w:vAlign w:val="center"/>
                </w:tcPr>
                <w:p w14:paraId="2608D0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DCA04E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200</w:t>
                  </w:r>
                </w:p>
              </w:tc>
              <w:tc>
                <w:tcPr>
                  <w:tcW w:w="785" w:type="dxa"/>
                  <w:tcBorders>
                    <w:tl2br w:val="nil"/>
                    <w:tr2bl w:val="nil"/>
                  </w:tcBorders>
                  <w:vAlign w:val="center"/>
                </w:tcPr>
                <w:p w14:paraId="5FB0DA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2963086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EC6F69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50个/盒</w:t>
                  </w:r>
                </w:p>
              </w:tc>
              <w:tc>
                <w:tcPr>
                  <w:tcW w:w="684" w:type="dxa"/>
                  <w:tcBorders>
                    <w:tl2br w:val="nil"/>
                    <w:tr2bl w:val="nil"/>
                  </w:tcBorders>
                  <w:vAlign w:val="center"/>
                </w:tcPr>
                <w:p w14:paraId="22E1777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2B08F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7BAC44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183</w:t>
                  </w:r>
                </w:p>
              </w:tc>
              <w:tc>
                <w:tcPr>
                  <w:tcW w:w="1960" w:type="dxa"/>
                  <w:tcBorders>
                    <w:tl2br w:val="nil"/>
                    <w:tr2bl w:val="nil"/>
                  </w:tcBorders>
                  <w:vAlign w:val="center"/>
                </w:tcPr>
                <w:p w14:paraId="30D20C1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喷雾喷头</w:t>
                  </w:r>
                </w:p>
              </w:tc>
              <w:tc>
                <w:tcPr>
                  <w:tcW w:w="927" w:type="dxa"/>
                  <w:tcBorders>
                    <w:tl2br w:val="nil"/>
                    <w:tr2bl w:val="nil"/>
                  </w:tcBorders>
                  <w:vAlign w:val="center"/>
                </w:tcPr>
                <w:p w14:paraId="67A33FE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6400</w:t>
                  </w:r>
                </w:p>
              </w:tc>
              <w:tc>
                <w:tcPr>
                  <w:tcW w:w="738" w:type="dxa"/>
                  <w:tcBorders>
                    <w:tl2br w:val="nil"/>
                    <w:tr2bl w:val="nil"/>
                  </w:tcBorders>
                  <w:vAlign w:val="center"/>
                </w:tcPr>
                <w:p w14:paraId="6CE79A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F56B04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200</w:t>
                  </w:r>
                </w:p>
              </w:tc>
              <w:tc>
                <w:tcPr>
                  <w:tcW w:w="785" w:type="dxa"/>
                  <w:tcBorders>
                    <w:tl2br w:val="nil"/>
                    <w:tr2bl w:val="nil"/>
                  </w:tcBorders>
                  <w:vAlign w:val="center"/>
                </w:tcPr>
                <w:p w14:paraId="45B6156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0E805C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8FAC6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50个/盒</w:t>
                  </w:r>
                </w:p>
              </w:tc>
              <w:tc>
                <w:tcPr>
                  <w:tcW w:w="684" w:type="dxa"/>
                  <w:tcBorders>
                    <w:tl2br w:val="nil"/>
                    <w:tr2bl w:val="nil"/>
                  </w:tcBorders>
                  <w:vAlign w:val="center"/>
                </w:tcPr>
                <w:p w14:paraId="6818FF9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1B130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EC0942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184</w:t>
                  </w:r>
                </w:p>
              </w:tc>
              <w:tc>
                <w:tcPr>
                  <w:tcW w:w="1960" w:type="dxa"/>
                  <w:tcBorders>
                    <w:tl2br w:val="nil"/>
                    <w:tr2bl w:val="nil"/>
                  </w:tcBorders>
                  <w:vAlign w:val="center"/>
                </w:tcPr>
                <w:p w14:paraId="55359FE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轴用挡圈</w:t>
                  </w:r>
                </w:p>
              </w:tc>
              <w:tc>
                <w:tcPr>
                  <w:tcW w:w="927" w:type="dxa"/>
                  <w:tcBorders>
                    <w:tl2br w:val="nil"/>
                    <w:tr2bl w:val="nil"/>
                  </w:tcBorders>
                  <w:vAlign w:val="center"/>
                </w:tcPr>
                <w:p w14:paraId="07378E3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200</w:t>
                  </w:r>
                </w:p>
              </w:tc>
              <w:tc>
                <w:tcPr>
                  <w:tcW w:w="738" w:type="dxa"/>
                  <w:tcBorders>
                    <w:tl2br w:val="nil"/>
                    <w:tr2bl w:val="nil"/>
                  </w:tcBorders>
                  <w:vAlign w:val="center"/>
                </w:tcPr>
                <w:p w14:paraId="7B90A71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A96BB1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5BC21A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065DFA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56FC1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100个/盒</w:t>
                  </w:r>
                </w:p>
              </w:tc>
              <w:tc>
                <w:tcPr>
                  <w:tcW w:w="684" w:type="dxa"/>
                  <w:tcBorders>
                    <w:tl2br w:val="nil"/>
                    <w:tr2bl w:val="nil"/>
                  </w:tcBorders>
                  <w:vAlign w:val="center"/>
                </w:tcPr>
                <w:p w14:paraId="61A1CA9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5A58B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F64AE4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185</w:t>
                  </w:r>
                </w:p>
              </w:tc>
              <w:tc>
                <w:tcPr>
                  <w:tcW w:w="1960" w:type="dxa"/>
                  <w:tcBorders>
                    <w:tl2br w:val="nil"/>
                    <w:tr2bl w:val="nil"/>
                  </w:tcBorders>
                  <w:vAlign w:val="center"/>
                </w:tcPr>
                <w:p w14:paraId="570D2F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橡胶垫圈</w:t>
                  </w:r>
                </w:p>
              </w:tc>
              <w:tc>
                <w:tcPr>
                  <w:tcW w:w="927" w:type="dxa"/>
                  <w:tcBorders>
                    <w:tl2br w:val="nil"/>
                    <w:tr2bl w:val="nil"/>
                  </w:tcBorders>
                  <w:vAlign w:val="center"/>
                </w:tcPr>
                <w:p w14:paraId="5C594F2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400A24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E56A63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73ABACC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7035049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5E861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100个/盒</w:t>
                  </w:r>
                </w:p>
              </w:tc>
              <w:tc>
                <w:tcPr>
                  <w:tcW w:w="684" w:type="dxa"/>
                  <w:tcBorders>
                    <w:tl2br w:val="nil"/>
                    <w:tr2bl w:val="nil"/>
                  </w:tcBorders>
                  <w:vAlign w:val="center"/>
                </w:tcPr>
                <w:p w14:paraId="4212311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4D189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BD3F74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186</w:t>
                  </w:r>
                </w:p>
              </w:tc>
              <w:tc>
                <w:tcPr>
                  <w:tcW w:w="1960" w:type="dxa"/>
                  <w:tcBorders>
                    <w:tl2br w:val="nil"/>
                    <w:tr2bl w:val="nil"/>
                  </w:tcBorders>
                  <w:vAlign w:val="center"/>
                </w:tcPr>
                <w:p w14:paraId="1C3C0E0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螺母</w:t>
                  </w:r>
                </w:p>
              </w:tc>
              <w:tc>
                <w:tcPr>
                  <w:tcW w:w="927" w:type="dxa"/>
                  <w:tcBorders>
                    <w:tl2br w:val="nil"/>
                    <w:tr2bl w:val="nil"/>
                  </w:tcBorders>
                  <w:vAlign w:val="center"/>
                </w:tcPr>
                <w:p w14:paraId="3BDB440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w:t>
                  </w:r>
                </w:p>
              </w:tc>
              <w:tc>
                <w:tcPr>
                  <w:tcW w:w="738" w:type="dxa"/>
                  <w:tcBorders>
                    <w:tl2br w:val="nil"/>
                    <w:tr2bl w:val="nil"/>
                  </w:tcBorders>
                  <w:vAlign w:val="center"/>
                </w:tcPr>
                <w:p w14:paraId="50C97CF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7D9B39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1000</w:t>
                  </w:r>
                </w:p>
              </w:tc>
              <w:tc>
                <w:tcPr>
                  <w:tcW w:w="785" w:type="dxa"/>
                  <w:tcBorders>
                    <w:tl2br w:val="nil"/>
                    <w:tr2bl w:val="nil"/>
                  </w:tcBorders>
                  <w:vAlign w:val="center"/>
                </w:tcPr>
                <w:p w14:paraId="3B91FAF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6CA626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449350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100kg/盒</w:t>
                  </w:r>
                </w:p>
              </w:tc>
              <w:tc>
                <w:tcPr>
                  <w:tcW w:w="684" w:type="dxa"/>
                  <w:tcBorders>
                    <w:tl2br w:val="nil"/>
                    <w:tr2bl w:val="nil"/>
                  </w:tcBorders>
                  <w:vAlign w:val="center"/>
                </w:tcPr>
                <w:p w14:paraId="58CF618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73477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8D2055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187</w:t>
                  </w:r>
                </w:p>
              </w:tc>
              <w:tc>
                <w:tcPr>
                  <w:tcW w:w="1960" w:type="dxa"/>
                  <w:tcBorders>
                    <w:tl2br w:val="nil"/>
                    <w:tr2bl w:val="nil"/>
                  </w:tcBorders>
                  <w:vAlign w:val="center"/>
                </w:tcPr>
                <w:p w14:paraId="461F8E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304直接头</w:t>
                  </w:r>
                </w:p>
              </w:tc>
              <w:tc>
                <w:tcPr>
                  <w:tcW w:w="927" w:type="dxa"/>
                  <w:tcBorders>
                    <w:tl2br w:val="nil"/>
                    <w:tr2bl w:val="nil"/>
                  </w:tcBorders>
                  <w:vAlign w:val="center"/>
                </w:tcPr>
                <w:p w14:paraId="1C7461A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1040</w:t>
                  </w:r>
                </w:p>
              </w:tc>
              <w:tc>
                <w:tcPr>
                  <w:tcW w:w="738" w:type="dxa"/>
                  <w:tcBorders>
                    <w:tl2br w:val="nil"/>
                    <w:tr2bl w:val="nil"/>
                  </w:tcBorders>
                  <w:vAlign w:val="center"/>
                </w:tcPr>
                <w:p w14:paraId="31EB661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3844C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200</w:t>
                  </w:r>
                </w:p>
              </w:tc>
              <w:tc>
                <w:tcPr>
                  <w:tcW w:w="785" w:type="dxa"/>
                  <w:tcBorders>
                    <w:tl2br w:val="nil"/>
                    <w:tr2bl w:val="nil"/>
                  </w:tcBorders>
                  <w:vAlign w:val="center"/>
                </w:tcPr>
                <w:p w14:paraId="4290B34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329A675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DA9B08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tcBorders>
                    <w:tl2br w:val="nil"/>
                    <w:tr2bl w:val="nil"/>
                  </w:tcBorders>
                  <w:vAlign w:val="center"/>
                </w:tcPr>
                <w:p w14:paraId="0499247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409B8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C8AA70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188</w:t>
                  </w:r>
                </w:p>
              </w:tc>
              <w:tc>
                <w:tcPr>
                  <w:tcW w:w="1960" w:type="dxa"/>
                  <w:tcBorders>
                    <w:tl2br w:val="nil"/>
                    <w:tr2bl w:val="nil"/>
                  </w:tcBorders>
                  <w:vAlign w:val="center"/>
                </w:tcPr>
                <w:p w14:paraId="50C8C0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304弯头90°</w:t>
                  </w:r>
                </w:p>
              </w:tc>
              <w:tc>
                <w:tcPr>
                  <w:tcW w:w="927" w:type="dxa"/>
                  <w:tcBorders>
                    <w:tl2br w:val="nil"/>
                    <w:tr2bl w:val="nil"/>
                  </w:tcBorders>
                  <w:vAlign w:val="center"/>
                </w:tcPr>
                <w:p w14:paraId="4012C7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880</w:t>
                  </w:r>
                </w:p>
              </w:tc>
              <w:tc>
                <w:tcPr>
                  <w:tcW w:w="738" w:type="dxa"/>
                  <w:tcBorders>
                    <w:tl2br w:val="nil"/>
                    <w:tr2bl w:val="nil"/>
                  </w:tcBorders>
                  <w:vAlign w:val="center"/>
                </w:tcPr>
                <w:p w14:paraId="320E22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3D32F1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624615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54B8663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31DB7A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tcBorders>
                    <w:tl2br w:val="nil"/>
                    <w:tr2bl w:val="nil"/>
                  </w:tcBorders>
                  <w:vAlign w:val="center"/>
                </w:tcPr>
                <w:p w14:paraId="257045F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083B4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DB1D5E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189</w:t>
                  </w:r>
                </w:p>
              </w:tc>
              <w:tc>
                <w:tcPr>
                  <w:tcW w:w="1960" w:type="dxa"/>
                  <w:tcBorders>
                    <w:tl2br w:val="nil"/>
                    <w:tr2bl w:val="nil"/>
                  </w:tcBorders>
                  <w:vAlign w:val="center"/>
                </w:tcPr>
                <w:p w14:paraId="0858536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高压软管</w:t>
                  </w:r>
                </w:p>
              </w:tc>
              <w:tc>
                <w:tcPr>
                  <w:tcW w:w="927" w:type="dxa"/>
                  <w:tcBorders>
                    <w:tl2br w:val="nil"/>
                    <w:tr2bl w:val="nil"/>
                  </w:tcBorders>
                  <w:vAlign w:val="center"/>
                </w:tcPr>
                <w:p w14:paraId="019305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480</w:t>
                  </w:r>
                </w:p>
              </w:tc>
              <w:tc>
                <w:tcPr>
                  <w:tcW w:w="738" w:type="dxa"/>
                  <w:tcBorders>
                    <w:tl2br w:val="nil"/>
                    <w:tr2bl w:val="nil"/>
                  </w:tcBorders>
                  <w:vAlign w:val="center"/>
                </w:tcPr>
                <w:p w14:paraId="563F194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条</w:t>
                  </w:r>
                </w:p>
              </w:tc>
              <w:tc>
                <w:tcPr>
                  <w:tcW w:w="869" w:type="dxa"/>
                  <w:tcBorders>
                    <w:tl2br w:val="nil"/>
                    <w:tr2bl w:val="nil"/>
                  </w:tcBorders>
                  <w:vAlign w:val="center"/>
                </w:tcPr>
                <w:p w14:paraId="735087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5A382C6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04F9B5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F0E194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tcBorders>
                    <w:tl2br w:val="nil"/>
                    <w:tr2bl w:val="nil"/>
                  </w:tcBorders>
                  <w:vAlign w:val="center"/>
                </w:tcPr>
                <w:p w14:paraId="732543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根据客户需求定制</w:t>
                  </w:r>
                </w:p>
              </w:tc>
            </w:tr>
            <w:tr w14:paraId="2B9A1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757FC9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190</w:t>
                  </w:r>
                </w:p>
              </w:tc>
              <w:tc>
                <w:tcPr>
                  <w:tcW w:w="1960" w:type="dxa"/>
                  <w:tcBorders>
                    <w:tl2br w:val="nil"/>
                    <w:tr2bl w:val="nil"/>
                  </w:tcBorders>
                  <w:vAlign w:val="center"/>
                </w:tcPr>
                <w:p w14:paraId="4DBAFCE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不锈钢平垫</w:t>
                  </w:r>
                </w:p>
              </w:tc>
              <w:tc>
                <w:tcPr>
                  <w:tcW w:w="927" w:type="dxa"/>
                  <w:tcBorders>
                    <w:tl2br w:val="nil"/>
                    <w:tr2bl w:val="nil"/>
                  </w:tcBorders>
                  <w:vAlign w:val="center"/>
                </w:tcPr>
                <w:p w14:paraId="0D27C0E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1000</w:t>
                  </w:r>
                </w:p>
              </w:tc>
              <w:tc>
                <w:tcPr>
                  <w:tcW w:w="738" w:type="dxa"/>
                  <w:tcBorders>
                    <w:tl2br w:val="nil"/>
                    <w:tr2bl w:val="nil"/>
                  </w:tcBorders>
                  <w:vAlign w:val="center"/>
                </w:tcPr>
                <w:p w14:paraId="1A6168E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BFD66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85" w:type="dxa"/>
                  <w:tcBorders>
                    <w:tl2br w:val="nil"/>
                    <w:tr2bl w:val="nil"/>
                  </w:tcBorders>
                  <w:vAlign w:val="center"/>
                </w:tcPr>
                <w:p w14:paraId="066B1E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5BD2692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8F1BDF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tcBorders>
                    <w:tl2br w:val="nil"/>
                    <w:tr2bl w:val="nil"/>
                  </w:tcBorders>
                  <w:vAlign w:val="center"/>
                </w:tcPr>
                <w:p w14:paraId="6F43B0B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5779B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07ACA8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191</w:t>
                  </w:r>
                </w:p>
              </w:tc>
              <w:tc>
                <w:tcPr>
                  <w:tcW w:w="1960" w:type="dxa"/>
                  <w:tcBorders>
                    <w:tl2br w:val="nil"/>
                    <w:tr2bl w:val="nil"/>
                  </w:tcBorders>
                  <w:vAlign w:val="center"/>
                </w:tcPr>
                <w:p w14:paraId="4F77A5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不锈钢开口销</w:t>
                  </w:r>
                </w:p>
              </w:tc>
              <w:tc>
                <w:tcPr>
                  <w:tcW w:w="927" w:type="dxa"/>
                  <w:tcBorders>
                    <w:tl2br w:val="nil"/>
                    <w:tr2bl w:val="nil"/>
                  </w:tcBorders>
                  <w:vAlign w:val="center"/>
                </w:tcPr>
                <w:p w14:paraId="082BF808">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1000</w:t>
                  </w:r>
                </w:p>
              </w:tc>
              <w:tc>
                <w:tcPr>
                  <w:tcW w:w="738" w:type="dxa"/>
                  <w:tcBorders>
                    <w:tl2br w:val="nil"/>
                    <w:tr2bl w:val="nil"/>
                  </w:tcBorders>
                  <w:vAlign w:val="center"/>
                </w:tcPr>
                <w:p w14:paraId="4408A5D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C3F91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85" w:type="dxa"/>
                  <w:tcBorders>
                    <w:tl2br w:val="nil"/>
                    <w:tr2bl w:val="nil"/>
                  </w:tcBorders>
                  <w:vAlign w:val="center"/>
                </w:tcPr>
                <w:p w14:paraId="7D3384B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197944D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EDEC31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tcBorders>
                    <w:tl2br w:val="nil"/>
                    <w:tr2bl w:val="nil"/>
                  </w:tcBorders>
                  <w:vAlign w:val="center"/>
                </w:tcPr>
                <w:p w14:paraId="503E8F3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026D2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C98513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192</w:t>
                  </w:r>
                </w:p>
              </w:tc>
              <w:tc>
                <w:tcPr>
                  <w:tcW w:w="1960" w:type="dxa"/>
                  <w:tcBorders>
                    <w:tl2br w:val="nil"/>
                    <w:tr2bl w:val="nil"/>
                  </w:tcBorders>
                  <w:vAlign w:val="center"/>
                </w:tcPr>
                <w:p w14:paraId="56A2C5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轴卡</w:t>
                  </w:r>
                </w:p>
              </w:tc>
              <w:tc>
                <w:tcPr>
                  <w:tcW w:w="927" w:type="dxa"/>
                  <w:tcBorders>
                    <w:tl2br w:val="nil"/>
                    <w:tr2bl w:val="nil"/>
                  </w:tcBorders>
                  <w:vAlign w:val="center"/>
                </w:tcPr>
                <w:p w14:paraId="721C563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2480</w:t>
                  </w:r>
                </w:p>
              </w:tc>
              <w:tc>
                <w:tcPr>
                  <w:tcW w:w="738" w:type="dxa"/>
                  <w:tcBorders>
                    <w:tl2br w:val="nil"/>
                    <w:tr2bl w:val="nil"/>
                  </w:tcBorders>
                  <w:vAlign w:val="center"/>
                </w:tcPr>
                <w:p w14:paraId="2492E87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455885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64B6739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47172B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A16855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tcBorders>
                    <w:tl2br w:val="nil"/>
                    <w:tr2bl w:val="nil"/>
                  </w:tcBorders>
                  <w:vAlign w:val="center"/>
                </w:tcPr>
                <w:p w14:paraId="5DEB250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1A669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F49BFD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193</w:t>
                  </w:r>
                </w:p>
              </w:tc>
              <w:tc>
                <w:tcPr>
                  <w:tcW w:w="1960" w:type="dxa"/>
                  <w:tcBorders>
                    <w:tl2br w:val="nil"/>
                    <w:tr2bl w:val="nil"/>
                  </w:tcBorders>
                  <w:vAlign w:val="center"/>
                </w:tcPr>
                <w:p w14:paraId="3CAD75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深沟球轴承</w:t>
                  </w:r>
                </w:p>
              </w:tc>
              <w:tc>
                <w:tcPr>
                  <w:tcW w:w="927" w:type="dxa"/>
                  <w:tcBorders>
                    <w:tl2br w:val="nil"/>
                    <w:tr2bl w:val="nil"/>
                  </w:tcBorders>
                  <w:vAlign w:val="center"/>
                </w:tcPr>
                <w:p w14:paraId="41C77E3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2560</w:t>
                  </w:r>
                </w:p>
              </w:tc>
              <w:tc>
                <w:tcPr>
                  <w:tcW w:w="738" w:type="dxa"/>
                  <w:tcBorders>
                    <w:tl2br w:val="nil"/>
                    <w:tr2bl w:val="nil"/>
                  </w:tcBorders>
                  <w:vAlign w:val="center"/>
                </w:tcPr>
                <w:p w14:paraId="19C84D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AE837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141D5F3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3007009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D4C8D2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10个/盒</w:t>
                  </w:r>
                </w:p>
              </w:tc>
              <w:tc>
                <w:tcPr>
                  <w:tcW w:w="684" w:type="dxa"/>
                  <w:tcBorders>
                    <w:tl2br w:val="nil"/>
                    <w:tr2bl w:val="nil"/>
                  </w:tcBorders>
                  <w:vAlign w:val="center"/>
                </w:tcPr>
                <w:p w14:paraId="162A280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6BDBC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E3BEAF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194</w:t>
                  </w:r>
                </w:p>
              </w:tc>
              <w:tc>
                <w:tcPr>
                  <w:tcW w:w="1960" w:type="dxa"/>
                  <w:tcBorders>
                    <w:tl2br w:val="nil"/>
                    <w:tr2bl w:val="nil"/>
                  </w:tcBorders>
                  <w:vAlign w:val="center"/>
                </w:tcPr>
                <w:p w14:paraId="1D7F8D6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毛毡滚筒</w:t>
                  </w:r>
                </w:p>
              </w:tc>
              <w:tc>
                <w:tcPr>
                  <w:tcW w:w="927" w:type="dxa"/>
                  <w:tcBorders>
                    <w:tl2br w:val="nil"/>
                    <w:tr2bl w:val="nil"/>
                  </w:tcBorders>
                  <w:vAlign w:val="center"/>
                </w:tcPr>
                <w:p w14:paraId="4585E90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880</w:t>
                  </w:r>
                </w:p>
              </w:tc>
              <w:tc>
                <w:tcPr>
                  <w:tcW w:w="738" w:type="dxa"/>
                  <w:tcBorders>
                    <w:tl2br w:val="nil"/>
                    <w:tr2bl w:val="nil"/>
                  </w:tcBorders>
                  <w:vAlign w:val="center"/>
                </w:tcPr>
                <w:p w14:paraId="74D37A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DE52E9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0AEA7DD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74145BF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F196AE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tcBorders>
                    <w:tl2br w:val="nil"/>
                    <w:tr2bl w:val="nil"/>
                  </w:tcBorders>
                  <w:vAlign w:val="center"/>
                </w:tcPr>
                <w:p w14:paraId="5D82B28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根据客户需求定制</w:t>
                  </w:r>
                </w:p>
              </w:tc>
            </w:tr>
            <w:tr w14:paraId="39FBA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1751B7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195</w:t>
                  </w:r>
                </w:p>
              </w:tc>
              <w:tc>
                <w:tcPr>
                  <w:tcW w:w="1960" w:type="dxa"/>
                  <w:tcBorders>
                    <w:tl2br w:val="nil"/>
                    <w:tr2bl w:val="nil"/>
                  </w:tcBorders>
                  <w:vAlign w:val="center"/>
                </w:tcPr>
                <w:p w14:paraId="4EBCD66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双头内丝</w:t>
                  </w:r>
                </w:p>
              </w:tc>
              <w:tc>
                <w:tcPr>
                  <w:tcW w:w="927" w:type="dxa"/>
                  <w:tcBorders>
                    <w:tl2br w:val="nil"/>
                    <w:tr2bl w:val="nil"/>
                  </w:tcBorders>
                  <w:vAlign w:val="center"/>
                </w:tcPr>
                <w:p w14:paraId="1B19636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5280</w:t>
                  </w:r>
                </w:p>
              </w:tc>
              <w:tc>
                <w:tcPr>
                  <w:tcW w:w="738" w:type="dxa"/>
                  <w:tcBorders>
                    <w:tl2br w:val="nil"/>
                    <w:tr2bl w:val="nil"/>
                  </w:tcBorders>
                  <w:vAlign w:val="center"/>
                </w:tcPr>
                <w:p w14:paraId="165BDFE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8E22F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7B175D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64480B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3388B0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684" w:type="dxa"/>
                  <w:tcBorders>
                    <w:tl2br w:val="nil"/>
                    <w:tr2bl w:val="nil"/>
                  </w:tcBorders>
                  <w:vAlign w:val="center"/>
                </w:tcPr>
                <w:p w14:paraId="6E519CF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5267C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42B996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196</w:t>
                  </w:r>
                </w:p>
              </w:tc>
              <w:tc>
                <w:tcPr>
                  <w:tcW w:w="1960" w:type="dxa"/>
                  <w:tcBorders>
                    <w:tl2br w:val="nil"/>
                    <w:tr2bl w:val="nil"/>
                  </w:tcBorders>
                  <w:vAlign w:val="center"/>
                </w:tcPr>
                <w:p w14:paraId="60A37F3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304焊接弯头</w:t>
                  </w:r>
                </w:p>
              </w:tc>
              <w:tc>
                <w:tcPr>
                  <w:tcW w:w="927" w:type="dxa"/>
                  <w:tcBorders>
                    <w:tl2br w:val="nil"/>
                    <w:tr2bl w:val="nil"/>
                  </w:tcBorders>
                  <w:vAlign w:val="center"/>
                </w:tcPr>
                <w:p w14:paraId="10A2D26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2640</w:t>
                  </w:r>
                </w:p>
              </w:tc>
              <w:tc>
                <w:tcPr>
                  <w:tcW w:w="738" w:type="dxa"/>
                  <w:tcBorders>
                    <w:tl2br w:val="nil"/>
                    <w:tr2bl w:val="nil"/>
                  </w:tcBorders>
                  <w:vAlign w:val="center"/>
                </w:tcPr>
                <w:p w14:paraId="19C5829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82E06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300</w:t>
                  </w:r>
                </w:p>
              </w:tc>
              <w:tc>
                <w:tcPr>
                  <w:tcW w:w="785" w:type="dxa"/>
                  <w:tcBorders>
                    <w:tl2br w:val="nil"/>
                    <w:tr2bl w:val="nil"/>
                  </w:tcBorders>
                  <w:vAlign w:val="center"/>
                </w:tcPr>
                <w:p w14:paraId="00DC36A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0578AC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C13A3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7FB3E0E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根据客户需求定制</w:t>
                  </w:r>
                </w:p>
              </w:tc>
            </w:tr>
            <w:tr w14:paraId="30528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F49D12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197</w:t>
                  </w:r>
                </w:p>
              </w:tc>
              <w:tc>
                <w:tcPr>
                  <w:tcW w:w="1960" w:type="dxa"/>
                  <w:tcBorders>
                    <w:tl2br w:val="nil"/>
                    <w:tr2bl w:val="nil"/>
                  </w:tcBorders>
                  <w:vAlign w:val="center"/>
                </w:tcPr>
                <w:p w14:paraId="72B9734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油缸（内胆）</w:t>
                  </w:r>
                </w:p>
              </w:tc>
              <w:tc>
                <w:tcPr>
                  <w:tcW w:w="927" w:type="dxa"/>
                  <w:tcBorders>
                    <w:tl2br w:val="nil"/>
                    <w:tr2bl w:val="nil"/>
                  </w:tcBorders>
                  <w:vAlign w:val="center"/>
                </w:tcPr>
                <w:p w14:paraId="0C5EFB2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2237C2F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90C0C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04C9E8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5575D3E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0E720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ADD028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5F5B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624A9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198</w:t>
                  </w:r>
                </w:p>
              </w:tc>
              <w:tc>
                <w:tcPr>
                  <w:tcW w:w="1960" w:type="dxa"/>
                  <w:tcBorders>
                    <w:tl2br w:val="nil"/>
                    <w:tr2bl w:val="nil"/>
                  </w:tcBorders>
                  <w:vAlign w:val="center"/>
                </w:tcPr>
                <w:p w14:paraId="66D2C41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油缸</w:t>
                  </w:r>
                </w:p>
              </w:tc>
              <w:tc>
                <w:tcPr>
                  <w:tcW w:w="927" w:type="dxa"/>
                  <w:tcBorders>
                    <w:tl2br w:val="nil"/>
                    <w:tr2bl w:val="nil"/>
                  </w:tcBorders>
                  <w:vAlign w:val="center"/>
                </w:tcPr>
                <w:p w14:paraId="6153E64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15A862A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B88346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18B0DCF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E176D1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E34BF0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3B351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2EDB4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1C3692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199</w:t>
                  </w:r>
                </w:p>
              </w:tc>
              <w:tc>
                <w:tcPr>
                  <w:tcW w:w="1960" w:type="dxa"/>
                  <w:tcBorders>
                    <w:tl2br w:val="nil"/>
                    <w:tr2bl w:val="nil"/>
                  </w:tcBorders>
                  <w:vAlign w:val="center"/>
                </w:tcPr>
                <w:p w14:paraId="56CC2A0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不锈钢网</w:t>
                  </w:r>
                </w:p>
              </w:tc>
              <w:tc>
                <w:tcPr>
                  <w:tcW w:w="927" w:type="dxa"/>
                  <w:tcBorders>
                    <w:tl2br w:val="nil"/>
                    <w:tr2bl w:val="nil"/>
                  </w:tcBorders>
                  <w:vAlign w:val="center"/>
                </w:tcPr>
                <w:p w14:paraId="4485AF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280</w:t>
                  </w:r>
                </w:p>
              </w:tc>
              <w:tc>
                <w:tcPr>
                  <w:tcW w:w="738" w:type="dxa"/>
                  <w:tcBorders>
                    <w:tl2br w:val="nil"/>
                    <w:tr2bl w:val="nil"/>
                  </w:tcBorders>
                  <w:vAlign w:val="center"/>
                </w:tcPr>
                <w:p w14:paraId="7A262A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995C6B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w:t>
                  </w:r>
                </w:p>
              </w:tc>
              <w:tc>
                <w:tcPr>
                  <w:tcW w:w="785" w:type="dxa"/>
                  <w:tcBorders>
                    <w:tl2br w:val="nil"/>
                    <w:tr2bl w:val="nil"/>
                  </w:tcBorders>
                  <w:vAlign w:val="center"/>
                </w:tcPr>
                <w:p w14:paraId="3D8280A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30ACBFE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C5A07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7F57D7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56D66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926B45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200</w:t>
                  </w:r>
                </w:p>
              </w:tc>
              <w:tc>
                <w:tcPr>
                  <w:tcW w:w="1960" w:type="dxa"/>
                  <w:tcBorders>
                    <w:tl2br w:val="nil"/>
                    <w:tr2bl w:val="nil"/>
                  </w:tcBorders>
                  <w:vAlign w:val="center"/>
                </w:tcPr>
                <w:p w14:paraId="5D79CA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短半径90°弯头</w:t>
                  </w:r>
                </w:p>
              </w:tc>
              <w:tc>
                <w:tcPr>
                  <w:tcW w:w="927" w:type="dxa"/>
                  <w:tcBorders>
                    <w:tl2br w:val="nil"/>
                    <w:tr2bl w:val="nil"/>
                  </w:tcBorders>
                  <w:vAlign w:val="center"/>
                </w:tcPr>
                <w:p w14:paraId="2B8EEF6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720</w:t>
                  </w:r>
                </w:p>
              </w:tc>
              <w:tc>
                <w:tcPr>
                  <w:tcW w:w="738" w:type="dxa"/>
                  <w:tcBorders>
                    <w:tl2br w:val="nil"/>
                    <w:tr2bl w:val="nil"/>
                  </w:tcBorders>
                  <w:vAlign w:val="center"/>
                </w:tcPr>
                <w:p w14:paraId="2F2B9A1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41B30F8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5DBB7E1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181C992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85C72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99D8B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3095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3A6255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201</w:t>
                  </w:r>
                </w:p>
              </w:tc>
              <w:tc>
                <w:tcPr>
                  <w:tcW w:w="1960" w:type="dxa"/>
                  <w:tcBorders>
                    <w:tl2br w:val="nil"/>
                    <w:tr2bl w:val="nil"/>
                  </w:tcBorders>
                  <w:vAlign w:val="center"/>
                </w:tcPr>
                <w:p w14:paraId="752CE27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带方形座外球面球轴承</w:t>
                  </w:r>
                </w:p>
              </w:tc>
              <w:tc>
                <w:tcPr>
                  <w:tcW w:w="927" w:type="dxa"/>
                  <w:tcBorders>
                    <w:tl2br w:val="nil"/>
                    <w:tr2bl w:val="nil"/>
                  </w:tcBorders>
                  <w:vAlign w:val="center"/>
                </w:tcPr>
                <w:p w14:paraId="43AA2C6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560</w:t>
                  </w:r>
                </w:p>
              </w:tc>
              <w:tc>
                <w:tcPr>
                  <w:tcW w:w="738" w:type="dxa"/>
                  <w:tcBorders>
                    <w:tl2br w:val="nil"/>
                    <w:tr2bl w:val="nil"/>
                  </w:tcBorders>
                  <w:vAlign w:val="center"/>
                </w:tcPr>
                <w:p w14:paraId="7AF018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3FD9CDD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w:t>
                  </w:r>
                </w:p>
              </w:tc>
              <w:tc>
                <w:tcPr>
                  <w:tcW w:w="785" w:type="dxa"/>
                  <w:tcBorders>
                    <w:tl2br w:val="nil"/>
                    <w:tr2bl w:val="nil"/>
                  </w:tcBorders>
                  <w:vAlign w:val="center"/>
                </w:tcPr>
                <w:p w14:paraId="22E2F1B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DE8E00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113524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F4C33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6EB4C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7A2C41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w:t>
                  </w:r>
                </w:p>
              </w:tc>
              <w:tc>
                <w:tcPr>
                  <w:tcW w:w="1960" w:type="dxa"/>
                  <w:tcBorders>
                    <w:tl2br w:val="nil"/>
                    <w:tr2bl w:val="nil"/>
                  </w:tcBorders>
                  <w:vAlign w:val="center"/>
                </w:tcPr>
                <w:p w14:paraId="468C25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O型圈</w:t>
                  </w:r>
                </w:p>
              </w:tc>
              <w:tc>
                <w:tcPr>
                  <w:tcW w:w="927" w:type="dxa"/>
                  <w:tcBorders>
                    <w:tl2br w:val="nil"/>
                    <w:tr2bl w:val="nil"/>
                  </w:tcBorders>
                  <w:vAlign w:val="center"/>
                </w:tcPr>
                <w:p w14:paraId="630ABB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2000</w:t>
                  </w:r>
                </w:p>
              </w:tc>
              <w:tc>
                <w:tcPr>
                  <w:tcW w:w="738" w:type="dxa"/>
                  <w:tcBorders>
                    <w:tl2br w:val="nil"/>
                    <w:tr2bl w:val="nil"/>
                  </w:tcBorders>
                  <w:vAlign w:val="center"/>
                </w:tcPr>
                <w:p w14:paraId="49B52C1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ED128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31A359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2F3628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7403CA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50F3DD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F10C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25A205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203</w:t>
                  </w:r>
                </w:p>
              </w:tc>
              <w:tc>
                <w:tcPr>
                  <w:tcW w:w="1960" w:type="dxa"/>
                  <w:tcBorders>
                    <w:tl2br w:val="nil"/>
                    <w:tr2bl w:val="nil"/>
                  </w:tcBorders>
                  <w:vAlign w:val="center"/>
                </w:tcPr>
                <w:p w14:paraId="758ADF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执行器</w:t>
                  </w:r>
                </w:p>
              </w:tc>
              <w:tc>
                <w:tcPr>
                  <w:tcW w:w="927" w:type="dxa"/>
                  <w:tcBorders>
                    <w:tl2br w:val="nil"/>
                    <w:tr2bl w:val="nil"/>
                  </w:tcBorders>
                  <w:vAlign w:val="center"/>
                </w:tcPr>
                <w:p w14:paraId="435C97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240</w:t>
                  </w:r>
                </w:p>
              </w:tc>
              <w:tc>
                <w:tcPr>
                  <w:tcW w:w="738" w:type="dxa"/>
                  <w:tcBorders>
                    <w:tl2br w:val="nil"/>
                    <w:tr2bl w:val="nil"/>
                  </w:tcBorders>
                  <w:vAlign w:val="center"/>
                </w:tcPr>
                <w:p w14:paraId="26F1F4B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B694A1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w:t>
                  </w:r>
                </w:p>
              </w:tc>
              <w:tc>
                <w:tcPr>
                  <w:tcW w:w="785" w:type="dxa"/>
                  <w:tcBorders>
                    <w:tl2br w:val="nil"/>
                    <w:tr2bl w:val="nil"/>
                  </w:tcBorders>
                  <w:vAlign w:val="center"/>
                </w:tcPr>
                <w:p w14:paraId="454620F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1E363C0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8E7192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8EC10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4C3C0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411FF0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204</w:t>
                  </w:r>
                </w:p>
              </w:tc>
              <w:tc>
                <w:tcPr>
                  <w:tcW w:w="1960" w:type="dxa"/>
                  <w:tcBorders>
                    <w:tl2br w:val="nil"/>
                    <w:tr2bl w:val="nil"/>
                  </w:tcBorders>
                  <w:vAlign w:val="center"/>
                </w:tcPr>
                <w:p w14:paraId="33544EC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帆布袋</w:t>
                  </w:r>
                </w:p>
              </w:tc>
              <w:tc>
                <w:tcPr>
                  <w:tcW w:w="927" w:type="dxa"/>
                  <w:tcBorders>
                    <w:tl2br w:val="nil"/>
                    <w:tr2bl w:val="nil"/>
                  </w:tcBorders>
                  <w:vAlign w:val="center"/>
                </w:tcPr>
                <w:p w14:paraId="409DB48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51C76B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3FE64B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43EE4D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521E3DB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1D886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8D8C36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54EEF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AA057E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205</w:t>
                  </w:r>
                </w:p>
              </w:tc>
              <w:tc>
                <w:tcPr>
                  <w:tcW w:w="1960" w:type="dxa"/>
                  <w:tcBorders>
                    <w:tl2br w:val="nil"/>
                    <w:tr2bl w:val="nil"/>
                  </w:tcBorders>
                  <w:vAlign w:val="center"/>
                </w:tcPr>
                <w:p w14:paraId="6A1D74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橡胶垫</w:t>
                  </w:r>
                </w:p>
              </w:tc>
              <w:tc>
                <w:tcPr>
                  <w:tcW w:w="927" w:type="dxa"/>
                  <w:tcBorders>
                    <w:tl2br w:val="nil"/>
                    <w:tr2bl w:val="nil"/>
                  </w:tcBorders>
                  <w:vAlign w:val="center"/>
                </w:tcPr>
                <w:p w14:paraId="269C6E6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240</w:t>
                  </w:r>
                </w:p>
              </w:tc>
              <w:tc>
                <w:tcPr>
                  <w:tcW w:w="738" w:type="dxa"/>
                  <w:tcBorders>
                    <w:tl2br w:val="nil"/>
                    <w:tr2bl w:val="nil"/>
                  </w:tcBorders>
                  <w:vAlign w:val="center"/>
                </w:tcPr>
                <w:p w14:paraId="0482B8D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887340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w:t>
                  </w:r>
                </w:p>
              </w:tc>
              <w:tc>
                <w:tcPr>
                  <w:tcW w:w="785" w:type="dxa"/>
                  <w:tcBorders>
                    <w:tl2br w:val="nil"/>
                    <w:tr2bl w:val="nil"/>
                  </w:tcBorders>
                  <w:vAlign w:val="center"/>
                </w:tcPr>
                <w:p w14:paraId="1BAA5C0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3A4CCD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DF631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A53B47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409BA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34DD90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206</w:t>
                  </w:r>
                </w:p>
              </w:tc>
              <w:tc>
                <w:tcPr>
                  <w:tcW w:w="1960" w:type="dxa"/>
                  <w:tcBorders>
                    <w:tl2br w:val="nil"/>
                    <w:tr2bl w:val="nil"/>
                  </w:tcBorders>
                  <w:vAlign w:val="center"/>
                </w:tcPr>
                <w:p w14:paraId="41EF18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气动蝶阀</w:t>
                  </w:r>
                </w:p>
              </w:tc>
              <w:tc>
                <w:tcPr>
                  <w:tcW w:w="927" w:type="dxa"/>
                  <w:tcBorders>
                    <w:tl2br w:val="nil"/>
                    <w:tr2bl w:val="nil"/>
                  </w:tcBorders>
                  <w:vAlign w:val="center"/>
                </w:tcPr>
                <w:p w14:paraId="7BEEADD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7B4B989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8279C2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4BBD54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04D365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0187A0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684" w:type="dxa"/>
                  <w:vMerge w:val="continue"/>
                  <w:tcBorders>
                    <w:tl2br w:val="nil"/>
                    <w:tr2bl w:val="nil"/>
                  </w:tcBorders>
                  <w:vAlign w:val="center"/>
                </w:tcPr>
                <w:p w14:paraId="7748944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2CA08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543292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207</w:t>
                  </w:r>
                </w:p>
              </w:tc>
              <w:tc>
                <w:tcPr>
                  <w:tcW w:w="1960" w:type="dxa"/>
                  <w:tcBorders>
                    <w:tl2br w:val="nil"/>
                    <w:tr2bl w:val="nil"/>
                  </w:tcBorders>
                  <w:vAlign w:val="center"/>
                </w:tcPr>
                <w:p w14:paraId="171FDDF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螺杆</w:t>
                  </w:r>
                </w:p>
              </w:tc>
              <w:tc>
                <w:tcPr>
                  <w:tcW w:w="927" w:type="dxa"/>
                  <w:tcBorders>
                    <w:tl2br w:val="nil"/>
                    <w:tr2bl w:val="nil"/>
                  </w:tcBorders>
                  <w:vAlign w:val="center"/>
                </w:tcPr>
                <w:p w14:paraId="03C543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560</w:t>
                  </w:r>
                </w:p>
              </w:tc>
              <w:tc>
                <w:tcPr>
                  <w:tcW w:w="738" w:type="dxa"/>
                  <w:tcBorders>
                    <w:tl2br w:val="nil"/>
                    <w:tr2bl w:val="nil"/>
                  </w:tcBorders>
                  <w:vAlign w:val="center"/>
                </w:tcPr>
                <w:p w14:paraId="37966A1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8121F3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50</w:t>
                  </w:r>
                </w:p>
              </w:tc>
              <w:tc>
                <w:tcPr>
                  <w:tcW w:w="785" w:type="dxa"/>
                  <w:tcBorders>
                    <w:tl2br w:val="nil"/>
                    <w:tr2bl w:val="nil"/>
                  </w:tcBorders>
                  <w:vAlign w:val="center"/>
                </w:tcPr>
                <w:p w14:paraId="5DAAD20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002F69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68DD0F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10根/捆</w:t>
                  </w:r>
                </w:p>
              </w:tc>
              <w:tc>
                <w:tcPr>
                  <w:tcW w:w="684" w:type="dxa"/>
                  <w:tcBorders>
                    <w:tl2br w:val="nil"/>
                    <w:tr2bl w:val="nil"/>
                  </w:tcBorders>
                  <w:vAlign w:val="center"/>
                </w:tcPr>
                <w:p w14:paraId="2D1100D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5FE9A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CB772F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208</w:t>
                  </w:r>
                </w:p>
              </w:tc>
              <w:tc>
                <w:tcPr>
                  <w:tcW w:w="1960" w:type="dxa"/>
                  <w:tcBorders>
                    <w:tl2br w:val="nil"/>
                    <w:tr2bl w:val="nil"/>
                  </w:tcBorders>
                  <w:vAlign w:val="center"/>
                </w:tcPr>
                <w:p w14:paraId="74E6222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双排链条</w:t>
                  </w:r>
                </w:p>
              </w:tc>
              <w:tc>
                <w:tcPr>
                  <w:tcW w:w="927" w:type="dxa"/>
                  <w:tcBorders>
                    <w:tl2br w:val="nil"/>
                    <w:tr2bl w:val="nil"/>
                  </w:tcBorders>
                  <w:vAlign w:val="center"/>
                </w:tcPr>
                <w:p w14:paraId="2F7CF0E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47165E0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条</w:t>
                  </w:r>
                </w:p>
              </w:tc>
              <w:tc>
                <w:tcPr>
                  <w:tcW w:w="869" w:type="dxa"/>
                  <w:tcBorders>
                    <w:tl2br w:val="nil"/>
                    <w:tr2bl w:val="nil"/>
                  </w:tcBorders>
                  <w:vAlign w:val="center"/>
                </w:tcPr>
                <w:p w14:paraId="7B7131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0774490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5A4F3E6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48B007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75E45F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根据客户需求定制</w:t>
                  </w:r>
                </w:p>
              </w:tc>
            </w:tr>
            <w:tr w14:paraId="27368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771BBD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209</w:t>
                  </w:r>
                </w:p>
              </w:tc>
              <w:tc>
                <w:tcPr>
                  <w:tcW w:w="1960" w:type="dxa"/>
                  <w:tcBorders>
                    <w:tl2br w:val="nil"/>
                    <w:tr2bl w:val="nil"/>
                  </w:tcBorders>
                  <w:vAlign w:val="center"/>
                </w:tcPr>
                <w:p w14:paraId="5D7C06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钢制拖链</w:t>
                  </w:r>
                </w:p>
              </w:tc>
              <w:tc>
                <w:tcPr>
                  <w:tcW w:w="927" w:type="dxa"/>
                  <w:tcBorders>
                    <w:tl2br w:val="nil"/>
                    <w:tr2bl w:val="nil"/>
                  </w:tcBorders>
                  <w:vAlign w:val="center"/>
                </w:tcPr>
                <w:p w14:paraId="18474E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61AD35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条</w:t>
                  </w:r>
                </w:p>
              </w:tc>
              <w:tc>
                <w:tcPr>
                  <w:tcW w:w="869" w:type="dxa"/>
                  <w:tcBorders>
                    <w:tl2br w:val="nil"/>
                    <w:tr2bl w:val="nil"/>
                  </w:tcBorders>
                  <w:vAlign w:val="center"/>
                </w:tcPr>
                <w:p w14:paraId="4213A0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0DDBA9D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BF61F7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9EBDFF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684" w:type="dxa"/>
                  <w:vMerge w:val="continue"/>
                  <w:tcBorders>
                    <w:tl2br w:val="nil"/>
                    <w:tr2bl w:val="nil"/>
                  </w:tcBorders>
                  <w:vAlign w:val="center"/>
                </w:tcPr>
                <w:p w14:paraId="0B4F976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5D8E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14F4DD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210</w:t>
                  </w:r>
                </w:p>
              </w:tc>
              <w:tc>
                <w:tcPr>
                  <w:tcW w:w="1960" w:type="dxa"/>
                  <w:tcBorders>
                    <w:tl2br w:val="nil"/>
                    <w:tr2bl w:val="nil"/>
                  </w:tcBorders>
                  <w:vAlign w:val="center"/>
                </w:tcPr>
                <w:p w14:paraId="1D2B206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高压软管</w:t>
                  </w:r>
                </w:p>
              </w:tc>
              <w:tc>
                <w:tcPr>
                  <w:tcW w:w="927" w:type="dxa"/>
                  <w:tcBorders>
                    <w:tl2br w:val="nil"/>
                    <w:tr2bl w:val="nil"/>
                  </w:tcBorders>
                  <w:vAlign w:val="center"/>
                </w:tcPr>
                <w:p w14:paraId="0FDF820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480</w:t>
                  </w:r>
                </w:p>
              </w:tc>
              <w:tc>
                <w:tcPr>
                  <w:tcW w:w="738" w:type="dxa"/>
                  <w:tcBorders>
                    <w:tl2br w:val="nil"/>
                    <w:tr2bl w:val="nil"/>
                  </w:tcBorders>
                  <w:vAlign w:val="center"/>
                </w:tcPr>
                <w:p w14:paraId="67B2671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A043AA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85" w:type="dxa"/>
                  <w:tcBorders>
                    <w:tl2br w:val="nil"/>
                    <w:tr2bl w:val="nil"/>
                  </w:tcBorders>
                  <w:vAlign w:val="center"/>
                </w:tcPr>
                <w:p w14:paraId="43DB8C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22103AA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EEF4E1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684" w:type="dxa"/>
                  <w:vMerge w:val="continue"/>
                  <w:tcBorders>
                    <w:tl2br w:val="nil"/>
                    <w:tr2bl w:val="nil"/>
                  </w:tcBorders>
                  <w:vAlign w:val="center"/>
                </w:tcPr>
                <w:p w14:paraId="776CD33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4AE75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95560F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211</w:t>
                  </w:r>
                </w:p>
              </w:tc>
              <w:tc>
                <w:tcPr>
                  <w:tcW w:w="1960" w:type="dxa"/>
                  <w:tcBorders>
                    <w:tl2br w:val="nil"/>
                    <w:tr2bl w:val="nil"/>
                  </w:tcBorders>
                  <w:vAlign w:val="center"/>
                </w:tcPr>
                <w:p w14:paraId="0B7C0AC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双翼板链条</w:t>
                  </w:r>
                </w:p>
              </w:tc>
              <w:tc>
                <w:tcPr>
                  <w:tcW w:w="927" w:type="dxa"/>
                  <w:tcBorders>
                    <w:tl2br w:val="nil"/>
                    <w:tr2bl w:val="nil"/>
                  </w:tcBorders>
                  <w:vAlign w:val="center"/>
                </w:tcPr>
                <w:p w14:paraId="280CF6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7621DA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条</w:t>
                  </w:r>
                </w:p>
              </w:tc>
              <w:tc>
                <w:tcPr>
                  <w:tcW w:w="869" w:type="dxa"/>
                  <w:tcBorders>
                    <w:tl2br w:val="nil"/>
                    <w:tr2bl w:val="nil"/>
                  </w:tcBorders>
                  <w:vAlign w:val="center"/>
                </w:tcPr>
                <w:p w14:paraId="36E818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4133617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16BC58D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84CA4B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64AE6C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545C7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77817B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212</w:t>
                  </w:r>
                </w:p>
              </w:tc>
              <w:tc>
                <w:tcPr>
                  <w:tcW w:w="1960" w:type="dxa"/>
                  <w:tcBorders>
                    <w:tl2br w:val="nil"/>
                    <w:tr2bl w:val="nil"/>
                  </w:tcBorders>
                  <w:vAlign w:val="center"/>
                </w:tcPr>
                <w:p w14:paraId="27D0DA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B系列内置弹簧式搭扣[PGXB-A]</w:t>
                  </w:r>
                </w:p>
              </w:tc>
              <w:tc>
                <w:tcPr>
                  <w:tcW w:w="927" w:type="dxa"/>
                  <w:tcBorders>
                    <w:tl2br w:val="nil"/>
                    <w:tr2bl w:val="nil"/>
                  </w:tcBorders>
                  <w:vAlign w:val="center"/>
                </w:tcPr>
                <w:p w14:paraId="223E47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720</w:t>
                  </w:r>
                </w:p>
              </w:tc>
              <w:tc>
                <w:tcPr>
                  <w:tcW w:w="738" w:type="dxa"/>
                  <w:tcBorders>
                    <w:tl2br w:val="nil"/>
                    <w:tr2bl w:val="nil"/>
                  </w:tcBorders>
                  <w:vAlign w:val="center"/>
                </w:tcPr>
                <w:p w14:paraId="7B8C81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0ED8AE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85" w:type="dxa"/>
                  <w:tcBorders>
                    <w:tl2br w:val="nil"/>
                    <w:tr2bl w:val="nil"/>
                  </w:tcBorders>
                  <w:vAlign w:val="center"/>
                </w:tcPr>
                <w:p w14:paraId="58D2A4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06ED9C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A5BED1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31E5A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6FB3B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3A25C5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213</w:t>
                  </w:r>
                </w:p>
              </w:tc>
              <w:tc>
                <w:tcPr>
                  <w:tcW w:w="1960" w:type="dxa"/>
                  <w:tcBorders>
                    <w:tl2br w:val="nil"/>
                    <w:tr2bl w:val="nil"/>
                  </w:tcBorders>
                  <w:vAlign w:val="center"/>
                </w:tcPr>
                <w:p w14:paraId="40B9C7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瓦楞纸</w:t>
                  </w:r>
                </w:p>
              </w:tc>
              <w:tc>
                <w:tcPr>
                  <w:tcW w:w="927" w:type="dxa"/>
                  <w:tcBorders>
                    <w:tl2br w:val="nil"/>
                    <w:tr2bl w:val="nil"/>
                  </w:tcBorders>
                  <w:vAlign w:val="center"/>
                </w:tcPr>
                <w:p w14:paraId="28F86D8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800</w:t>
                  </w:r>
                </w:p>
              </w:tc>
              <w:tc>
                <w:tcPr>
                  <w:tcW w:w="738" w:type="dxa"/>
                  <w:tcBorders>
                    <w:tl2br w:val="nil"/>
                    <w:tr2bl w:val="nil"/>
                  </w:tcBorders>
                  <w:vAlign w:val="center"/>
                </w:tcPr>
                <w:p w14:paraId="59B6B35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D1FB4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118DE6C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1C27EF1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31CD37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10个/捆</w:t>
                  </w:r>
                </w:p>
              </w:tc>
              <w:tc>
                <w:tcPr>
                  <w:tcW w:w="684" w:type="dxa"/>
                  <w:tcBorders>
                    <w:tl2br w:val="nil"/>
                    <w:tr2bl w:val="nil"/>
                  </w:tcBorders>
                  <w:vAlign w:val="center"/>
                </w:tcPr>
                <w:p w14:paraId="31CE4D4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r>
            <w:tr w14:paraId="200A7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33356A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214</w:t>
                  </w:r>
                </w:p>
              </w:tc>
              <w:tc>
                <w:tcPr>
                  <w:tcW w:w="1960" w:type="dxa"/>
                  <w:tcBorders>
                    <w:tl2br w:val="nil"/>
                    <w:tr2bl w:val="nil"/>
                  </w:tcBorders>
                  <w:vAlign w:val="center"/>
                </w:tcPr>
                <w:p w14:paraId="61CD033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中压风机</w:t>
                  </w:r>
                </w:p>
              </w:tc>
              <w:tc>
                <w:tcPr>
                  <w:tcW w:w="927" w:type="dxa"/>
                  <w:tcBorders>
                    <w:tl2br w:val="nil"/>
                    <w:tr2bl w:val="nil"/>
                  </w:tcBorders>
                  <w:vAlign w:val="center"/>
                </w:tcPr>
                <w:p w14:paraId="6A22394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67CAF8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台</w:t>
                  </w:r>
                </w:p>
              </w:tc>
              <w:tc>
                <w:tcPr>
                  <w:tcW w:w="869" w:type="dxa"/>
                  <w:tcBorders>
                    <w:tl2br w:val="nil"/>
                    <w:tr2bl w:val="nil"/>
                  </w:tcBorders>
                  <w:vAlign w:val="center"/>
                </w:tcPr>
                <w:p w14:paraId="4F5316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0DE5C1C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51E0E1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9E4915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restart"/>
                  <w:tcBorders>
                    <w:tl2br w:val="nil"/>
                    <w:tr2bl w:val="nil"/>
                  </w:tcBorders>
                  <w:vAlign w:val="center"/>
                </w:tcPr>
                <w:p w14:paraId="3B2E61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sz w:val="21"/>
                      <w:szCs w:val="21"/>
                      <w:lang w:val="en-US" w:eastAsia="zh-CN"/>
                    </w:rPr>
                    <w:t>根据客户需求</w:t>
                  </w:r>
                  <w:r>
                    <w:rPr>
                      <w:rFonts w:hint="eastAsia" w:ascii="Times New Roman" w:hAnsi="Times New Roman" w:cs="Times New Roman"/>
                      <w:b w:val="0"/>
                      <w:bCs/>
                      <w:color w:val="auto"/>
                      <w:sz w:val="21"/>
                      <w:szCs w:val="21"/>
                      <w:lang w:val="en-US" w:eastAsia="zh-CN"/>
                    </w:rPr>
                    <w:t>委外</w:t>
                  </w:r>
                  <w:r>
                    <w:rPr>
                      <w:rFonts w:hint="default" w:ascii="Times New Roman" w:hAnsi="Times New Roman" w:cs="Times New Roman"/>
                      <w:b w:val="0"/>
                      <w:bCs/>
                      <w:color w:val="auto"/>
                      <w:lang w:val="en-US" w:eastAsia="zh-CN"/>
                    </w:rPr>
                    <w:t>定制</w:t>
                  </w:r>
                </w:p>
              </w:tc>
            </w:tr>
            <w:tr w14:paraId="3F999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9D60E3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215</w:t>
                  </w:r>
                </w:p>
              </w:tc>
              <w:tc>
                <w:tcPr>
                  <w:tcW w:w="1960" w:type="dxa"/>
                  <w:tcBorders>
                    <w:tl2br w:val="nil"/>
                    <w:tr2bl w:val="nil"/>
                  </w:tcBorders>
                  <w:vAlign w:val="center"/>
                </w:tcPr>
                <w:p w14:paraId="7B2967E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导轨SS承轨式直线轴承</w:t>
                  </w:r>
                </w:p>
              </w:tc>
              <w:tc>
                <w:tcPr>
                  <w:tcW w:w="927" w:type="dxa"/>
                  <w:tcBorders>
                    <w:tl2br w:val="nil"/>
                    <w:tr2bl w:val="nil"/>
                  </w:tcBorders>
                  <w:vAlign w:val="center"/>
                </w:tcPr>
                <w:p w14:paraId="7200095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160</w:t>
                  </w:r>
                </w:p>
              </w:tc>
              <w:tc>
                <w:tcPr>
                  <w:tcW w:w="738" w:type="dxa"/>
                  <w:tcBorders>
                    <w:tl2br w:val="nil"/>
                    <w:tr2bl w:val="nil"/>
                  </w:tcBorders>
                  <w:vAlign w:val="center"/>
                </w:tcPr>
                <w:p w14:paraId="457CCD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条</w:t>
                  </w:r>
                </w:p>
              </w:tc>
              <w:tc>
                <w:tcPr>
                  <w:tcW w:w="869" w:type="dxa"/>
                  <w:tcBorders>
                    <w:tl2br w:val="nil"/>
                    <w:tr2bl w:val="nil"/>
                  </w:tcBorders>
                  <w:vAlign w:val="center"/>
                </w:tcPr>
                <w:p w14:paraId="335C98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85" w:type="dxa"/>
                  <w:tcBorders>
                    <w:tl2br w:val="nil"/>
                    <w:tr2bl w:val="nil"/>
                  </w:tcBorders>
                  <w:vAlign w:val="center"/>
                </w:tcPr>
                <w:p w14:paraId="59CB4F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7DD3F6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E5ACD7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20952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30FDC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3DCB957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216</w:t>
                  </w:r>
                </w:p>
              </w:tc>
              <w:tc>
                <w:tcPr>
                  <w:tcW w:w="1960" w:type="dxa"/>
                  <w:tcBorders>
                    <w:tl2br w:val="nil"/>
                    <w:tr2bl w:val="nil"/>
                  </w:tcBorders>
                  <w:vAlign w:val="center"/>
                </w:tcPr>
                <w:p w14:paraId="45C6D01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风刀减速机链轮</w:t>
                  </w:r>
                </w:p>
              </w:tc>
              <w:tc>
                <w:tcPr>
                  <w:tcW w:w="927" w:type="dxa"/>
                  <w:tcBorders>
                    <w:tl2br w:val="nil"/>
                    <w:tr2bl w:val="nil"/>
                  </w:tcBorders>
                  <w:vAlign w:val="center"/>
                </w:tcPr>
                <w:p w14:paraId="633161B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19D8572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D3E67C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7704BD6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03583F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CF0C13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0B10C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39940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F93FE5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217</w:t>
                  </w:r>
                </w:p>
              </w:tc>
              <w:tc>
                <w:tcPr>
                  <w:tcW w:w="1960" w:type="dxa"/>
                  <w:tcBorders>
                    <w:tl2br w:val="nil"/>
                    <w:tr2bl w:val="nil"/>
                  </w:tcBorders>
                  <w:vAlign w:val="center"/>
                </w:tcPr>
                <w:p w14:paraId="2E46F0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304短半径90°弯头</w:t>
                  </w:r>
                </w:p>
              </w:tc>
              <w:tc>
                <w:tcPr>
                  <w:tcW w:w="927" w:type="dxa"/>
                  <w:tcBorders>
                    <w:tl2br w:val="nil"/>
                    <w:tr2bl w:val="nil"/>
                  </w:tcBorders>
                  <w:vAlign w:val="center"/>
                </w:tcPr>
                <w:p w14:paraId="2AA2AF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29A35D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31518D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36B00AB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5B96F20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6ED467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895DB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33C9A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A42832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218</w:t>
                  </w:r>
                </w:p>
              </w:tc>
              <w:tc>
                <w:tcPr>
                  <w:tcW w:w="1960" w:type="dxa"/>
                  <w:tcBorders>
                    <w:tl2br w:val="nil"/>
                    <w:tr2bl w:val="nil"/>
                  </w:tcBorders>
                  <w:vAlign w:val="center"/>
                </w:tcPr>
                <w:p w14:paraId="1C54C8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齿条</w:t>
                  </w:r>
                </w:p>
              </w:tc>
              <w:tc>
                <w:tcPr>
                  <w:tcW w:w="927" w:type="dxa"/>
                  <w:tcBorders>
                    <w:tl2br w:val="nil"/>
                    <w:tr2bl w:val="nil"/>
                  </w:tcBorders>
                  <w:vAlign w:val="center"/>
                </w:tcPr>
                <w:p w14:paraId="1378D0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0E5FD1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条</w:t>
                  </w:r>
                </w:p>
              </w:tc>
              <w:tc>
                <w:tcPr>
                  <w:tcW w:w="869" w:type="dxa"/>
                  <w:tcBorders>
                    <w:tl2br w:val="nil"/>
                    <w:tr2bl w:val="nil"/>
                  </w:tcBorders>
                  <w:vAlign w:val="center"/>
                </w:tcPr>
                <w:p w14:paraId="2986F49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607BF69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87483E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7C74B59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20F006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39EF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5D223F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219</w:t>
                  </w:r>
                </w:p>
              </w:tc>
              <w:tc>
                <w:tcPr>
                  <w:tcW w:w="1960" w:type="dxa"/>
                  <w:tcBorders>
                    <w:tl2br w:val="nil"/>
                    <w:tr2bl w:val="nil"/>
                  </w:tcBorders>
                  <w:vAlign w:val="center"/>
                </w:tcPr>
                <w:p w14:paraId="10EACFD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304直接头</w:t>
                  </w:r>
                </w:p>
              </w:tc>
              <w:tc>
                <w:tcPr>
                  <w:tcW w:w="927" w:type="dxa"/>
                  <w:tcBorders>
                    <w:tl2br w:val="nil"/>
                    <w:tr2bl w:val="nil"/>
                  </w:tcBorders>
                  <w:vAlign w:val="center"/>
                </w:tcPr>
                <w:p w14:paraId="6008C9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680</w:t>
                  </w:r>
                </w:p>
              </w:tc>
              <w:tc>
                <w:tcPr>
                  <w:tcW w:w="738" w:type="dxa"/>
                  <w:tcBorders>
                    <w:tl2br w:val="nil"/>
                    <w:tr2bl w:val="nil"/>
                  </w:tcBorders>
                  <w:vAlign w:val="center"/>
                </w:tcPr>
                <w:p w14:paraId="63C85EF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75033D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7AFEFB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0311EF6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997455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AAF9A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B647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690F17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220</w:t>
                  </w:r>
                </w:p>
              </w:tc>
              <w:tc>
                <w:tcPr>
                  <w:tcW w:w="1960" w:type="dxa"/>
                  <w:tcBorders>
                    <w:tl2br w:val="nil"/>
                    <w:tr2bl w:val="nil"/>
                  </w:tcBorders>
                  <w:vAlign w:val="center"/>
                </w:tcPr>
                <w:p w14:paraId="224B6AA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单头外丝接头</w:t>
                  </w:r>
                </w:p>
              </w:tc>
              <w:tc>
                <w:tcPr>
                  <w:tcW w:w="927" w:type="dxa"/>
                  <w:tcBorders>
                    <w:tl2br w:val="nil"/>
                    <w:tr2bl w:val="nil"/>
                  </w:tcBorders>
                  <w:vAlign w:val="center"/>
                </w:tcPr>
                <w:p w14:paraId="0B5372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880</w:t>
                  </w:r>
                </w:p>
              </w:tc>
              <w:tc>
                <w:tcPr>
                  <w:tcW w:w="738" w:type="dxa"/>
                  <w:tcBorders>
                    <w:tl2br w:val="nil"/>
                    <w:tr2bl w:val="nil"/>
                  </w:tcBorders>
                  <w:vAlign w:val="center"/>
                </w:tcPr>
                <w:p w14:paraId="054E64E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CB678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5640C9D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0DC75E3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46F34B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1B1411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1DA06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BC632F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221</w:t>
                  </w:r>
                </w:p>
              </w:tc>
              <w:tc>
                <w:tcPr>
                  <w:tcW w:w="1960" w:type="dxa"/>
                  <w:tcBorders>
                    <w:tl2br w:val="nil"/>
                    <w:tr2bl w:val="nil"/>
                  </w:tcBorders>
                  <w:vAlign w:val="center"/>
                </w:tcPr>
                <w:p w14:paraId="5A50CCE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304内牙活接头</w:t>
                  </w:r>
                </w:p>
              </w:tc>
              <w:tc>
                <w:tcPr>
                  <w:tcW w:w="927" w:type="dxa"/>
                  <w:tcBorders>
                    <w:tl2br w:val="nil"/>
                    <w:tr2bl w:val="nil"/>
                  </w:tcBorders>
                  <w:vAlign w:val="center"/>
                </w:tcPr>
                <w:p w14:paraId="3E8E519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520</w:t>
                  </w:r>
                </w:p>
              </w:tc>
              <w:tc>
                <w:tcPr>
                  <w:tcW w:w="738" w:type="dxa"/>
                  <w:tcBorders>
                    <w:tl2br w:val="nil"/>
                    <w:tr2bl w:val="nil"/>
                  </w:tcBorders>
                  <w:vAlign w:val="center"/>
                </w:tcPr>
                <w:p w14:paraId="320C258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932A22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5334AE9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4300EF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97C853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4A8BB4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1FA3A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795A61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222</w:t>
                  </w:r>
                </w:p>
              </w:tc>
              <w:tc>
                <w:tcPr>
                  <w:tcW w:w="1960" w:type="dxa"/>
                  <w:tcBorders>
                    <w:tl2br w:val="nil"/>
                    <w:tr2bl w:val="nil"/>
                  </w:tcBorders>
                  <w:vAlign w:val="center"/>
                </w:tcPr>
                <w:p w14:paraId="55DA39E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六角螺纹短接头</w:t>
                  </w:r>
                </w:p>
              </w:tc>
              <w:tc>
                <w:tcPr>
                  <w:tcW w:w="927" w:type="dxa"/>
                  <w:tcBorders>
                    <w:tl2br w:val="nil"/>
                    <w:tr2bl w:val="nil"/>
                  </w:tcBorders>
                  <w:vAlign w:val="center"/>
                </w:tcPr>
                <w:p w14:paraId="63056A2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520</w:t>
                  </w:r>
                </w:p>
              </w:tc>
              <w:tc>
                <w:tcPr>
                  <w:tcW w:w="738" w:type="dxa"/>
                  <w:tcBorders>
                    <w:tl2br w:val="nil"/>
                    <w:tr2bl w:val="nil"/>
                  </w:tcBorders>
                  <w:vAlign w:val="center"/>
                </w:tcPr>
                <w:p w14:paraId="469DCF7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43E60B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100</w:t>
                  </w:r>
                </w:p>
              </w:tc>
              <w:tc>
                <w:tcPr>
                  <w:tcW w:w="785" w:type="dxa"/>
                  <w:tcBorders>
                    <w:tl2br w:val="nil"/>
                    <w:tr2bl w:val="nil"/>
                  </w:tcBorders>
                  <w:vAlign w:val="center"/>
                </w:tcPr>
                <w:p w14:paraId="2012F35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432800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9702F0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7B1B17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30B9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A30C11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223</w:t>
                  </w:r>
                </w:p>
              </w:tc>
              <w:tc>
                <w:tcPr>
                  <w:tcW w:w="1960" w:type="dxa"/>
                  <w:tcBorders>
                    <w:tl2br w:val="nil"/>
                    <w:tr2bl w:val="nil"/>
                  </w:tcBorders>
                  <w:vAlign w:val="center"/>
                </w:tcPr>
                <w:p w14:paraId="7692E13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电动调节阀</w:t>
                  </w:r>
                </w:p>
              </w:tc>
              <w:tc>
                <w:tcPr>
                  <w:tcW w:w="927" w:type="dxa"/>
                  <w:tcBorders>
                    <w:tl2br w:val="nil"/>
                    <w:tr2bl w:val="nil"/>
                  </w:tcBorders>
                  <w:vAlign w:val="center"/>
                </w:tcPr>
                <w:p w14:paraId="05F9B1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520</w:t>
                  </w:r>
                </w:p>
              </w:tc>
              <w:tc>
                <w:tcPr>
                  <w:tcW w:w="738" w:type="dxa"/>
                  <w:tcBorders>
                    <w:tl2br w:val="nil"/>
                    <w:tr2bl w:val="nil"/>
                  </w:tcBorders>
                  <w:vAlign w:val="center"/>
                </w:tcPr>
                <w:p w14:paraId="11C9E64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8D63BF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105</w:t>
                  </w:r>
                </w:p>
              </w:tc>
              <w:tc>
                <w:tcPr>
                  <w:tcW w:w="785" w:type="dxa"/>
                  <w:tcBorders>
                    <w:tl2br w:val="nil"/>
                    <w:tr2bl w:val="nil"/>
                  </w:tcBorders>
                  <w:vAlign w:val="center"/>
                </w:tcPr>
                <w:p w14:paraId="2DB08C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3AC6D55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8F3893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B577CA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448EB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588811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224</w:t>
                  </w:r>
                </w:p>
              </w:tc>
              <w:tc>
                <w:tcPr>
                  <w:tcW w:w="1960" w:type="dxa"/>
                  <w:tcBorders>
                    <w:tl2br w:val="nil"/>
                    <w:tr2bl w:val="nil"/>
                  </w:tcBorders>
                  <w:vAlign w:val="center"/>
                </w:tcPr>
                <w:p w14:paraId="108E4F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双头外丝加长型</w:t>
                  </w:r>
                </w:p>
              </w:tc>
              <w:tc>
                <w:tcPr>
                  <w:tcW w:w="927" w:type="dxa"/>
                  <w:tcBorders>
                    <w:tl2br w:val="nil"/>
                    <w:tr2bl w:val="nil"/>
                  </w:tcBorders>
                  <w:vAlign w:val="center"/>
                </w:tcPr>
                <w:p w14:paraId="5A69871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520</w:t>
                  </w:r>
                </w:p>
              </w:tc>
              <w:tc>
                <w:tcPr>
                  <w:tcW w:w="738" w:type="dxa"/>
                  <w:tcBorders>
                    <w:tl2br w:val="nil"/>
                    <w:tr2bl w:val="nil"/>
                  </w:tcBorders>
                  <w:vAlign w:val="center"/>
                </w:tcPr>
                <w:p w14:paraId="1AF835C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6CA31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105</w:t>
                  </w:r>
                </w:p>
              </w:tc>
              <w:tc>
                <w:tcPr>
                  <w:tcW w:w="785" w:type="dxa"/>
                  <w:tcBorders>
                    <w:tl2br w:val="nil"/>
                    <w:tr2bl w:val="nil"/>
                  </w:tcBorders>
                  <w:vAlign w:val="center"/>
                </w:tcPr>
                <w:p w14:paraId="49B2443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袋装</w:t>
                  </w:r>
                </w:p>
              </w:tc>
              <w:tc>
                <w:tcPr>
                  <w:tcW w:w="968" w:type="dxa"/>
                  <w:tcBorders>
                    <w:tl2br w:val="nil"/>
                    <w:tr2bl w:val="nil"/>
                  </w:tcBorders>
                  <w:vAlign w:val="center"/>
                </w:tcPr>
                <w:p w14:paraId="31D6231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B5B0A5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3721498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E475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B272BB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225</w:t>
                  </w:r>
                </w:p>
              </w:tc>
              <w:tc>
                <w:tcPr>
                  <w:tcW w:w="1960" w:type="dxa"/>
                  <w:tcBorders>
                    <w:tl2br w:val="nil"/>
                    <w:tr2bl w:val="nil"/>
                  </w:tcBorders>
                  <w:vAlign w:val="center"/>
                </w:tcPr>
                <w:p w14:paraId="3511CFF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角座阀</w:t>
                  </w:r>
                </w:p>
              </w:tc>
              <w:tc>
                <w:tcPr>
                  <w:tcW w:w="927" w:type="dxa"/>
                  <w:tcBorders>
                    <w:tl2br w:val="nil"/>
                    <w:tr2bl w:val="nil"/>
                  </w:tcBorders>
                  <w:vAlign w:val="center"/>
                </w:tcPr>
                <w:p w14:paraId="2079438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520</w:t>
                  </w:r>
                </w:p>
              </w:tc>
              <w:tc>
                <w:tcPr>
                  <w:tcW w:w="738" w:type="dxa"/>
                  <w:tcBorders>
                    <w:tl2br w:val="nil"/>
                    <w:tr2bl w:val="nil"/>
                  </w:tcBorders>
                  <w:vAlign w:val="center"/>
                </w:tcPr>
                <w:p w14:paraId="6635F7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AD6F63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105</w:t>
                  </w:r>
                </w:p>
              </w:tc>
              <w:tc>
                <w:tcPr>
                  <w:tcW w:w="785" w:type="dxa"/>
                  <w:tcBorders>
                    <w:tl2br w:val="nil"/>
                    <w:tr2bl w:val="nil"/>
                  </w:tcBorders>
                  <w:vAlign w:val="center"/>
                </w:tcPr>
                <w:p w14:paraId="1E37A7F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箱装</w:t>
                  </w:r>
                </w:p>
              </w:tc>
              <w:tc>
                <w:tcPr>
                  <w:tcW w:w="968" w:type="dxa"/>
                  <w:tcBorders>
                    <w:tl2br w:val="nil"/>
                    <w:tr2bl w:val="nil"/>
                  </w:tcBorders>
                  <w:vAlign w:val="center"/>
                </w:tcPr>
                <w:p w14:paraId="426F7E0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EBD9E8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BB72F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6D7E1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D737EC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226</w:t>
                  </w:r>
                </w:p>
              </w:tc>
              <w:tc>
                <w:tcPr>
                  <w:tcW w:w="1960" w:type="dxa"/>
                  <w:tcBorders>
                    <w:tl2br w:val="nil"/>
                    <w:tr2bl w:val="nil"/>
                  </w:tcBorders>
                  <w:vAlign w:val="center"/>
                </w:tcPr>
                <w:p w14:paraId="298DE3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上风机</w:t>
                  </w:r>
                </w:p>
              </w:tc>
              <w:tc>
                <w:tcPr>
                  <w:tcW w:w="927" w:type="dxa"/>
                  <w:tcBorders>
                    <w:tl2br w:val="nil"/>
                    <w:tr2bl w:val="nil"/>
                  </w:tcBorders>
                  <w:vAlign w:val="center"/>
                </w:tcPr>
                <w:p w14:paraId="53E6A7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09BFBF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套</w:t>
                  </w:r>
                </w:p>
              </w:tc>
              <w:tc>
                <w:tcPr>
                  <w:tcW w:w="869" w:type="dxa"/>
                  <w:tcBorders>
                    <w:tl2br w:val="nil"/>
                    <w:tr2bl w:val="nil"/>
                  </w:tcBorders>
                  <w:vAlign w:val="center"/>
                </w:tcPr>
                <w:p w14:paraId="446AF92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17CDD46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244593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19BE67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C5B3F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1143F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8C0E18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227</w:t>
                  </w:r>
                </w:p>
              </w:tc>
              <w:tc>
                <w:tcPr>
                  <w:tcW w:w="1960" w:type="dxa"/>
                  <w:tcBorders>
                    <w:tl2br w:val="nil"/>
                    <w:tr2bl w:val="nil"/>
                  </w:tcBorders>
                  <w:vAlign w:val="center"/>
                </w:tcPr>
                <w:p w14:paraId="399D11F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橡胶软接头</w:t>
                  </w:r>
                </w:p>
              </w:tc>
              <w:tc>
                <w:tcPr>
                  <w:tcW w:w="927" w:type="dxa"/>
                  <w:tcBorders>
                    <w:tl2br w:val="nil"/>
                    <w:tr2bl w:val="nil"/>
                  </w:tcBorders>
                  <w:vAlign w:val="center"/>
                </w:tcPr>
                <w:p w14:paraId="0B21F20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80</w:t>
                  </w:r>
                </w:p>
              </w:tc>
              <w:tc>
                <w:tcPr>
                  <w:tcW w:w="738" w:type="dxa"/>
                  <w:tcBorders>
                    <w:tl2br w:val="nil"/>
                    <w:tr2bl w:val="nil"/>
                  </w:tcBorders>
                  <w:vAlign w:val="center"/>
                </w:tcPr>
                <w:p w14:paraId="71B3CC9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5E2B1A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85" w:type="dxa"/>
                  <w:tcBorders>
                    <w:tl2br w:val="nil"/>
                    <w:tr2bl w:val="nil"/>
                  </w:tcBorders>
                  <w:vAlign w:val="center"/>
                </w:tcPr>
                <w:p w14:paraId="4C0A690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5BA1159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12F3B9E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2659146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02547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2BDFF7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228</w:t>
                  </w:r>
                </w:p>
              </w:tc>
              <w:tc>
                <w:tcPr>
                  <w:tcW w:w="1960" w:type="dxa"/>
                  <w:tcBorders>
                    <w:tl2br w:val="nil"/>
                    <w:tr2bl w:val="nil"/>
                  </w:tcBorders>
                  <w:vAlign w:val="center"/>
                </w:tcPr>
                <w:p w14:paraId="2C94B6F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直通管接头</w:t>
                  </w:r>
                </w:p>
              </w:tc>
              <w:tc>
                <w:tcPr>
                  <w:tcW w:w="927" w:type="dxa"/>
                  <w:tcBorders>
                    <w:tl2br w:val="nil"/>
                    <w:tr2bl w:val="nil"/>
                  </w:tcBorders>
                  <w:vAlign w:val="center"/>
                </w:tcPr>
                <w:p w14:paraId="5EA1E08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1240</w:t>
                  </w:r>
                </w:p>
              </w:tc>
              <w:tc>
                <w:tcPr>
                  <w:tcW w:w="738" w:type="dxa"/>
                  <w:tcBorders>
                    <w:tl2br w:val="nil"/>
                    <w:tr2bl w:val="nil"/>
                  </w:tcBorders>
                  <w:vAlign w:val="center"/>
                </w:tcPr>
                <w:p w14:paraId="0B6CF2A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2B7AEB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310</w:t>
                  </w:r>
                </w:p>
              </w:tc>
              <w:tc>
                <w:tcPr>
                  <w:tcW w:w="785" w:type="dxa"/>
                  <w:tcBorders>
                    <w:tl2br w:val="nil"/>
                    <w:tr2bl w:val="nil"/>
                  </w:tcBorders>
                  <w:vAlign w:val="center"/>
                </w:tcPr>
                <w:p w14:paraId="67221A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6373BD3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4E5C7E6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55319B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6AEC7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139ADF4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229</w:t>
                  </w:r>
                </w:p>
              </w:tc>
              <w:tc>
                <w:tcPr>
                  <w:tcW w:w="1960" w:type="dxa"/>
                  <w:tcBorders>
                    <w:tl2br w:val="nil"/>
                    <w:tr2bl w:val="nil"/>
                  </w:tcBorders>
                  <w:vAlign w:val="center"/>
                </w:tcPr>
                <w:p w14:paraId="3979975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塑料管夹</w:t>
                  </w:r>
                </w:p>
              </w:tc>
              <w:tc>
                <w:tcPr>
                  <w:tcW w:w="927" w:type="dxa"/>
                  <w:tcBorders>
                    <w:tl2br w:val="nil"/>
                    <w:tr2bl w:val="nil"/>
                  </w:tcBorders>
                  <w:vAlign w:val="center"/>
                </w:tcPr>
                <w:p w14:paraId="4DB7C8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240</w:t>
                  </w:r>
                </w:p>
              </w:tc>
              <w:tc>
                <w:tcPr>
                  <w:tcW w:w="738" w:type="dxa"/>
                  <w:tcBorders>
                    <w:tl2br w:val="nil"/>
                    <w:tr2bl w:val="nil"/>
                  </w:tcBorders>
                  <w:vAlign w:val="center"/>
                </w:tcPr>
                <w:p w14:paraId="59D7465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681512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60</w:t>
                  </w:r>
                </w:p>
              </w:tc>
              <w:tc>
                <w:tcPr>
                  <w:tcW w:w="785" w:type="dxa"/>
                  <w:tcBorders>
                    <w:tl2br w:val="nil"/>
                    <w:tr2bl w:val="nil"/>
                  </w:tcBorders>
                  <w:vAlign w:val="center"/>
                </w:tcPr>
                <w:p w14:paraId="1179358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48883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3CDE462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66B77B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0C3B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35DB7F8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230</w:t>
                  </w:r>
                </w:p>
              </w:tc>
              <w:tc>
                <w:tcPr>
                  <w:tcW w:w="1960" w:type="dxa"/>
                  <w:tcBorders>
                    <w:tl2br w:val="nil"/>
                    <w:tr2bl w:val="nil"/>
                  </w:tcBorders>
                  <w:vAlign w:val="center"/>
                </w:tcPr>
                <w:p w14:paraId="05C12C2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焊接式三通管接头</w:t>
                  </w:r>
                </w:p>
              </w:tc>
              <w:tc>
                <w:tcPr>
                  <w:tcW w:w="927" w:type="dxa"/>
                  <w:tcBorders>
                    <w:tl2br w:val="nil"/>
                    <w:tr2bl w:val="nil"/>
                  </w:tcBorders>
                  <w:vAlign w:val="center"/>
                </w:tcPr>
                <w:p w14:paraId="7EAD33B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7B9F09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1F532C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79A05BA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3CA5A4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0CE7FB5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47C7AF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7C229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5DF7E5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231</w:t>
                  </w:r>
                </w:p>
              </w:tc>
              <w:tc>
                <w:tcPr>
                  <w:tcW w:w="1960" w:type="dxa"/>
                  <w:tcBorders>
                    <w:tl2br w:val="nil"/>
                    <w:tr2bl w:val="nil"/>
                  </w:tcBorders>
                  <w:vAlign w:val="center"/>
                </w:tcPr>
                <w:p w14:paraId="339265D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分流集流阀</w:t>
                  </w:r>
                </w:p>
              </w:tc>
              <w:tc>
                <w:tcPr>
                  <w:tcW w:w="927" w:type="dxa"/>
                  <w:tcBorders>
                    <w:tl2br w:val="nil"/>
                    <w:tr2bl w:val="nil"/>
                  </w:tcBorders>
                  <w:vAlign w:val="center"/>
                </w:tcPr>
                <w:p w14:paraId="4D23A5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120</w:t>
                  </w:r>
                </w:p>
              </w:tc>
              <w:tc>
                <w:tcPr>
                  <w:tcW w:w="738" w:type="dxa"/>
                  <w:tcBorders>
                    <w:tl2br w:val="nil"/>
                    <w:tr2bl w:val="nil"/>
                  </w:tcBorders>
                  <w:vAlign w:val="center"/>
                </w:tcPr>
                <w:p w14:paraId="21521DC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个</w:t>
                  </w:r>
                </w:p>
              </w:tc>
              <w:tc>
                <w:tcPr>
                  <w:tcW w:w="869" w:type="dxa"/>
                  <w:tcBorders>
                    <w:tl2br w:val="nil"/>
                    <w:tr2bl w:val="nil"/>
                  </w:tcBorders>
                  <w:vAlign w:val="center"/>
                </w:tcPr>
                <w:p w14:paraId="296E35B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w:t>
                  </w:r>
                </w:p>
              </w:tc>
              <w:tc>
                <w:tcPr>
                  <w:tcW w:w="785" w:type="dxa"/>
                  <w:tcBorders>
                    <w:tl2br w:val="nil"/>
                    <w:tr2bl w:val="nil"/>
                  </w:tcBorders>
                  <w:vAlign w:val="center"/>
                </w:tcPr>
                <w:p w14:paraId="3D7545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盒装</w:t>
                  </w:r>
                </w:p>
              </w:tc>
              <w:tc>
                <w:tcPr>
                  <w:tcW w:w="968" w:type="dxa"/>
                  <w:tcBorders>
                    <w:tl2br w:val="nil"/>
                    <w:tr2bl w:val="nil"/>
                  </w:tcBorders>
                  <w:vAlign w:val="center"/>
                </w:tcPr>
                <w:p w14:paraId="51B7813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54C7729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483493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34590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46F609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232</w:t>
                  </w:r>
                </w:p>
              </w:tc>
              <w:tc>
                <w:tcPr>
                  <w:tcW w:w="1960" w:type="dxa"/>
                  <w:tcBorders>
                    <w:tl2br w:val="nil"/>
                    <w:tr2bl w:val="nil"/>
                  </w:tcBorders>
                  <w:vAlign w:val="center"/>
                </w:tcPr>
                <w:p w14:paraId="2B9A6D4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油管</w:t>
                  </w:r>
                </w:p>
              </w:tc>
              <w:tc>
                <w:tcPr>
                  <w:tcW w:w="927" w:type="dxa"/>
                  <w:tcBorders>
                    <w:tl2br w:val="nil"/>
                    <w:tr2bl w:val="nil"/>
                  </w:tcBorders>
                  <w:vAlign w:val="center"/>
                </w:tcPr>
                <w:p w14:paraId="7EC5E3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880</w:t>
                  </w:r>
                </w:p>
              </w:tc>
              <w:tc>
                <w:tcPr>
                  <w:tcW w:w="738" w:type="dxa"/>
                  <w:tcBorders>
                    <w:tl2br w:val="nil"/>
                    <w:tr2bl w:val="nil"/>
                  </w:tcBorders>
                  <w:vAlign w:val="center"/>
                </w:tcPr>
                <w:p w14:paraId="328AF33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条</w:t>
                  </w:r>
                </w:p>
              </w:tc>
              <w:tc>
                <w:tcPr>
                  <w:tcW w:w="869" w:type="dxa"/>
                  <w:tcBorders>
                    <w:tl2br w:val="nil"/>
                    <w:tr2bl w:val="nil"/>
                  </w:tcBorders>
                  <w:vAlign w:val="center"/>
                </w:tcPr>
                <w:p w14:paraId="3EE3280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220</w:t>
                  </w:r>
                </w:p>
              </w:tc>
              <w:tc>
                <w:tcPr>
                  <w:tcW w:w="785" w:type="dxa"/>
                  <w:tcBorders>
                    <w:tl2br w:val="nil"/>
                    <w:tr2bl w:val="nil"/>
                  </w:tcBorders>
                  <w:vAlign w:val="center"/>
                </w:tcPr>
                <w:p w14:paraId="73C47DB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扎捆</w:t>
                  </w:r>
                </w:p>
              </w:tc>
              <w:tc>
                <w:tcPr>
                  <w:tcW w:w="968" w:type="dxa"/>
                  <w:tcBorders>
                    <w:tl2br w:val="nil"/>
                    <w:tr2bl w:val="nil"/>
                  </w:tcBorders>
                  <w:vAlign w:val="center"/>
                </w:tcPr>
                <w:p w14:paraId="48750C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2AC0248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2602089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566F6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F183EB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233</w:t>
                  </w:r>
                </w:p>
              </w:tc>
              <w:tc>
                <w:tcPr>
                  <w:tcW w:w="1960" w:type="dxa"/>
                  <w:tcBorders>
                    <w:tl2br w:val="nil"/>
                    <w:tr2bl w:val="nil"/>
                  </w:tcBorders>
                  <w:vAlign w:val="center"/>
                </w:tcPr>
                <w:p w14:paraId="461787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液压站</w:t>
                  </w:r>
                </w:p>
              </w:tc>
              <w:tc>
                <w:tcPr>
                  <w:tcW w:w="927" w:type="dxa"/>
                  <w:tcBorders>
                    <w:tl2br w:val="nil"/>
                    <w:tr2bl w:val="nil"/>
                  </w:tcBorders>
                  <w:vAlign w:val="center"/>
                </w:tcPr>
                <w:p w14:paraId="44A9CC8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40</w:t>
                  </w:r>
                </w:p>
              </w:tc>
              <w:tc>
                <w:tcPr>
                  <w:tcW w:w="738" w:type="dxa"/>
                  <w:tcBorders>
                    <w:tl2br w:val="nil"/>
                    <w:tr2bl w:val="nil"/>
                  </w:tcBorders>
                  <w:vAlign w:val="center"/>
                </w:tcPr>
                <w:p w14:paraId="6B1578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套</w:t>
                  </w:r>
                </w:p>
              </w:tc>
              <w:tc>
                <w:tcPr>
                  <w:tcW w:w="869" w:type="dxa"/>
                  <w:tcBorders>
                    <w:tl2br w:val="nil"/>
                    <w:tr2bl w:val="nil"/>
                  </w:tcBorders>
                  <w:vAlign w:val="center"/>
                </w:tcPr>
                <w:p w14:paraId="02E2939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w:t>
                  </w:r>
                </w:p>
              </w:tc>
              <w:tc>
                <w:tcPr>
                  <w:tcW w:w="785" w:type="dxa"/>
                  <w:tcBorders>
                    <w:tl2br w:val="nil"/>
                    <w:tr2bl w:val="nil"/>
                  </w:tcBorders>
                  <w:vAlign w:val="center"/>
                </w:tcPr>
                <w:p w14:paraId="7DEE643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堆放</w:t>
                  </w:r>
                </w:p>
              </w:tc>
              <w:tc>
                <w:tcPr>
                  <w:tcW w:w="968" w:type="dxa"/>
                  <w:tcBorders>
                    <w:tl2br w:val="nil"/>
                    <w:tr2bl w:val="nil"/>
                  </w:tcBorders>
                  <w:vAlign w:val="center"/>
                </w:tcPr>
                <w:p w14:paraId="1A25761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固态</w:t>
                  </w:r>
                </w:p>
              </w:tc>
              <w:tc>
                <w:tcPr>
                  <w:tcW w:w="1071" w:type="dxa"/>
                  <w:tcBorders>
                    <w:tl2br w:val="nil"/>
                    <w:tr2bl w:val="nil"/>
                  </w:tcBorders>
                  <w:vAlign w:val="center"/>
                </w:tcPr>
                <w:p w14:paraId="643E57D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0B4B06E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p>
              </w:tc>
            </w:tr>
            <w:tr w14:paraId="20B59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2CD485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234</w:t>
                  </w:r>
                </w:p>
              </w:tc>
              <w:tc>
                <w:tcPr>
                  <w:tcW w:w="1960" w:type="dxa"/>
                  <w:tcBorders>
                    <w:tl2br w:val="nil"/>
                    <w:tr2bl w:val="nil"/>
                  </w:tcBorders>
                  <w:vAlign w:val="center"/>
                </w:tcPr>
                <w:p w14:paraId="112A254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BB双列深沟球轴承</w:t>
                  </w:r>
                </w:p>
              </w:tc>
              <w:tc>
                <w:tcPr>
                  <w:tcW w:w="927" w:type="dxa"/>
                  <w:tcBorders>
                    <w:tl2br w:val="nil"/>
                    <w:tr2bl w:val="nil"/>
                  </w:tcBorders>
                  <w:vAlign w:val="center"/>
                </w:tcPr>
                <w:p w14:paraId="71FFCEB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456</w:t>
                  </w:r>
                </w:p>
              </w:tc>
              <w:tc>
                <w:tcPr>
                  <w:tcW w:w="738" w:type="dxa"/>
                  <w:tcBorders>
                    <w:tl2br w:val="nil"/>
                    <w:tr2bl w:val="nil"/>
                  </w:tcBorders>
                  <w:vAlign w:val="center"/>
                </w:tcPr>
                <w:p w14:paraId="66A697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03194A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50</w:t>
                  </w:r>
                </w:p>
              </w:tc>
              <w:tc>
                <w:tcPr>
                  <w:tcW w:w="785" w:type="dxa"/>
                  <w:tcBorders>
                    <w:tl2br w:val="nil"/>
                    <w:tr2bl w:val="nil"/>
                  </w:tcBorders>
                  <w:vAlign w:val="center"/>
                </w:tcPr>
                <w:p w14:paraId="630111C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堆放</w:t>
                  </w:r>
                </w:p>
              </w:tc>
              <w:tc>
                <w:tcPr>
                  <w:tcW w:w="968" w:type="dxa"/>
                  <w:tcBorders>
                    <w:tl2br w:val="nil"/>
                    <w:tr2bl w:val="nil"/>
                  </w:tcBorders>
                  <w:vAlign w:val="center"/>
                </w:tcPr>
                <w:p w14:paraId="77B336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39CEA75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1C12EF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1D6A6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72AC4F3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235</w:t>
                  </w:r>
                </w:p>
              </w:tc>
              <w:tc>
                <w:tcPr>
                  <w:tcW w:w="1960" w:type="dxa"/>
                  <w:tcBorders>
                    <w:tl2br w:val="nil"/>
                    <w:tr2bl w:val="nil"/>
                  </w:tcBorders>
                  <w:vAlign w:val="center"/>
                </w:tcPr>
                <w:p w14:paraId="2B9B95F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包胶滚筒</w:t>
                  </w:r>
                </w:p>
              </w:tc>
              <w:tc>
                <w:tcPr>
                  <w:tcW w:w="927" w:type="dxa"/>
                  <w:tcBorders>
                    <w:tl2br w:val="nil"/>
                    <w:tr2bl w:val="nil"/>
                  </w:tcBorders>
                  <w:vAlign w:val="center"/>
                </w:tcPr>
                <w:p w14:paraId="6CEA854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4066</w:t>
                  </w:r>
                </w:p>
              </w:tc>
              <w:tc>
                <w:tcPr>
                  <w:tcW w:w="738" w:type="dxa"/>
                  <w:tcBorders>
                    <w:tl2br w:val="nil"/>
                    <w:tr2bl w:val="nil"/>
                  </w:tcBorders>
                  <w:vAlign w:val="center"/>
                </w:tcPr>
                <w:p w14:paraId="1791952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4A5196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500</w:t>
                  </w:r>
                </w:p>
              </w:tc>
              <w:tc>
                <w:tcPr>
                  <w:tcW w:w="785" w:type="dxa"/>
                  <w:tcBorders>
                    <w:tl2br w:val="nil"/>
                    <w:tr2bl w:val="nil"/>
                  </w:tcBorders>
                  <w:vAlign w:val="center"/>
                </w:tcPr>
                <w:p w14:paraId="5E2E9F5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扎捆</w:t>
                  </w:r>
                </w:p>
              </w:tc>
              <w:tc>
                <w:tcPr>
                  <w:tcW w:w="968" w:type="dxa"/>
                  <w:tcBorders>
                    <w:tl2br w:val="nil"/>
                    <w:tr2bl w:val="nil"/>
                  </w:tcBorders>
                  <w:vAlign w:val="center"/>
                </w:tcPr>
                <w:p w14:paraId="255B09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1E899B6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0638A57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43A89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D6047F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236</w:t>
                  </w:r>
                </w:p>
              </w:tc>
              <w:tc>
                <w:tcPr>
                  <w:tcW w:w="1960" w:type="dxa"/>
                  <w:tcBorders>
                    <w:tl2br w:val="nil"/>
                    <w:tr2bl w:val="nil"/>
                  </w:tcBorders>
                  <w:vAlign w:val="center"/>
                </w:tcPr>
                <w:p w14:paraId="61B7EFE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编码器</w:t>
                  </w:r>
                </w:p>
              </w:tc>
              <w:tc>
                <w:tcPr>
                  <w:tcW w:w="927" w:type="dxa"/>
                  <w:tcBorders>
                    <w:tl2br w:val="nil"/>
                    <w:tr2bl w:val="nil"/>
                  </w:tcBorders>
                  <w:vAlign w:val="center"/>
                </w:tcPr>
                <w:p w14:paraId="5DA2E78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76</w:t>
                  </w:r>
                </w:p>
              </w:tc>
              <w:tc>
                <w:tcPr>
                  <w:tcW w:w="738" w:type="dxa"/>
                  <w:tcBorders>
                    <w:tl2br w:val="nil"/>
                    <w:tr2bl w:val="nil"/>
                  </w:tcBorders>
                  <w:vAlign w:val="center"/>
                </w:tcPr>
                <w:p w14:paraId="3FCB727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043409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w:t>
                  </w:r>
                </w:p>
              </w:tc>
              <w:tc>
                <w:tcPr>
                  <w:tcW w:w="785" w:type="dxa"/>
                  <w:tcBorders>
                    <w:tl2br w:val="nil"/>
                    <w:tr2bl w:val="nil"/>
                  </w:tcBorders>
                  <w:vAlign w:val="center"/>
                </w:tcPr>
                <w:p w14:paraId="7EA47D2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5C7BC3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6E8A9A4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6527180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6741A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CD8AED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237</w:t>
                  </w:r>
                </w:p>
              </w:tc>
              <w:tc>
                <w:tcPr>
                  <w:tcW w:w="1960" w:type="dxa"/>
                  <w:tcBorders>
                    <w:tl2br w:val="nil"/>
                    <w:tr2bl w:val="nil"/>
                  </w:tcBorders>
                  <w:vAlign w:val="center"/>
                </w:tcPr>
                <w:p w14:paraId="22D68B0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齿轮</w:t>
                  </w:r>
                </w:p>
              </w:tc>
              <w:tc>
                <w:tcPr>
                  <w:tcW w:w="927" w:type="dxa"/>
                  <w:tcBorders>
                    <w:tl2br w:val="nil"/>
                    <w:tr2bl w:val="nil"/>
                  </w:tcBorders>
                  <w:vAlign w:val="center"/>
                </w:tcPr>
                <w:p w14:paraId="5626A30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76</w:t>
                  </w:r>
                </w:p>
              </w:tc>
              <w:tc>
                <w:tcPr>
                  <w:tcW w:w="738" w:type="dxa"/>
                  <w:tcBorders>
                    <w:tl2br w:val="nil"/>
                    <w:tr2bl w:val="nil"/>
                  </w:tcBorders>
                  <w:vAlign w:val="center"/>
                </w:tcPr>
                <w:p w14:paraId="3BF50C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6280E0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w:t>
                  </w:r>
                </w:p>
              </w:tc>
              <w:tc>
                <w:tcPr>
                  <w:tcW w:w="785" w:type="dxa"/>
                  <w:tcBorders>
                    <w:tl2br w:val="nil"/>
                    <w:tr2bl w:val="nil"/>
                  </w:tcBorders>
                  <w:vAlign w:val="center"/>
                </w:tcPr>
                <w:p w14:paraId="09AACD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袋装</w:t>
                  </w:r>
                </w:p>
              </w:tc>
              <w:tc>
                <w:tcPr>
                  <w:tcW w:w="968" w:type="dxa"/>
                  <w:tcBorders>
                    <w:tl2br w:val="nil"/>
                    <w:tr2bl w:val="nil"/>
                  </w:tcBorders>
                  <w:vAlign w:val="center"/>
                </w:tcPr>
                <w:p w14:paraId="5A1739E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18AF501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3334B5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7E4C8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6D2113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238</w:t>
                  </w:r>
                </w:p>
              </w:tc>
              <w:tc>
                <w:tcPr>
                  <w:tcW w:w="1960" w:type="dxa"/>
                  <w:tcBorders>
                    <w:tl2br w:val="nil"/>
                    <w:tr2bl w:val="nil"/>
                  </w:tcBorders>
                  <w:vAlign w:val="center"/>
                </w:tcPr>
                <w:p w14:paraId="467DEB0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传动齿轮</w:t>
                  </w:r>
                </w:p>
              </w:tc>
              <w:tc>
                <w:tcPr>
                  <w:tcW w:w="927" w:type="dxa"/>
                  <w:tcBorders>
                    <w:tl2br w:val="nil"/>
                    <w:tr2bl w:val="nil"/>
                  </w:tcBorders>
                  <w:vAlign w:val="center"/>
                </w:tcPr>
                <w:p w14:paraId="62FA6E5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3078</w:t>
                  </w:r>
                </w:p>
              </w:tc>
              <w:tc>
                <w:tcPr>
                  <w:tcW w:w="738" w:type="dxa"/>
                  <w:tcBorders>
                    <w:tl2br w:val="nil"/>
                    <w:tr2bl w:val="nil"/>
                  </w:tcBorders>
                  <w:vAlign w:val="center"/>
                </w:tcPr>
                <w:p w14:paraId="150DBDC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1708BE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500</w:t>
                  </w:r>
                </w:p>
              </w:tc>
              <w:tc>
                <w:tcPr>
                  <w:tcW w:w="785" w:type="dxa"/>
                  <w:tcBorders>
                    <w:tl2br w:val="nil"/>
                    <w:tr2bl w:val="nil"/>
                  </w:tcBorders>
                  <w:vAlign w:val="center"/>
                </w:tcPr>
                <w:p w14:paraId="645E09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袋装</w:t>
                  </w:r>
                </w:p>
              </w:tc>
              <w:tc>
                <w:tcPr>
                  <w:tcW w:w="968" w:type="dxa"/>
                  <w:tcBorders>
                    <w:tl2br w:val="nil"/>
                    <w:tr2bl w:val="nil"/>
                  </w:tcBorders>
                  <w:vAlign w:val="center"/>
                </w:tcPr>
                <w:p w14:paraId="0D4B41E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4BC58E2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sz w:val="21"/>
                      <w:szCs w:val="21"/>
                      <w:lang w:val="en-US" w:eastAsia="zh-CN"/>
                    </w:rPr>
                    <w:t>/</w:t>
                  </w:r>
                </w:p>
              </w:tc>
              <w:tc>
                <w:tcPr>
                  <w:tcW w:w="684" w:type="dxa"/>
                  <w:vMerge w:val="continue"/>
                  <w:tcBorders>
                    <w:tl2br w:val="nil"/>
                    <w:tr2bl w:val="nil"/>
                  </w:tcBorders>
                  <w:vAlign w:val="center"/>
                </w:tcPr>
                <w:p w14:paraId="7750F17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34548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8F6017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239</w:t>
                  </w:r>
                </w:p>
              </w:tc>
              <w:tc>
                <w:tcPr>
                  <w:tcW w:w="1960" w:type="dxa"/>
                  <w:tcBorders>
                    <w:tl2br w:val="nil"/>
                    <w:tr2bl w:val="nil"/>
                  </w:tcBorders>
                  <w:vAlign w:val="center"/>
                </w:tcPr>
                <w:p w14:paraId="3DEE19D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磁性开关</w:t>
                  </w:r>
                </w:p>
              </w:tc>
              <w:tc>
                <w:tcPr>
                  <w:tcW w:w="927" w:type="dxa"/>
                  <w:tcBorders>
                    <w:tl2br w:val="nil"/>
                    <w:tr2bl w:val="nil"/>
                  </w:tcBorders>
                  <w:vAlign w:val="center"/>
                </w:tcPr>
                <w:p w14:paraId="5755E4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2052</w:t>
                  </w:r>
                </w:p>
              </w:tc>
              <w:tc>
                <w:tcPr>
                  <w:tcW w:w="738" w:type="dxa"/>
                  <w:tcBorders>
                    <w:tl2br w:val="nil"/>
                    <w:tr2bl w:val="nil"/>
                  </w:tcBorders>
                  <w:vAlign w:val="center"/>
                </w:tcPr>
                <w:p w14:paraId="0C8F41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0098F0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200</w:t>
                  </w:r>
                </w:p>
              </w:tc>
              <w:tc>
                <w:tcPr>
                  <w:tcW w:w="785" w:type="dxa"/>
                  <w:tcBorders>
                    <w:tl2br w:val="nil"/>
                    <w:tr2bl w:val="nil"/>
                  </w:tcBorders>
                  <w:vAlign w:val="center"/>
                </w:tcPr>
                <w:p w14:paraId="43E61B8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袋装</w:t>
                  </w:r>
                </w:p>
              </w:tc>
              <w:tc>
                <w:tcPr>
                  <w:tcW w:w="968" w:type="dxa"/>
                  <w:tcBorders>
                    <w:tl2br w:val="nil"/>
                    <w:tr2bl w:val="nil"/>
                  </w:tcBorders>
                  <w:vAlign w:val="center"/>
                </w:tcPr>
                <w:p w14:paraId="12B9CA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751FE93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0497CE8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5401E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10E0C7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240</w:t>
                  </w:r>
                </w:p>
              </w:tc>
              <w:tc>
                <w:tcPr>
                  <w:tcW w:w="1960" w:type="dxa"/>
                  <w:tcBorders>
                    <w:tl2br w:val="nil"/>
                    <w:tr2bl w:val="nil"/>
                  </w:tcBorders>
                  <w:vAlign w:val="center"/>
                </w:tcPr>
                <w:p w14:paraId="29C9501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单排链轮</w:t>
                  </w:r>
                </w:p>
              </w:tc>
              <w:tc>
                <w:tcPr>
                  <w:tcW w:w="927" w:type="dxa"/>
                  <w:tcBorders>
                    <w:tl2br w:val="nil"/>
                    <w:tr2bl w:val="nil"/>
                  </w:tcBorders>
                  <w:vAlign w:val="center"/>
                </w:tcPr>
                <w:p w14:paraId="1D8409B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10602</w:t>
                  </w:r>
                </w:p>
              </w:tc>
              <w:tc>
                <w:tcPr>
                  <w:tcW w:w="738" w:type="dxa"/>
                  <w:tcBorders>
                    <w:tl2br w:val="nil"/>
                    <w:tr2bl w:val="nil"/>
                  </w:tcBorders>
                  <w:vAlign w:val="center"/>
                </w:tcPr>
                <w:p w14:paraId="19F7FF5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5425155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1000</w:t>
                  </w:r>
                </w:p>
              </w:tc>
              <w:tc>
                <w:tcPr>
                  <w:tcW w:w="785" w:type="dxa"/>
                  <w:tcBorders>
                    <w:tl2br w:val="nil"/>
                    <w:tr2bl w:val="nil"/>
                  </w:tcBorders>
                  <w:vAlign w:val="center"/>
                </w:tcPr>
                <w:p w14:paraId="064BED7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袋装</w:t>
                  </w:r>
                </w:p>
              </w:tc>
              <w:tc>
                <w:tcPr>
                  <w:tcW w:w="968" w:type="dxa"/>
                  <w:tcBorders>
                    <w:tl2br w:val="nil"/>
                    <w:tr2bl w:val="nil"/>
                  </w:tcBorders>
                  <w:vAlign w:val="center"/>
                </w:tcPr>
                <w:p w14:paraId="60EB039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70FF916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75E7DD0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6093C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EE108D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241</w:t>
                  </w:r>
                </w:p>
              </w:tc>
              <w:tc>
                <w:tcPr>
                  <w:tcW w:w="1960" w:type="dxa"/>
                  <w:tcBorders>
                    <w:tl2br w:val="nil"/>
                    <w:tr2bl w:val="nil"/>
                  </w:tcBorders>
                  <w:vAlign w:val="center"/>
                </w:tcPr>
                <w:p w14:paraId="4C79EB7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滚筒（镀锌）</w:t>
                  </w:r>
                </w:p>
              </w:tc>
              <w:tc>
                <w:tcPr>
                  <w:tcW w:w="927" w:type="dxa"/>
                  <w:tcBorders>
                    <w:tl2br w:val="nil"/>
                    <w:tr2bl w:val="nil"/>
                  </w:tcBorders>
                  <w:vAlign w:val="center"/>
                </w:tcPr>
                <w:p w14:paraId="766FBE5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3154</w:t>
                  </w:r>
                </w:p>
              </w:tc>
              <w:tc>
                <w:tcPr>
                  <w:tcW w:w="738" w:type="dxa"/>
                  <w:tcBorders>
                    <w:tl2br w:val="nil"/>
                    <w:tr2bl w:val="nil"/>
                  </w:tcBorders>
                  <w:vAlign w:val="center"/>
                </w:tcPr>
                <w:p w14:paraId="72D44F0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0781AB3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300</w:t>
                  </w:r>
                </w:p>
              </w:tc>
              <w:tc>
                <w:tcPr>
                  <w:tcW w:w="785" w:type="dxa"/>
                  <w:tcBorders>
                    <w:tl2br w:val="nil"/>
                    <w:tr2bl w:val="nil"/>
                  </w:tcBorders>
                  <w:vAlign w:val="center"/>
                </w:tcPr>
                <w:p w14:paraId="3BF09CF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堆放</w:t>
                  </w:r>
                </w:p>
              </w:tc>
              <w:tc>
                <w:tcPr>
                  <w:tcW w:w="968" w:type="dxa"/>
                  <w:tcBorders>
                    <w:tl2br w:val="nil"/>
                    <w:tr2bl w:val="nil"/>
                  </w:tcBorders>
                  <w:vAlign w:val="center"/>
                </w:tcPr>
                <w:p w14:paraId="1872ACD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353A68A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0D17B7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50AF2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EC34F3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242</w:t>
                  </w:r>
                </w:p>
              </w:tc>
              <w:tc>
                <w:tcPr>
                  <w:tcW w:w="1960" w:type="dxa"/>
                  <w:tcBorders>
                    <w:tl2br w:val="nil"/>
                    <w:tr2bl w:val="nil"/>
                  </w:tcBorders>
                  <w:vAlign w:val="center"/>
                </w:tcPr>
                <w:p w14:paraId="6B1AE2E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过桥气缸</w:t>
                  </w:r>
                </w:p>
              </w:tc>
              <w:tc>
                <w:tcPr>
                  <w:tcW w:w="927" w:type="dxa"/>
                  <w:tcBorders>
                    <w:tl2br w:val="nil"/>
                    <w:tr2bl w:val="nil"/>
                  </w:tcBorders>
                  <w:vAlign w:val="center"/>
                </w:tcPr>
                <w:p w14:paraId="5BFC9EF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1026</w:t>
                  </w:r>
                </w:p>
              </w:tc>
              <w:tc>
                <w:tcPr>
                  <w:tcW w:w="738" w:type="dxa"/>
                  <w:tcBorders>
                    <w:tl2br w:val="nil"/>
                    <w:tr2bl w:val="nil"/>
                  </w:tcBorders>
                  <w:vAlign w:val="center"/>
                </w:tcPr>
                <w:p w14:paraId="6D5C0E9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5F92EAF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50</w:t>
                  </w:r>
                </w:p>
              </w:tc>
              <w:tc>
                <w:tcPr>
                  <w:tcW w:w="785" w:type="dxa"/>
                  <w:tcBorders>
                    <w:tl2br w:val="nil"/>
                    <w:tr2bl w:val="nil"/>
                  </w:tcBorders>
                  <w:vAlign w:val="center"/>
                </w:tcPr>
                <w:p w14:paraId="04F1B62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箱装</w:t>
                  </w:r>
                </w:p>
              </w:tc>
              <w:tc>
                <w:tcPr>
                  <w:tcW w:w="968" w:type="dxa"/>
                  <w:tcBorders>
                    <w:tl2br w:val="nil"/>
                    <w:tr2bl w:val="nil"/>
                  </w:tcBorders>
                  <w:vAlign w:val="center"/>
                </w:tcPr>
                <w:p w14:paraId="358FD95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51D320D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0E261A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671AA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D858C3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243</w:t>
                  </w:r>
                </w:p>
              </w:tc>
              <w:tc>
                <w:tcPr>
                  <w:tcW w:w="1960" w:type="dxa"/>
                  <w:tcBorders>
                    <w:tl2br w:val="nil"/>
                    <w:tr2bl w:val="nil"/>
                  </w:tcBorders>
                  <w:vAlign w:val="center"/>
                </w:tcPr>
                <w:p w14:paraId="534688E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冷床液压站</w:t>
                  </w:r>
                </w:p>
              </w:tc>
              <w:tc>
                <w:tcPr>
                  <w:tcW w:w="927" w:type="dxa"/>
                  <w:tcBorders>
                    <w:tl2br w:val="nil"/>
                    <w:tr2bl w:val="nil"/>
                  </w:tcBorders>
                  <w:vAlign w:val="center"/>
                </w:tcPr>
                <w:p w14:paraId="4C30082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38</w:t>
                  </w:r>
                </w:p>
              </w:tc>
              <w:tc>
                <w:tcPr>
                  <w:tcW w:w="738" w:type="dxa"/>
                  <w:tcBorders>
                    <w:tl2br w:val="nil"/>
                    <w:tr2bl w:val="nil"/>
                  </w:tcBorders>
                  <w:vAlign w:val="center"/>
                </w:tcPr>
                <w:p w14:paraId="29B6914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台</w:t>
                  </w:r>
                </w:p>
              </w:tc>
              <w:tc>
                <w:tcPr>
                  <w:tcW w:w="869" w:type="dxa"/>
                  <w:tcBorders>
                    <w:tl2br w:val="nil"/>
                    <w:tr2bl w:val="nil"/>
                  </w:tcBorders>
                  <w:vAlign w:val="center"/>
                </w:tcPr>
                <w:p w14:paraId="4E30EF7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12</w:t>
                  </w:r>
                </w:p>
              </w:tc>
              <w:tc>
                <w:tcPr>
                  <w:tcW w:w="785" w:type="dxa"/>
                  <w:tcBorders>
                    <w:tl2br w:val="nil"/>
                    <w:tr2bl w:val="nil"/>
                  </w:tcBorders>
                  <w:vAlign w:val="center"/>
                </w:tcPr>
                <w:p w14:paraId="17860AE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堆放</w:t>
                  </w:r>
                </w:p>
              </w:tc>
              <w:tc>
                <w:tcPr>
                  <w:tcW w:w="968" w:type="dxa"/>
                  <w:tcBorders>
                    <w:tl2br w:val="nil"/>
                    <w:tr2bl w:val="nil"/>
                  </w:tcBorders>
                  <w:vAlign w:val="center"/>
                </w:tcPr>
                <w:p w14:paraId="4F2FF3E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1463915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3592A9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245C2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A695CB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244</w:t>
                  </w:r>
                </w:p>
              </w:tc>
              <w:tc>
                <w:tcPr>
                  <w:tcW w:w="1960" w:type="dxa"/>
                  <w:tcBorders>
                    <w:tl2br w:val="nil"/>
                    <w:tr2bl w:val="nil"/>
                  </w:tcBorders>
                  <w:vAlign w:val="center"/>
                </w:tcPr>
                <w:p w14:paraId="1DFA676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链扣活接</w:t>
                  </w:r>
                </w:p>
              </w:tc>
              <w:tc>
                <w:tcPr>
                  <w:tcW w:w="927" w:type="dxa"/>
                  <w:tcBorders>
                    <w:tl2br w:val="nil"/>
                    <w:tr2bl w:val="nil"/>
                  </w:tcBorders>
                  <w:vAlign w:val="center"/>
                </w:tcPr>
                <w:p w14:paraId="221C3AD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38</w:t>
                  </w:r>
                </w:p>
              </w:tc>
              <w:tc>
                <w:tcPr>
                  <w:tcW w:w="738" w:type="dxa"/>
                  <w:tcBorders>
                    <w:tl2br w:val="nil"/>
                    <w:tr2bl w:val="nil"/>
                  </w:tcBorders>
                  <w:vAlign w:val="center"/>
                </w:tcPr>
                <w:p w14:paraId="4FBA254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122563D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38</w:t>
                  </w:r>
                </w:p>
              </w:tc>
              <w:tc>
                <w:tcPr>
                  <w:tcW w:w="785" w:type="dxa"/>
                  <w:tcBorders>
                    <w:tl2br w:val="nil"/>
                    <w:tr2bl w:val="nil"/>
                  </w:tcBorders>
                  <w:vAlign w:val="center"/>
                </w:tcPr>
                <w:p w14:paraId="3BE73DF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6739B4F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65FC02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2A8B2E2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031EF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641BF8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245</w:t>
                  </w:r>
                </w:p>
              </w:tc>
              <w:tc>
                <w:tcPr>
                  <w:tcW w:w="1960" w:type="dxa"/>
                  <w:tcBorders>
                    <w:tl2br w:val="nil"/>
                    <w:tr2bl w:val="nil"/>
                  </w:tcBorders>
                  <w:vAlign w:val="center"/>
                </w:tcPr>
                <w:p w14:paraId="767C422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单排链条</w:t>
                  </w:r>
                </w:p>
              </w:tc>
              <w:tc>
                <w:tcPr>
                  <w:tcW w:w="927" w:type="dxa"/>
                  <w:tcBorders>
                    <w:tl2br w:val="nil"/>
                    <w:tr2bl w:val="nil"/>
                  </w:tcBorders>
                  <w:vAlign w:val="center"/>
                </w:tcPr>
                <w:p w14:paraId="6F7905A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4104</w:t>
                  </w:r>
                </w:p>
              </w:tc>
              <w:tc>
                <w:tcPr>
                  <w:tcW w:w="738" w:type="dxa"/>
                  <w:tcBorders>
                    <w:tl2br w:val="nil"/>
                    <w:tr2bl w:val="nil"/>
                  </w:tcBorders>
                  <w:vAlign w:val="center"/>
                </w:tcPr>
                <w:p w14:paraId="3D99759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条</w:t>
                  </w:r>
                </w:p>
              </w:tc>
              <w:tc>
                <w:tcPr>
                  <w:tcW w:w="869" w:type="dxa"/>
                  <w:tcBorders>
                    <w:tl2br w:val="nil"/>
                    <w:tr2bl w:val="nil"/>
                  </w:tcBorders>
                  <w:vAlign w:val="center"/>
                </w:tcPr>
                <w:p w14:paraId="4491038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100</w:t>
                  </w:r>
                </w:p>
              </w:tc>
              <w:tc>
                <w:tcPr>
                  <w:tcW w:w="785" w:type="dxa"/>
                  <w:tcBorders>
                    <w:tl2br w:val="nil"/>
                    <w:tr2bl w:val="nil"/>
                  </w:tcBorders>
                  <w:vAlign w:val="center"/>
                </w:tcPr>
                <w:p w14:paraId="7952724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袋装</w:t>
                  </w:r>
                </w:p>
              </w:tc>
              <w:tc>
                <w:tcPr>
                  <w:tcW w:w="968" w:type="dxa"/>
                  <w:tcBorders>
                    <w:tl2br w:val="nil"/>
                    <w:tr2bl w:val="nil"/>
                  </w:tcBorders>
                  <w:vAlign w:val="center"/>
                </w:tcPr>
                <w:p w14:paraId="03C71F0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166E1EF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10条/袋</w:t>
                  </w:r>
                </w:p>
              </w:tc>
              <w:tc>
                <w:tcPr>
                  <w:tcW w:w="684" w:type="dxa"/>
                  <w:tcBorders>
                    <w:tl2br w:val="nil"/>
                    <w:tr2bl w:val="nil"/>
                  </w:tcBorders>
                  <w:vAlign w:val="center"/>
                </w:tcPr>
                <w:p w14:paraId="1268458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37834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D10EF6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246</w:t>
                  </w:r>
                </w:p>
              </w:tc>
              <w:tc>
                <w:tcPr>
                  <w:tcW w:w="1960" w:type="dxa"/>
                  <w:tcBorders>
                    <w:tl2br w:val="nil"/>
                    <w:tr2bl w:val="nil"/>
                  </w:tcBorders>
                  <w:vAlign w:val="center"/>
                </w:tcPr>
                <w:p w14:paraId="6433583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调节螺丝</w:t>
                  </w:r>
                </w:p>
              </w:tc>
              <w:tc>
                <w:tcPr>
                  <w:tcW w:w="927" w:type="dxa"/>
                  <w:tcBorders>
                    <w:tl2br w:val="nil"/>
                    <w:tr2bl w:val="nil"/>
                  </w:tcBorders>
                  <w:vAlign w:val="center"/>
                </w:tcPr>
                <w:p w14:paraId="3BE816F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0.02</w:t>
                  </w:r>
                </w:p>
              </w:tc>
              <w:tc>
                <w:tcPr>
                  <w:tcW w:w="738" w:type="dxa"/>
                  <w:tcBorders>
                    <w:tl2br w:val="nil"/>
                    <w:tr2bl w:val="nil"/>
                  </w:tcBorders>
                  <w:vAlign w:val="center"/>
                </w:tcPr>
                <w:p w14:paraId="177CB59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t</w:t>
                  </w:r>
                </w:p>
              </w:tc>
              <w:tc>
                <w:tcPr>
                  <w:tcW w:w="869" w:type="dxa"/>
                  <w:tcBorders>
                    <w:tl2br w:val="nil"/>
                    <w:tr2bl w:val="nil"/>
                  </w:tcBorders>
                  <w:vAlign w:val="center"/>
                </w:tcPr>
                <w:p w14:paraId="6992874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0.01</w:t>
                  </w:r>
                </w:p>
              </w:tc>
              <w:tc>
                <w:tcPr>
                  <w:tcW w:w="785" w:type="dxa"/>
                  <w:tcBorders>
                    <w:tl2br w:val="nil"/>
                    <w:tr2bl w:val="nil"/>
                  </w:tcBorders>
                  <w:vAlign w:val="center"/>
                </w:tcPr>
                <w:p w14:paraId="108860A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7D8676D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61B5905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10kg/盒</w:t>
                  </w:r>
                </w:p>
              </w:tc>
              <w:tc>
                <w:tcPr>
                  <w:tcW w:w="684" w:type="dxa"/>
                  <w:tcBorders>
                    <w:tl2br w:val="nil"/>
                    <w:tr2bl w:val="nil"/>
                  </w:tcBorders>
                  <w:vAlign w:val="center"/>
                </w:tcPr>
                <w:p w14:paraId="6B5BC1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5B4B7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A3778F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247</w:t>
                  </w:r>
                </w:p>
              </w:tc>
              <w:tc>
                <w:tcPr>
                  <w:tcW w:w="1960" w:type="dxa"/>
                  <w:tcBorders>
                    <w:tl2br w:val="nil"/>
                    <w:tr2bl w:val="nil"/>
                  </w:tcBorders>
                  <w:vAlign w:val="center"/>
                </w:tcPr>
                <w:p w14:paraId="2E320AD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键条</w:t>
                  </w:r>
                </w:p>
              </w:tc>
              <w:tc>
                <w:tcPr>
                  <w:tcW w:w="927" w:type="dxa"/>
                  <w:tcBorders>
                    <w:tl2br w:val="nil"/>
                    <w:tr2bl w:val="nil"/>
                  </w:tcBorders>
                  <w:vAlign w:val="center"/>
                </w:tcPr>
                <w:p w14:paraId="3FF1A0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12578</w:t>
                  </w:r>
                </w:p>
              </w:tc>
              <w:tc>
                <w:tcPr>
                  <w:tcW w:w="738" w:type="dxa"/>
                  <w:tcBorders>
                    <w:tl2br w:val="nil"/>
                    <w:tr2bl w:val="nil"/>
                  </w:tcBorders>
                  <w:vAlign w:val="center"/>
                </w:tcPr>
                <w:p w14:paraId="6A2313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4A6A529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100</w:t>
                  </w:r>
                </w:p>
              </w:tc>
              <w:tc>
                <w:tcPr>
                  <w:tcW w:w="785" w:type="dxa"/>
                  <w:tcBorders>
                    <w:tl2br w:val="nil"/>
                    <w:tr2bl w:val="nil"/>
                  </w:tcBorders>
                  <w:vAlign w:val="center"/>
                </w:tcPr>
                <w:p w14:paraId="3E0DDB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扎捆</w:t>
                  </w:r>
                </w:p>
              </w:tc>
              <w:tc>
                <w:tcPr>
                  <w:tcW w:w="968" w:type="dxa"/>
                  <w:tcBorders>
                    <w:tl2br w:val="nil"/>
                    <w:tr2bl w:val="nil"/>
                  </w:tcBorders>
                  <w:vAlign w:val="center"/>
                </w:tcPr>
                <w:p w14:paraId="61D9941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62678D0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10个/捆</w:t>
                  </w:r>
                </w:p>
              </w:tc>
              <w:tc>
                <w:tcPr>
                  <w:tcW w:w="684" w:type="dxa"/>
                  <w:tcBorders>
                    <w:tl2br w:val="nil"/>
                    <w:tr2bl w:val="nil"/>
                  </w:tcBorders>
                  <w:vAlign w:val="center"/>
                </w:tcPr>
                <w:p w14:paraId="22A0C9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r>
            <w:tr w14:paraId="38DC6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D7C894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248</w:t>
                  </w:r>
                </w:p>
              </w:tc>
              <w:tc>
                <w:tcPr>
                  <w:tcW w:w="1960" w:type="dxa"/>
                  <w:tcBorders>
                    <w:tl2br w:val="nil"/>
                    <w:tr2bl w:val="nil"/>
                  </w:tcBorders>
                  <w:vAlign w:val="center"/>
                </w:tcPr>
                <w:p w14:paraId="1AC40F1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孔用卡簧</w:t>
                  </w:r>
                </w:p>
              </w:tc>
              <w:tc>
                <w:tcPr>
                  <w:tcW w:w="927" w:type="dxa"/>
                  <w:tcBorders>
                    <w:tl2br w:val="nil"/>
                    <w:tr2bl w:val="nil"/>
                  </w:tcBorders>
                  <w:vAlign w:val="center"/>
                </w:tcPr>
                <w:p w14:paraId="14A9F7D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10678</w:t>
                  </w:r>
                </w:p>
              </w:tc>
              <w:tc>
                <w:tcPr>
                  <w:tcW w:w="738" w:type="dxa"/>
                  <w:tcBorders>
                    <w:tl2br w:val="nil"/>
                    <w:tr2bl w:val="nil"/>
                  </w:tcBorders>
                  <w:vAlign w:val="center"/>
                </w:tcPr>
                <w:p w14:paraId="756CC0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2F67422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100</w:t>
                  </w:r>
                </w:p>
              </w:tc>
              <w:tc>
                <w:tcPr>
                  <w:tcW w:w="785" w:type="dxa"/>
                  <w:tcBorders>
                    <w:tl2br w:val="nil"/>
                    <w:tr2bl w:val="nil"/>
                  </w:tcBorders>
                  <w:vAlign w:val="center"/>
                </w:tcPr>
                <w:p w14:paraId="26FE61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1390E0B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1A8AC90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100个/盒</w:t>
                  </w:r>
                </w:p>
              </w:tc>
              <w:tc>
                <w:tcPr>
                  <w:tcW w:w="684" w:type="dxa"/>
                  <w:tcBorders>
                    <w:tl2br w:val="nil"/>
                    <w:tr2bl w:val="nil"/>
                  </w:tcBorders>
                  <w:vAlign w:val="center"/>
                </w:tcPr>
                <w:p w14:paraId="35400D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r>
            <w:tr w14:paraId="44BCA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E829B9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249</w:t>
                  </w:r>
                </w:p>
              </w:tc>
              <w:tc>
                <w:tcPr>
                  <w:tcW w:w="1960" w:type="dxa"/>
                  <w:tcBorders>
                    <w:tl2br w:val="nil"/>
                    <w:tr2bl w:val="nil"/>
                  </w:tcBorders>
                  <w:vAlign w:val="center"/>
                </w:tcPr>
                <w:p w14:paraId="2022AD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螺母</w:t>
                  </w:r>
                </w:p>
              </w:tc>
              <w:tc>
                <w:tcPr>
                  <w:tcW w:w="927" w:type="dxa"/>
                  <w:tcBorders>
                    <w:tl2br w:val="nil"/>
                    <w:tr2bl w:val="nil"/>
                  </w:tcBorders>
                  <w:vAlign w:val="center"/>
                </w:tcPr>
                <w:p w14:paraId="0268431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w:t>
                  </w:r>
                </w:p>
              </w:tc>
              <w:tc>
                <w:tcPr>
                  <w:tcW w:w="738" w:type="dxa"/>
                  <w:tcBorders>
                    <w:tl2br w:val="nil"/>
                    <w:tr2bl w:val="nil"/>
                  </w:tcBorders>
                  <w:vAlign w:val="center"/>
                </w:tcPr>
                <w:p w14:paraId="490115B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t</w:t>
                  </w:r>
                </w:p>
              </w:tc>
              <w:tc>
                <w:tcPr>
                  <w:tcW w:w="869" w:type="dxa"/>
                  <w:tcBorders>
                    <w:tl2br w:val="nil"/>
                    <w:tr2bl w:val="nil"/>
                  </w:tcBorders>
                  <w:vAlign w:val="center"/>
                </w:tcPr>
                <w:p w14:paraId="113954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0.2</w:t>
                  </w:r>
                </w:p>
              </w:tc>
              <w:tc>
                <w:tcPr>
                  <w:tcW w:w="785" w:type="dxa"/>
                  <w:tcBorders>
                    <w:tl2br w:val="nil"/>
                    <w:tr2bl w:val="nil"/>
                  </w:tcBorders>
                  <w:vAlign w:val="center"/>
                </w:tcPr>
                <w:p w14:paraId="5548501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1B2312C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3340AA1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100kg/盒</w:t>
                  </w:r>
                </w:p>
              </w:tc>
              <w:tc>
                <w:tcPr>
                  <w:tcW w:w="684" w:type="dxa"/>
                  <w:tcBorders>
                    <w:tl2br w:val="nil"/>
                    <w:tr2bl w:val="nil"/>
                  </w:tcBorders>
                  <w:vAlign w:val="center"/>
                </w:tcPr>
                <w:p w14:paraId="202C733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r>
            <w:tr w14:paraId="7D779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513A79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250</w:t>
                  </w:r>
                </w:p>
              </w:tc>
              <w:tc>
                <w:tcPr>
                  <w:tcW w:w="1960" w:type="dxa"/>
                  <w:tcBorders>
                    <w:tl2br w:val="nil"/>
                    <w:tr2bl w:val="nil"/>
                  </w:tcBorders>
                  <w:vAlign w:val="center"/>
                </w:tcPr>
                <w:p w14:paraId="3A0A1F6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平垫</w:t>
                  </w:r>
                </w:p>
              </w:tc>
              <w:tc>
                <w:tcPr>
                  <w:tcW w:w="927" w:type="dxa"/>
                  <w:tcBorders>
                    <w:tl2br w:val="nil"/>
                    <w:tr2bl w:val="nil"/>
                  </w:tcBorders>
                  <w:vAlign w:val="center"/>
                </w:tcPr>
                <w:p w14:paraId="2398A92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w:t>
                  </w:r>
                </w:p>
              </w:tc>
              <w:tc>
                <w:tcPr>
                  <w:tcW w:w="738" w:type="dxa"/>
                  <w:tcBorders>
                    <w:tl2br w:val="nil"/>
                    <w:tr2bl w:val="nil"/>
                  </w:tcBorders>
                  <w:vAlign w:val="center"/>
                </w:tcPr>
                <w:p w14:paraId="6902B0E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t</w:t>
                  </w:r>
                </w:p>
              </w:tc>
              <w:tc>
                <w:tcPr>
                  <w:tcW w:w="869" w:type="dxa"/>
                  <w:tcBorders>
                    <w:tl2br w:val="nil"/>
                    <w:tr2bl w:val="nil"/>
                  </w:tcBorders>
                  <w:vAlign w:val="center"/>
                </w:tcPr>
                <w:p w14:paraId="41A16B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0.2</w:t>
                  </w:r>
                </w:p>
              </w:tc>
              <w:tc>
                <w:tcPr>
                  <w:tcW w:w="785" w:type="dxa"/>
                  <w:tcBorders>
                    <w:tl2br w:val="nil"/>
                    <w:tr2bl w:val="nil"/>
                  </w:tcBorders>
                  <w:vAlign w:val="center"/>
                </w:tcPr>
                <w:p w14:paraId="12B5E82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6F54873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002218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100kg/盒</w:t>
                  </w:r>
                </w:p>
              </w:tc>
              <w:tc>
                <w:tcPr>
                  <w:tcW w:w="684" w:type="dxa"/>
                  <w:tcBorders>
                    <w:tl2br w:val="nil"/>
                    <w:tr2bl w:val="nil"/>
                  </w:tcBorders>
                  <w:vAlign w:val="center"/>
                </w:tcPr>
                <w:p w14:paraId="4E46DD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r>
            <w:tr w14:paraId="1CF3A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15E8A8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251</w:t>
                  </w:r>
                </w:p>
              </w:tc>
              <w:tc>
                <w:tcPr>
                  <w:tcW w:w="1960" w:type="dxa"/>
                  <w:tcBorders>
                    <w:tl2br w:val="nil"/>
                    <w:tr2bl w:val="nil"/>
                  </w:tcBorders>
                  <w:vAlign w:val="center"/>
                </w:tcPr>
                <w:p w14:paraId="16512DF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毛毡滚筒</w:t>
                  </w:r>
                </w:p>
              </w:tc>
              <w:tc>
                <w:tcPr>
                  <w:tcW w:w="927" w:type="dxa"/>
                  <w:tcBorders>
                    <w:tl2br w:val="nil"/>
                    <w:tr2bl w:val="nil"/>
                  </w:tcBorders>
                  <w:vAlign w:val="center"/>
                </w:tcPr>
                <w:p w14:paraId="5343E1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3154</w:t>
                  </w:r>
                </w:p>
              </w:tc>
              <w:tc>
                <w:tcPr>
                  <w:tcW w:w="738" w:type="dxa"/>
                  <w:tcBorders>
                    <w:tl2br w:val="nil"/>
                    <w:tr2bl w:val="nil"/>
                  </w:tcBorders>
                  <w:vAlign w:val="center"/>
                </w:tcPr>
                <w:p w14:paraId="46A140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5E5B10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500</w:t>
                  </w:r>
                </w:p>
              </w:tc>
              <w:tc>
                <w:tcPr>
                  <w:tcW w:w="785" w:type="dxa"/>
                  <w:tcBorders>
                    <w:tl2br w:val="nil"/>
                    <w:tr2bl w:val="nil"/>
                  </w:tcBorders>
                  <w:vAlign w:val="center"/>
                </w:tcPr>
                <w:p w14:paraId="218909F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堆放</w:t>
                  </w:r>
                </w:p>
              </w:tc>
              <w:tc>
                <w:tcPr>
                  <w:tcW w:w="968" w:type="dxa"/>
                  <w:tcBorders>
                    <w:tl2br w:val="nil"/>
                    <w:tr2bl w:val="nil"/>
                  </w:tcBorders>
                  <w:vAlign w:val="center"/>
                </w:tcPr>
                <w:p w14:paraId="5D304F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52527B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restart"/>
                  <w:tcBorders>
                    <w:tl2br w:val="nil"/>
                    <w:tr2bl w:val="nil"/>
                  </w:tcBorders>
                  <w:vAlign w:val="center"/>
                </w:tcPr>
                <w:p w14:paraId="6E50A57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根据客户需求</w:t>
                  </w:r>
                  <w:r>
                    <w:rPr>
                      <w:rFonts w:hint="eastAsia" w:ascii="Times New Roman" w:hAnsi="Times New Roman" w:cs="Times New Roman"/>
                      <w:b w:val="0"/>
                      <w:bCs/>
                      <w:color w:val="auto"/>
                      <w:lang w:val="en-US" w:eastAsia="zh-CN"/>
                    </w:rPr>
                    <w:t>委外</w:t>
                  </w:r>
                  <w:r>
                    <w:rPr>
                      <w:rFonts w:hint="default" w:ascii="Times New Roman" w:hAnsi="Times New Roman" w:cs="Times New Roman"/>
                      <w:b w:val="0"/>
                      <w:bCs/>
                      <w:color w:val="auto"/>
                      <w:lang w:val="en-US" w:eastAsia="zh-CN"/>
                    </w:rPr>
                    <w:t>定制</w:t>
                  </w:r>
                </w:p>
              </w:tc>
            </w:tr>
            <w:tr w14:paraId="34C99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531A13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252</w:t>
                  </w:r>
                </w:p>
              </w:tc>
              <w:tc>
                <w:tcPr>
                  <w:tcW w:w="1960" w:type="dxa"/>
                  <w:tcBorders>
                    <w:tl2br w:val="nil"/>
                    <w:tr2bl w:val="nil"/>
                  </w:tcBorders>
                  <w:vAlign w:val="center"/>
                </w:tcPr>
                <w:p w14:paraId="51D74AD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毛毡环带</w:t>
                  </w:r>
                </w:p>
              </w:tc>
              <w:tc>
                <w:tcPr>
                  <w:tcW w:w="927" w:type="dxa"/>
                  <w:tcBorders>
                    <w:tl2br w:val="nil"/>
                    <w:tr2bl w:val="nil"/>
                  </w:tcBorders>
                  <w:vAlign w:val="center"/>
                </w:tcPr>
                <w:p w14:paraId="542981D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4180</w:t>
                  </w:r>
                </w:p>
              </w:tc>
              <w:tc>
                <w:tcPr>
                  <w:tcW w:w="738" w:type="dxa"/>
                  <w:tcBorders>
                    <w:tl2br w:val="nil"/>
                    <w:tr2bl w:val="nil"/>
                  </w:tcBorders>
                  <w:vAlign w:val="center"/>
                </w:tcPr>
                <w:p w14:paraId="7FD513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条</w:t>
                  </w:r>
                </w:p>
              </w:tc>
              <w:tc>
                <w:tcPr>
                  <w:tcW w:w="869" w:type="dxa"/>
                  <w:tcBorders>
                    <w:tl2br w:val="nil"/>
                    <w:tr2bl w:val="nil"/>
                  </w:tcBorders>
                  <w:vAlign w:val="center"/>
                </w:tcPr>
                <w:p w14:paraId="6C4EB83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500</w:t>
                  </w:r>
                </w:p>
              </w:tc>
              <w:tc>
                <w:tcPr>
                  <w:tcW w:w="785" w:type="dxa"/>
                  <w:tcBorders>
                    <w:tl2br w:val="nil"/>
                    <w:tr2bl w:val="nil"/>
                  </w:tcBorders>
                  <w:vAlign w:val="center"/>
                </w:tcPr>
                <w:p w14:paraId="293AF74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堆放</w:t>
                  </w:r>
                </w:p>
              </w:tc>
              <w:tc>
                <w:tcPr>
                  <w:tcW w:w="968" w:type="dxa"/>
                  <w:tcBorders>
                    <w:tl2br w:val="nil"/>
                    <w:tr2bl w:val="nil"/>
                  </w:tcBorders>
                  <w:vAlign w:val="center"/>
                </w:tcPr>
                <w:p w14:paraId="6BCD1E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7DE314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2707C4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30435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EE6ADA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253</w:t>
                  </w:r>
                </w:p>
              </w:tc>
              <w:tc>
                <w:tcPr>
                  <w:tcW w:w="1960" w:type="dxa"/>
                  <w:tcBorders>
                    <w:tl2br w:val="nil"/>
                    <w:tr2bl w:val="nil"/>
                  </w:tcBorders>
                  <w:vAlign w:val="center"/>
                </w:tcPr>
                <w:p w14:paraId="7FFFF50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气动电磁阀</w:t>
                  </w:r>
                </w:p>
              </w:tc>
              <w:tc>
                <w:tcPr>
                  <w:tcW w:w="927" w:type="dxa"/>
                  <w:tcBorders>
                    <w:tl2br w:val="nil"/>
                    <w:tr2bl w:val="nil"/>
                  </w:tcBorders>
                  <w:vAlign w:val="center"/>
                </w:tcPr>
                <w:p w14:paraId="58268FC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3154</w:t>
                  </w:r>
                </w:p>
              </w:tc>
              <w:tc>
                <w:tcPr>
                  <w:tcW w:w="738" w:type="dxa"/>
                  <w:tcBorders>
                    <w:tl2br w:val="nil"/>
                    <w:tr2bl w:val="nil"/>
                  </w:tcBorders>
                  <w:vAlign w:val="center"/>
                </w:tcPr>
                <w:p w14:paraId="642A7DF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70A2106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500</w:t>
                  </w:r>
                </w:p>
              </w:tc>
              <w:tc>
                <w:tcPr>
                  <w:tcW w:w="785" w:type="dxa"/>
                  <w:tcBorders>
                    <w:tl2br w:val="nil"/>
                    <w:tr2bl w:val="nil"/>
                  </w:tcBorders>
                  <w:vAlign w:val="center"/>
                </w:tcPr>
                <w:p w14:paraId="18E9C5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480EBD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48C32CA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auto"/>
                      <w:lang w:val="en-US" w:eastAsia="zh-CN"/>
                    </w:rPr>
                  </w:pPr>
                  <w:r>
                    <w:rPr>
                      <w:rFonts w:hint="eastAsia"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02EA9BB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75946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9A03DD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254</w:t>
                  </w:r>
                </w:p>
              </w:tc>
              <w:tc>
                <w:tcPr>
                  <w:tcW w:w="1960" w:type="dxa"/>
                  <w:tcBorders>
                    <w:tl2br w:val="nil"/>
                    <w:tr2bl w:val="nil"/>
                  </w:tcBorders>
                  <w:vAlign w:val="center"/>
                </w:tcPr>
                <w:p w14:paraId="427B692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气缸</w:t>
                  </w:r>
                </w:p>
              </w:tc>
              <w:tc>
                <w:tcPr>
                  <w:tcW w:w="927" w:type="dxa"/>
                  <w:tcBorders>
                    <w:tl2br w:val="nil"/>
                    <w:tr2bl w:val="nil"/>
                  </w:tcBorders>
                  <w:vAlign w:val="center"/>
                </w:tcPr>
                <w:p w14:paraId="1ADC502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76</w:t>
                  </w:r>
                </w:p>
              </w:tc>
              <w:tc>
                <w:tcPr>
                  <w:tcW w:w="738" w:type="dxa"/>
                  <w:tcBorders>
                    <w:tl2br w:val="nil"/>
                    <w:tr2bl w:val="nil"/>
                  </w:tcBorders>
                  <w:vAlign w:val="center"/>
                </w:tcPr>
                <w:p w14:paraId="30CFE43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618A7EA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15</w:t>
                  </w:r>
                </w:p>
              </w:tc>
              <w:tc>
                <w:tcPr>
                  <w:tcW w:w="785" w:type="dxa"/>
                  <w:tcBorders>
                    <w:tl2br w:val="nil"/>
                    <w:tr2bl w:val="nil"/>
                  </w:tcBorders>
                  <w:vAlign w:val="center"/>
                </w:tcPr>
                <w:p w14:paraId="408F36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箱装</w:t>
                  </w:r>
                </w:p>
              </w:tc>
              <w:tc>
                <w:tcPr>
                  <w:tcW w:w="968" w:type="dxa"/>
                  <w:tcBorders>
                    <w:tl2br w:val="nil"/>
                    <w:tr2bl w:val="nil"/>
                  </w:tcBorders>
                  <w:vAlign w:val="center"/>
                </w:tcPr>
                <w:p w14:paraId="4B8FC91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0A3856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auto"/>
                      <w:lang w:val="en-US" w:eastAsia="zh-CN"/>
                    </w:rPr>
                  </w:pPr>
                  <w:r>
                    <w:rPr>
                      <w:rFonts w:hint="eastAsia"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783DD51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350E0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6E39DDD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255</w:t>
                  </w:r>
                </w:p>
              </w:tc>
              <w:tc>
                <w:tcPr>
                  <w:tcW w:w="1960" w:type="dxa"/>
                  <w:tcBorders>
                    <w:tl2br w:val="nil"/>
                    <w:tr2bl w:val="nil"/>
                  </w:tcBorders>
                  <w:vAlign w:val="center"/>
                </w:tcPr>
                <w:p w14:paraId="7B2AF86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气缸调节接头</w:t>
                  </w:r>
                </w:p>
              </w:tc>
              <w:tc>
                <w:tcPr>
                  <w:tcW w:w="927" w:type="dxa"/>
                  <w:tcBorders>
                    <w:tl2br w:val="nil"/>
                    <w:tr2bl w:val="nil"/>
                  </w:tcBorders>
                  <w:vAlign w:val="center"/>
                </w:tcPr>
                <w:p w14:paraId="4E55686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2204</w:t>
                  </w:r>
                </w:p>
              </w:tc>
              <w:tc>
                <w:tcPr>
                  <w:tcW w:w="738" w:type="dxa"/>
                  <w:tcBorders>
                    <w:tl2br w:val="nil"/>
                    <w:tr2bl w:val="nil"/>
                  </w:tcBorders>
                  <w:vAlign w:val="center"/>
                </w:tcPr>
                <w:p w14:paraId="1C467B3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7ACAF1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400</w:t>
                  </w:r>
                </w:p>
              </w:tc>
              <w:tc>
                <w:tcPr>
                  <w:tcW w:w="785" w:type="dxa"/>
                  <w:tcBorders>
                    <w:tl2br w:val="nil"/>
                    <w:tr2bl w:val="nil"/>
                  </w:tcBorders>
                  <w:vAlign w:val="center"/>
                </w:tcPr>
                <w:p w14:paraId="0245127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72CB726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6839CE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auto"/>
                      <w:lang w:val="en-US" w:eastAsia="zh-CN"/>
                    </w:rPr>
                  </w:pPr>
                  <w:r>
                    <w:rPr>
                      <w:rFonts w:hint="eastAsia"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1DE4577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689FE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A6A868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256</w:t>
                  </w:r>
                </w:p>
              </w:tc>
              <w:tc>
                <w:tcPr>
                  <w:tcW w:w="1960" w:type="dxa"/>
                  <w:tcBorders>
                    <w:tl2br w:val="nil"/>
                    <w:tr2bl w:val="nil"/>
                  </w:tcBorders>
                  <w:vAlign w:val="center"/>
                </w:tcPr>
                <w:p w14:paraId="23DBAD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双排链轮</w:t>
                  </w:r>
                </w:p>
              </w:tc>
              <w:tc>
                <w:tcPr>
                  <w:tcW w:w="927" w:type="dxa"/>
                  <w:tcBorders>
                    <w:tl2br w:val="nil"/>
                    <w:tr2bl w:val="nil"/>
                  </w:tcBorders>
                  <w:vAlign w:val="center"/>
                </w:tcPr>
                <w:p w14:paraId="72C57F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304</w:t>
                  </w:r>
                </w:p>
              </w:tc>
              <w:tc>
                <w:tcPr>
                  <w:tcW w:w="738" w:type="dxa"/>
                  <w:tcBorders>
                    <w:tl2br w:val="nil"/>
                    <w:tr2bl w:val="nil"/>
                  </w:tcBorders>
                  <w:vAlign w:val="center"/>
                </w:tcPr>
                <w:p w14:paraId="0CB589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1D7E0B0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60</w:t>
                  </w:r>
                </w:p>
              </w:tc>
              <w:tc>
                <w:tcPr>
                  <w:tcW w:w="785" w:type="dxa"/>
                  <w:tcBorders>
                    <w:tl2br w:val="nil"/>
                    <w:tr2bl w:val="nil"/>
                  </w:tcBorders>
                  <w:vAlign w:val="center"/>
                </w:tcPr>
                <w:p w14:paraId="499983C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袋装</w:t>
                  </w:r>
                </w:p>
              </w:tc>
              <w:tc>
                <w:tcPr>
                  <w:tcW w:w="968" w:type="dxa"/>
                  <w:tcBorders>
                    <w:tl2br w:val="nil"/>
                    <w:tr2bl w:val="nil"/>
                  </w:tcBorders>
                  <w:vAlign w:val="center"/>
                </w:tcPr>
                <w:p w14:paraId="38137E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112DF8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77ECE0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0EDDB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517168E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257</w:t>
                  </w:r>
                </w:p>
              </w:tc>
              <w:tc>
                <w:tcPr>
                  <w:tcW w:w="1960" w:type="dxa"/>
                  <w:tcBorders>
                    <w:tl2br w:val="nil"/>
                    <w:tr2bl w:val="nil"/>
                  </w:tcBorders>
                  <w:vAlign w:val="center"/>
                </w:tcPr>
                <w:p w14:paraId="17EAC73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双排链条</w:t>
                  </w:r>
                </w:p>
              </w:tc>
              <w:tc>
                <w:tcPr>
                  <w:tcW w:w="927" w:type="dxa"/>
                  <w:tcBorders>
                    <w:tl2br w:val="nil"/>
                    <w:tr2bl w:val="nil"/>
                  </w:tcBorders>
                  <w:vAlign w:val="center"/>
                </w:tcPr>
                <w:p w14:paraId="63929D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152</w:t>
                  </w:r>
                </w:p>
              </w:tc>
              <w:tc>
                <w:tcPr>
                  <w:tcW w:w="738" w:type="dxa"/>
                  <w:tcBorders>
                    <w:tl2br w:val="nil"/>
                    <w:tr2bl w:val="nil"/>
                  </w:tcBorders>
                  <w:vAlign w:val="center"/>
                </w:tcPr>
                <w:p w14:paraId="3D3B42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条</w:t>
                  </w:r>
                </w:p>
              </w:tc>
              <w:tc>
                <w:tcPr>
                  <w:tcW w:w="869" w:type="dxa"/>
                  <w:tcBorders>
                    <w:tl2br w:val="nil"/>
                    <w:tr2bl w:val="nil"/>
                  </w:tcBorders>
                  <w:vAlign w:val="center"/>
                </w:tcPr>
                <w:p w14:paraId="0AE0CE2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30</w:t>
                  </w:r>
                </w:p>
              </w:tc>
              <w:tc>
                <w:tcPr>
                  <w:tcW w:w="785" w:type="dxa"/>
                  <w:tcBorders>
                    <w:tl2br w:val="nil"/>
                    <w:tr2bl w:val="nil"/>
                  </w:tcBorders>
                  <w:vAlign w:val="center"/>
                </w:tcPr>
                <w:p w14:paraId="23152E3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袋装</w:t>
                  </w:r>
                </w:p>
              </w:tc>
              <w:tc>
                <w:tcPr>
                  <w:tcW w:w="968" w:type="dxa"/>
                  <w:tcBorders>
                    <w:tl2br w:val="nil"/>
                    <w:tr2bl w:val="nil"/>
                  </w:tcBorders>
                  <w:vAlign w:val="center"/>
                </w:tcPr>
                <w:p w14:paraId="5D5F53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7BA902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0EB299F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368D1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AF8E15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258</w:t>
                  </w:r>
                </w:p>
              </w:tc>
              <w:tc>
                <w:tcPr>
                  <w:tcW w:w="1960" w:type="dxa"/>
                  <w:tcBorders>
                    <w:tl2br w:val="nil"/>
                    <w:tr2bl w:val="nil"/>
                  </w:tcBorders>
                  <w:vAlign w:val="center"/>
                </w:tcPr>
                <w:p w14:paraId="65B06AF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油缸</w:t>
                  </w:r>
                </w:p>
              </w:tc>
              <w:tc>
                <w:tcPr>
                  <w:tcW w:w="927" w:type="dxa"/>
                  <w:tcBorders>
                    <w:tl2br w:val="nil"/>
                    <w:tr2bl w:val="nil"/>
                  </w:tcBorders>
                  <w:vAlign w:val="center"/>
                </w:tcPr>
                <w:p w14:paraId="1F37A3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76</w:t>
                  </w:r>
                </w:p>
              </w:tc>
              <w:tc>
                <w:tcPr>
                  <w:tcW w:w="738" w:type="dxa"/>
                  <w:tcBorders>
                    <w:tl2br w:val="nil"/>
                    <w:tr2bl w:val="nil"/>
                  </w:tcBorders>
                  <w:vAlign w:val="center"/>
                </w:tcPr>
                <w:p w14:paraId="1881F8E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3427A0F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20</w:t>
                  </w:r>
                </w:p>
              </w:tc>
              <w:tc>
                <w:tcPr>
                  <w:tcW w:w="785" w:type="dxa"/>
                  <w:tcBorders>
                    <w:tl2br w:val="nil"/>
                    <w:tr2bl w:val="nil"/>
                  </w:tcBorders>
                  <w:vAlign w:val="center"/>
                </w:tcPr>
                <w:p w14:paraId="7CF6682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箱装</w:t>
                  </w:r>
                </w:p>
              </w:tc>
              <w:tc>
                <w:tcPr>
                  <w:tcW w:w="968" w:type="dxa"/>
                  <w:tcBorders>
                    <w:tl2br w:val="nil"/>
                    <w:tr2bl w:val="nil"/>
                  </w:tcBorders>
                  <w:vAlign w:val="center"/>
                </w:tcPr>
                <w:p w14:paraId="3BC3243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20CC2D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374155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75717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DB644F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259</w:t>
                  </w:r>
                </w:p>
              </w:tc>
              <w:tc>
                <w:tcPr>
                  <w:tcW w:w="1960" w:type="dxa"/>
                  <w:tcBorders>
                    <w:tl2br w:val="nil"/>
                    <w:tr2bl w:val="nil"/>
                  </w:tcBorders>
                  <w:vAlign w:val="center"/>
                </w:tcPr>
                <w:p w14:paraId="79B6E2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直线滑轨</w:t>
                  </w:r>
                </w:p>
              </w:tc>
              <w:tc>
                <w:tcPr>
                  <w:tcW w:w="927" w:type="dxa"/>
                  <w:tcBorders>
                    <w:tl2br w:val="nil"/>
                    <w:tr2bl w:val="nil"/>
                  </w:tcBorders>
                  <w:vAlign w:val="center"/>
                </w:tcPr>
                <w:p w14:paraId="02135F1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1026</w:t>
                  </w:r>
                </w:p>
              </w:tc>
              <w:tc>
                <w:tcPr>
                  <w:tcW w:w="738" w:type="dxa"/>
                  <w:tcBorders>
                    <w:tl2br w:val="nil"/>
                    <w:tr2bl w:val="nil"/>
                  </w:tcBorders>
                  <w:vAlign w:val="center"/>
                </w:tcPr>
                <w:p w14:paraId="19945B1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4A92047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100</w:t>
                  </w:r>
                </w:p>
              </w:tc>
              <w:tc>
                <w:tcPr>
                  <w:tcW w:w="785" w:type="dxa"/>
                  <w:tcBorders>
                    <w:tl2br w:val="nil"/>
                    <w:tr2bl w:val="nil"/>
                  </w:tcBorders>
                  <w:vAlign w:val="center"/>
                </w:tcPr>
                <w:p w14:paraId="6C1897F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堆放</w:t>
                  </w:r>
                </w:p>
              </w:tc>
              <w:tc>
                <w:tcPr>
                  <w:tcW w:w="968" w:type="dxa"/>
                  <w:tcBorders>
                    <w:tl2br w:val="nil"/>
                    <w:tr2bl w:val="nil"/>
                  </w:tcBorders>
                  <w:vAlign w:val="center"/>
                </w:tcPr>
                <w:p w14:paraId="6E684F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21458D3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0050687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0E26B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5AF49C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260</w:t>
                  </w:r>
                </w:p>
              </w:tc>
              <w:tc>
                <w:tcPr>
                  <w:tcW w:w="1960" w:type="dxa"/>
                  <w:tcBorders>
                    <w:tl2br w:val="nil"/>
                    <w:tr2bl w:val="nil"/>
                  </w:tcBorders>
                  <w:vAlign w:val="center"/>
                </w:tcPr>
                <w:p w14:paraId="083AEB0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直线滑块</w:t>
                  </w:r>
                </w:p>
              </w:tc>
              <w:tc>
                <w:tcPr>
                  <w:tcW w:w="927" w:type="dxa"/>
                  <w:tcBorders>
                    <w:tl2br w:val="nil"/>
                    <w:tr2bl w:val="nil"/>
                  </w:tcBorders>
                  <w:vAlign w:val="center"/>
                </w:tcPr>
                <w:p w14:paraId="090A76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2204</w:t>
                  </w:r>
                </w:p>
              </w:tc>
              <w:tc>
                <w:tcPr>
                  <w:tcW w:w="738" w:type="dxa"/>
                  <w:tcBorders>
                    <w:tl2br w:val="nil"/>
                    <w:tr2bl w:val="nil"/>
                  </w:tcBorders>
                  <w:vAlign w:val="center"/>
                </w:tcPr>
                <w:p w14:paraId="455333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613A859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200</w:t>
                  </w:r>
                </w:p>
              </w:tc>
              <w:tc>
                <w:tcPr>
                  <w:tcW w:w="785" w:type="dxa"/>
                  <w:tcBorders>
                    <w:tl2br w:val="nil"/>
                    <w:tr2bl w:val="nil"/>
                  </w:tcBorders>
                  <w:vAlign w:val="center"/>
                </w:tcPr>
                <w:p w14:paraId="5A70E5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4ACD22D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435BCD4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6CE7961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6EEFA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6B7BF1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261</w:t>
                  </w:r>
                </w:p>
              </w:tc>
              <w:tc>
                <w:tcPr>
                  <w:tcW w:w="1960" w:type="dxa"/>
                  <w:tcBorders>
                    <w:tl2br w:val="nil"/>
                    <w:tr2bl w:val="nil"/>
                  </w:tcBorders>
                  <w:vAlign w:val="center"/>
                </w:tcPr>
                <w:p w14:paraId="02EFD9F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齿轮</w:t>
                  </w:r>
                </w:p>
              </w:tc>
              <w:tc>
                <w:tcPr>
                  <w:tcW w:w="927" w:type="dxa"/>
                  <w:tcBorders>
                    <w:tl2br w:val="nil"/>
                    <w:tr2bl w:val="nil"/>
                  </w:tcBorders>
                  <w:vAlign w:val="center"/>
                </w:tcPr>
                <w:p w14:paraId="2BEDB88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384</w:t>
                  </w:r>
                </w:p>
              </w:tc>
              <w:tc>
                <w:tcPr>
                  <w:tcW w:w="738" w:type="dxa"/>
                  <w:tcBorders>
                    <w:tl2br w:val="nil"/>
                    <w:tr2bl w:val="nil"/>
                  </w:tcBorders>
                  <w:vAlign w:val="center"/>
                </w:tcPr>
                <w:p w14:paraId="23794A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5E6FDD8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40</w:t>
                  </w:r>
                </w:p>
              </w:tc>
              <w:tc>
                <w:tcPr>
                  <w:tcW w:w="785" w:type="dxa"/>
                  <w:tcBorders>
                    <w:tl2br w:val="nil"/>
                    <w:tr2bl w:val="nil"/>
                  </w:tcBorders>
                  <w:vAlign w:val="center"/>
                </w:tcPr>
                <w:p w14:paraId="21EF74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堆放</w:t>
                  </w:r>
                </w:p>
              </w:tc>
              <w:tc>
                <w:tcPr>
                  <w:tcW w:w="968" w:type="dxa"/>
                  <w:tcBorders>
                    <w:tl2br w:val="nil"/>
                    <w:tr2bl w:val="nil"/>
                  </w:tcBorders>
                  <w:vAlign w:val="center"/>
                </w:tcPr>
                <w:p w14:paraId="1561F1F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539577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0D02393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6E6BF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3AB329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262</w:t>
                  </w:r>
                </w:p>
              </w:tc>
              <w:tc>
                <w:tcPr>
                  <w:tcW w:w="1960" w:type="dxa"/>
                  <w:tcBorders>
                    <w:tl2br w:val="nil"/>
                    <w:tr2bl w:val="nil"/>
                  </w:tcBorders>
                  <w:vAlign w:val="center"/>
                </w:tcPr>
                <w:p w14:paraId="175603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齿条</w:t>
                  </w:r>
                </w:p>
              </w:tc>
              <w:tc>
                <w:tcPr>
                  <w:tcW w:w="927" w:type="dxa"/>
                  <w:tcBorders>
                    <w:tl2br w:val="nil"/>
                    <w:tr2bl w:val="nil"/>
                  </w:tcBorders>
                  <w:vAlign w:val="center"/>
                </w:tcPr>
                <w:p w14:paraId="41E548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1504</w:t>
                  </w:r>
                </w:p>
              </w:tc>
              <w:tc>
                <w:tcPr>
                  <w:tcW w:w="738" w:type="dxa"/>
                  <w:tcBorders>
                    <w:tl2br w:val="nil"/>
                    <w:tr2bl w:val="nil"/>
                  </w:tcBorders>
                  <w:vAlign w:val="center"/>
                </w:tcPr>
                <w:p w14:paraId="6B21CBC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条</w:t>
                  </w:r>
                </w:p>
              </w:tc>
              <w:tc>
                <w:tcPr>
                  <w:tcW w:w="869" w:type="dxa"/>
                  <w:tcBorders>
                    <w:tl2br w:val="nil"/>
                    <w:tr2bl w:val="nil"/>
                  </w:tcBorders>
                  <w:vAlign w:val="center"/>
                </w:tcPr>
                <w:p w14:paraId="352573B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300</w:t>
                  </w:r>
                </w:p>
              </w:tc>
              <w:tc>
                <w:tcPr>
                  <w:tcW w:w="785" w:type="dxa"/>
                  <w:tcBorders>
                    <w:tl2br w:val="nil"/>
                    <w:tr2bl w:val="nil"/>
                  </w:tcBorders>
                  <w:vAlign w:val="center"/>
                </w:tcPr>
                <w:p w14:paraId="0D271EB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堆放</w:t>
                  </w:r>
                </w:p>
              </w:tc>
              <w:tc>
                <w:tcPr>
                  <w:tcW w:w="968" w:type="dxa"/>
                  <w:tcBorders>
                    <w:tl2br w:val="nil"/>
                    <w:tr2bl w:val="nil"/>
                  </w:tcBorders>
                  <w:vAlign w:val="center"/>
                </w:tcPr>
                <w:p w14:paraId="660405C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444EE1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3EA95C6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33769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780EF3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263</w:t>
                  </w:r>
                </w:p>
              </w:tc>
              <w:tc>
                <w:tcPr>
                  <w:tcW w:w="1960" w:type="dxa"/>
                  <w:tcBorders>
                    <w:tl2br w:val="nil"/>
                    <w:tr2bl w:val="nil"/>
                  </w:tcBorders>
                  <w:vAlign w:val="center"/>
                </w:tcPr>
                <w:p w14:paraId="54ADC3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电磁铁</w:t>
                  </w:r>
                </w:p>
              </w:tc>
              <w:tc>
                <w:tcPr>
                  <w:tcW w:w="927" w:type="dxa"/>
                  <w:tcBorders>
                    <w:tl2br w:val="nil"/>
                    <w:tr2bl w:val="nil"/>
                  </w:tcBorders>
                  <w:vAlign w:val="center"/>
                </w:tcPr>
                <w:p w14:paraId="74A0802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64</w:t>
                  </w:r>
                </w:p>
              </w:tc>
              <w:tc>
                <w:tcPr>
                  <w:tcW w:w="738" w:type="dxa"/>
                  <w:tcBorders>
                    <w:tl2br w:val="nil"/>
                    <w:tr2bl w:val="nil"/>
                  </w:tcBorders>
                  <w:vAlign w:val="center"/>
                </w:tcPr>
                <w:p w14:paraId="31E9538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363D2E6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20</w:t>
                  </w:r>
                </w:p>
              </w:tc>
              <w:tc>
                <w:tcPr>
                  <w:tcW w:w="785" w:type="dxa"/>
                  <w:tcBorders>
                    <w:tl2br w:val="nil"/>
                    <w:tr2bl w:val="nil"/>
                  </w:tcBorders>
                  <w:vAlign w:val="center"/>
                </w:tcPr>
                <w:p w14:paraId="61CD19D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0E5864B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0297F4C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10个/盒</w:t>
                  </w:r>
                </w:p>
              </w:tc>
              <w:tc>
                <w:tcPr>
                  <w:tcW w:w="684" w:type="dxa"/>
                  <w:vMerge w:val="continue"/>
                  <w:tcBorders>
                    <w:tl2br w:val="nil"/>
                    <w:tr2bl w:val="nil"/>
                  </w:tcBorders>
                  <w:vAlign w:val="center"/>
                </w:tcPr>
                <w:p w14:paraId="540CCDC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282DA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64661E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264</w:t>
                  </w:r>
                </w:p>
              </w:tc>
              <w:tc>
                <w:tcPr>
                  <w:tcW w:w="1960" w:type="dxa"/>
                  <w:tcBorders>
                    <w:tl2br w:val="nil"/>
                    <w:tr2bl w:val="nil"/>
                  </w:tcBorders>
                  <w:vAlign w:val="center"/>
                </w:tcPr>
                <w:p w14:paraId="2C5BA52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滑触线-4线</w:t>
                  </w:r>
                </w:p>
              </w:tc>
              <w:tc>
                <w:tcPr>
                  <w:tcW w:w="927" w:type="dxa"/>
                  <w:tcBorders>
                    <w:tl2br w:val="nil"/>
                    <w:tr2bl w:val="nil"/>
                  </w:tcBorders>
                  <w:vAlign w:val="center"/>
                </w:tcPr>
                <w:p w14:paraId="2E1704A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64</w:t>
                  </w:r>
                </w:p>
              </w:tc>
              <w:tc>
                <w:tcPr>
                  <w:tcW w:w="738" w:type="dxa"/>
                  <w:tcBorders>
                    <w:tl2br w:val="nil"/>
                    <w:tr2bl w:val="nil"/>
                  </w:tcBorders>
                  <w:vAlign w:val="center"/>
                </w:tcPr>
                <w:p w14:paraId="416D9C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条</w:t>
                  </w:r>
                </w:p>
              </w:tc>
              <w:tc>
                <w:tcPr>
                  <w:tcW w:w="869" w:type="dxa"/>
                  <w:tcBorders>
                    <w:tl2br w:val="nil"/>
                    <w:tr2bl w:val="nil"/>
                  </w:tcBorders>
                  <w:vAlign w:val="center"/>
                </w:tcPr>
                <w:p w14:paraId="42CC821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9</w:t>
                  </w:r>
                </w:p>
              </w:tc>
              <w:tc>
                <w:tcPr>
                  <w:tcW w:w="785" w:type="dxa"/>
                  <w:tcBorders>
                    <w:tl2br w:val="nil"/>
                    <w:tr2bl w:val="nil"/>
                  </w:tcBorders>
                  <w:vAlign w:val="center"/>
                </w:tcPr>
                <w:p w14:paraId="244353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1718607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44CA167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3条/盒</w:t>
                  </w:r>
                </w:p>
              </w:tc>
              <w:tc>
                <w:tcPr>
                  <w:tcW w:w="684" w:type="dxa"/>
                  <w:vMerge w:val="continue"/>
                  <w:tcBorders>
                    <w:tl2br w:val="nil"/>
                    <w:tr2bl w:val="nil"/>
                  </w:tcBorders>
                  <w:vAlign w:val="center"/>
                </w:tcPr>
                <w:p w14:paraId="5A80F97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112BF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085E64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265</w:t>
                  </w:r>
                </w:p>
              </w:tc>
              <w:tc>
                <w:tcPr>
                  <w:tcW w:w="1960" w:type="dxa"/>
                  <w:tcBorders>
                    <w:tl2br w:val="nil"/>
                    <w:tr2bl w:val="nil"/>
                  </w:tcBorders>
                  <w:vAlign w:val="center"/>
                </w:tcPr>
                <w:p w14:paraId="1FF04E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滑触线4线卡槽</w:t>
                  </w:r>
                </w:p>
              </w:tc>
              <w:tc>
                <w:tcPr>
                  <w:tcW w:w="927" w:type="dxa"/>
                  <w:tcBorders>
                    <w:tl2br w:val="nil"/>
                    <w:tr2bl w:val="nil"/>
                  </w:tcBorders>
                  <w:vAlign w:val="center"/>
                </w:tcPr>
                <w:p w14:paraId="34AE1DC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2688</w:t>
                  </w:r>
                </w:p>
              </w:tc>
              <w:tc>
                <w:tcPr>
                  <w:tcW w:w="738" w:type="dxa"/>
                  <w:tcBorders>
                    <w:tl2br w:val="nil"/>
                    <w:tr2bl w:val="nil"/>
                  </w:tcBorders>
                  <w:vAlign w:val="center"/>
                </w:tcPr>
                <w:p w14:paraId="524165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392E6C6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300</w:t>
                  </w:r>
                </w:p>
              </w:tc>
              <w:tc>
                <w:tcPr>
                  <w:tcW w:w="785" w:type="dxa"/>
                  <w:tcBorders>
                    <w:tl2br w:val="nil"/>
                    <w:tr2bl w:val="nil"/>
                  </w:tcBorders>
                  <w:vAlign w:val="center"/>
                </w:tcPr>
                <w:p w14:paraId="5AA0096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01E757F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1A2E1C6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100个/盒</w:t>
                  </w:r>
                </w:p>
              </w:tc>
              <w:tc>
                <w:tcPr>
                  <w:tcW w:w="684" w:type="dxa"/>
                  <w:vMerge w:val="continue"/>
                  <w:tcBorders>
                    <w:tl2br w:val="nil"/>
                    <w:tr2bl w:val="nil"/>
                  </w:tcBorders>
                  <w:vAlign w:val="center"/>
                </w:tcPr>
                <w:p w14:paraId="2A459B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5ED8F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3158F81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266</w:t>
                  </w:r>
                </w:p>
              </w:tc>
              <w:tc>
                <w:tcPr>
                  <w:tcW w:w="1960" w:type="dxa"/>
                  <w:tcBorders>
                    <w:tl2br w:val="nil"/>
                    <w:tr2bl w:val="nil"/>
                  </w:tcBorders>
                  <w:vAlign w:val="center"/>
                </w:tcPr>
                <w:p w14:paraId="3E06E0F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深沟球轴承</w:t>
                  </w:r>
                </w:p>
              </w:tc>
              <w:tc>
                <w:tcPr>
                  <w:tcW w:w="927" w:type="dxa"/>
                  <w:tcBorders>
                    <w:tl2br w:val="nil"/>
                    <w:tr2bl w:val="nil"/>
                  </w:tcBorders>
                  <w:vAlign w:val="center"/>
                </w:tcPr>
                <w:p w14:paraId="2118BDA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64</w:t>
                  </w:r>
                </w:p>
              </w:tc>
              <w:tc>
                <w:tcPr>
                  <w:tcW w:w="738" w:type="dxa"/>
                  <w:tcBorders>
                    <w:tl2br w:val="nil"/>
                    <w:tr2bl w:val="nil"/>
                  </w:tcBorders>
                  <w:vAlign w:val="center"/>
                </w:tcPr>
                <w:p w14:paraId="0BA74BC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278A962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8</w:t>
                  </w:r>
                </w:p>
              </w:tc>
              <w:tc>
                <w:tcPr>
                  <w:tcW w:w="785" w:type="dxa"/>
                  <w:tcBorders>
                    <w:tl2br w:val="nil"/>
                    <w:tr2bl w:val="nil"/>
                  </w:tcBorders>
                  <w:vAlign w:val="center"/>
                </w:tcPr>
                <w:p w14:paraId="75D7C78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774A67F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1089134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10个/盒</w:t>
                  </w:r>
                </w:p>
              </w:tc>
              <w:tc>
                <w:tcPr>
                  <w:tcW w:w="684" w:type="dxa"/>
                  <w:vMerge w:val="continue"/>
                  <w:tcBorders>
                    <w:tl2br w:val="nil"/>
                    <w:tr2bl w:val="nil"/>
                  </w:tcBorders>
                  <w:vAlign w:val="center"/>
                </w:tcPr>
                <w:p w14:paraId="150876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13A30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513249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267</w:t>
                  </w:r>
                </w:p>
              </w:tc>
              <w:tc>
                <w:tcPr>
                  <w:tcW w:w="1960" w:type="dxa"/>
                  <w:tcBorders>
                    <w:tl2br w:val="nil"/>
                    <w:tr2bl w:val="nil"/>
                  </w:tcBorders>
                  <w:vAlign w:val="center"/>
                </w:tcPr>
                <w:p w14:paraId="5CB268F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双列角接触轴承</w:t>
                  </w:r>
                </w:p>
              </w:tc>
              <w:tc>
                <w:tcPr>
                  <w:tcW w:w="927" w:type="dxa"/>
                  <w:tcBorders>
                    <w:tl2br w:val="nil"/>
                    <w:tr2bl w:val="nil"/>
                  </w:tcBorders>
                  <w:vAlign w:val="center"/>
                </w:tcPr>
                <w:p w14:paraId="4344115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64</w:t>
                  </w:r>
                </w:p>
              </w:tc>
              <w:tc>
                <w:tcPr>
                  <w:tcW w:w="738" w:type="dxa"/>
                  <w:tcBorders>
                    <w:tl2br w:val="nil"/>
                    <w:tr2bl w:val="nil"/>
                  </w:tcBorders>
                  <w:vAlign w:val="center"/>
                </w:tcPr>
                <w:p w14:paraId="22D8CCB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23D1D61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8</w:t>
                  </w:r>
                </w:p>
              </w:tc>
              <w:tc>
                <w:tcPr>
                  <w:tcW w:w="785" w:type="dxa"/>
                  <w:tcBorders>
                    <w:tl2br w:val="nil"/>
                    <w:tr2bl w:val="nil"/>
                  </w:tcBorders>
                  <w:vAlign w:val="center"/>
                </w:tcPr>
                <w:p w14:paraId="6FC4A71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3A4B54A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165312F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10个/箱</w:t>
                  </w:r>
                </w:p>
              </w:tc>
              <w:tc>
                <w:tcPr>
                  <w:tcW w:w="684" w:type="dxa"/>
                  <w:vMerge w:val="continue"/>
                  <w:tcBorders>
                    <w:tl2br w:val="nil"/>
                    <w:tr2bl w:val="nil"/>
                  </w:tcBorders>
                  <w:vAlign w:val="center"/>
                </w:tcPr>
                <w:p w14:paraId="0C007F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75E5E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54C2DCF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268</w:t>
                  </w:r>
                </w:p>
              </w:tc>
              <w:tc>
                <w:tcPr>
                  <w:tcW w:w="1960" w:type="dxa"/>
                  <w:tcBorders>
                    <w:tl2br w:val="nil"/>
                    <w:tr2bl w:val="nil"/>
                  </w:tcBorders>
                  <w:vAlign w:val="center"/>
                </w:tcPr>
                <w:p w14:paraId="24DDE68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双列深沟球轴承</w:t>
                  </w:r>
                </w:p>
              </w:tc>
              <w:tc>
                <w:tcPr>
                  <w:tcW w:w="927" w:type="dxa"/>
                  <w:tcBorders>
                    <w:tl2br w:val="nil"/>
                    <w:tr2bl w:val="nil"/>
                  </w:tcBorders>
                  <w:vAlign w:val="center"/>
                </w:tcPr>
                <w:p w14:paraId="6A49DA2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768</w:t>
                  </w:r>
                </w:p>
              </w:tc>
              <w:tc>
                <w:tcPr>
                  <w:tcW w:w="738" w:type="dxa"/>
                  <w:tcBorders>
                    <w:tl2br w:val="nil"/>
                    <w:tr2bl w:val="nil"/>
                  </w:tcBorders>
                  <w:vAlign w:val="center"/>
                </w:tcPr>
                <w:p w14:paraId="30EAF2B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51B0F3F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30</w:t>
                  </w:r>
                </w:p>
              </w:tc>
              <w:tc>
                <w:tcPr>
                  <w:tcW w:w="785" w:type="dxa"/>
                  <w:tcBorders>
                    <w:tl2br w:val="nil"/>
                    <w:tr2bl w:val="nil"/>
                  </w:tcBorders>
                  <w:vAlign w:val="center"/>
                </w:tcPr>
                <w:p w14:paraId="1FF9624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669BF14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1AC8E91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10个/盒</w:t>
                  </w:r>
                </w:p>
              </w:tc>
              <w:tc>
                <w:tcPr>
                  <w:tcW w:w="684" w:type="dxa"/>
                  <w:vMerge w:val="continue"/>
                  <w:tcBorders>
                    <w:tl2br w:val="nil"/>
                    <w:tr2bl w:val="nil"/>
                  </w:tcBorders>
                  <w:vAlign w:val="center"/>
                </w:tcPr>
                <w:p w14:paraId="6A6CEB4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412B2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14D4561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269</w:t>
                  </w:r>
                </w:p>
              </w:tc>
              <w:tc>
                <w:tcPr>
                  <w:tcW w:w="1960" w:type="dxa"/>
                  <w:tcBorders>
                    <w:tl2br w:val="nil"/>
                    <w:tr2bl w:val="nil"/>
                  </w:tcBorders>
                  <w:vAlign w:val="center"/>
                </w:tcPr>
                <w:p w14:paraId="4A8DED0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拖链</w:t>
                  </w:r>
                </w:p>
              </w:tc>
              <w:tc>
                <w:tcPr>
                  <w:tcW w:w="927" w:type="dxa"/>
                  <w:tcBorders>
                    <w:tl2br w:val="nil"/>
                    <w:tr2bl w:val="nil"/>
                  </w:tcBorders>
                  <w:vAlign w:val="center"/>
                </w:tcPr>
                <w:p w14:paraId="2AD31BC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128</w:t>
                  </w:r>
                </w:p>
              </w:tc>
              <w:tc>
                <w:tcPr>
                  <w:tcW w:w="738" w:type="dxa"/>
                  <w:tcBorders>
                    <w:tl2br w:val="nil"/>
                    <w:tr2bl w:val="nil"/>
                  </w:tcBorders>
                  <w:vAlign w:val="center"/>
                </w:tcPr>
                <w:p w14:paraId="368EE7D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61DAC5B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20</w:t>
                  </w:r>
                </w:p>
              </w:tc>
              <w:tc>
                <w:tcPr>
                  <w:tcW w:w="785" w:type="dxa"/>
                  <w:tcBorders>
                    <w:tl2br w:val="nil"/>
                    <w:tr2bl w:val="nil"/>
                  </w:tcBorders>
                  <w:vAlign w:val="center"/>
                </w:tcPr>
                <w:p w14:paraId="3CF318B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堆放</w:t>
                  </w:r>
                </w:p>
              </w:tc>
              <w:tc>
                <w:tcPr>
                  <w:tcW w:w="968" w:type="dxa"/>
                  <w:tcBorders>
                    <w:tl2br w:val="nil"/>
                    <w:tr2bl w:val="nil"/>
                  </w:tcBorders>
                  <w:vAlign w:val="center"/>
                </w:tcPr>
                <w:p w14:paraId="3253102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7E1B467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2FC851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57791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8A5AD9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270</w:t>
                  </w:r>
                </w:p>
              </w:tc>
              <w:tc>
                <w:tcPr>
                  <w:tcW w:w="1960" w:type="dxa"/>
                  <w:tcBorders>
                    <w:tl2br w:val="nil"/>
                    <w:tr2bl w:val="nil"/>
                  </w:tcBorders>
                  <w:vAlign w:val="center"/>
                </w:tcPr>
                <w:p w14:paraId="40871C9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橡胶块</w:t>
                  </w:r>
                </w:p>
              </w:tc>
              <w:tc>
                <w:tcPr>
                  <w:tcW w:w="927" w:type="dxa"/>
                  <w:tcBorders>
                    <w:tl2br w:val="nil"/>
                    <w:tr2bl w:val="nil"/>
                  </w:tcBorders>
                  <w:vAlign w:val="center"/>
                </w:tcPr>
                <w:p w14:paraId="3927A44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256</w:t>
                  </w:r>
                </w:p>
              </w:tc>
              <w:tc>
                <w:tcPr>
                  <w:tcW w:w="738" w:type="dxa"/>
                  <w:tcBorders>
                    <w:tl2br w:val="nil"/>
                    <w:tr2bl w:val="nil"/>
                  </w:tcBorders>
                  <w:vAlign w:val="center"/>
                </w:tcPr>
                <w:p w14:paraId="747AF9D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41663DD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40</w:t>
                  </w:r>
                </w:p>
              </w:tc>
              <w:tc>
                <w:tcPr>
                  <w:tcW w:w="785" w:type="dxa"/>
                  <w:tcBorders>
                    <w:tl2br w:val="nil"/>
                    <w:tr2bl w:val="nil"/>
                  </w:tcBorders>
                  <w:vAlign w:val="center"/>
                </w:tcPr>
                <w:p w14:paraId="40F0498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袋装</w:t>
                  </w:r>
                </w:p>
              </w:tc>
              <w:tc>
                <w:tcPr>
                  <w:tcW w:w="968" w:type="dxa"/>
                  <w:tcBorders>
                    <w:tl2br w:val="nil"/>
                    <w:tr2bl w:val="nil"/>
                  </w:tcBorders>
                  <w:vAlign w:val="center"/>
                </w:tcPr>
                <w:p w14:paraId="2457E6A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415A929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vMerge w:val="continue"/>
                  <w:tcBorders>
                    <w:tl2br w:val="nil"/>
                    <w:tr2bl w:val="nil"/>
                  </w:tcBorders>
                  <w:vAlign w:val="center"/>
                </w:tcPr>
                <w:p w14:paraId="664189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3BA90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42A21B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271</w:t>
                  </w:r>
                </w:p>
              </w:tc>
              <w:tc>
                <w:tcPr>
                  <w:tcW w:w="1960" w:type="dxa"/>
                  <w:tcBorders>
                    <w:tl2br w:val="nil"/>
                    <w:tr2bl w:val="nil"/>
                  </w:tcBorders>
                  <w:vAlign w:val="center"/>
                </w:tcPr>
                <w:p w14:paraId="6836255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滑块+滑轨</w:t>
                  </w:r>
                </w:p>
              </w:tc>
              <w:tc>
                <w:tcPr>
                  <w:tcW w:w="927" w:type="dxa"/>
                  <w:tcBorders>
                    <w:tl2br w:val="nil"/>
                    <w:tr2bl w:val="nil"/>
                  </w:tcBorders>
                  <w:vAlign w:val="center"/>
                </w:tcPr>
                <w:p w14:paraId="0AD55F8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448</w:t>
                  </w:r>
                </w:p>
              </w:tc>
              <w:tc>
                <w:tcPr>
                  <w:tcW w:w="738" w:type="dxa"/>
                  <w:tcBorders>
                    <w:tl2br w:val="nil"/>
                    <w:tr2bl w:val="nil"/>
                  </w:tcBorders>
                  <w:vAlign w:val="center"/>
                </w:tcPr>
                <w:p w14:paraId="41B17E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67CC7E9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50</w:t>
                  </w:r>
                </w:p>
              </w:tc>
              <w:tc>
                <w:tcPr>
                  <w:tcW w:w="785" w:type="dxa"/>
                  <w:tcBorders>
                    <w:tl2br w:val="nil"/>
                    <w:tr2bl w:val="nil"/>
                  </w:tcBorders>
                  <w:vAlign w:val="center"/>
                </w:tcPr>
                <w:p w14:paraId="55180B9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箱装</w:t>
                  </w:r>
                </w:p>
              </w:tc>
              <w:tc>
                <w:tcPr>
                  <w:tcW w:w="968" w:type="dxa"/>
                  <w:tcBorders>
                    <w:tl2br w:val="nil"/>
                    <w:tr2bl w:val="nil"/>
                  </w:tcBorders>
                  <w:vAlign w:val="center"/>
                </w:tcPr>
                <w:p w14:paraId="26952E9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0A4751A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50个/箱</w:t>
                  </w:r>
                </w:p>
              </w:tc>
              <w:tc>
                <w:tcPr>
                  <w:tcW w:w="684" w:type="dxa"/>
                  <w:tcBorders>
                    <w:tl2br w:val="nil"/>
                    <w:tr2bl w:val="nil"/>
                  </w:tcBorders>
                  <w:vAlign w:val="center"/>
                </w:tcPr>
                <w:p w14:paraId="60B046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r>
            <w:tr w14:paraId="5A66A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1CEAF1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272</w:t>
                  </w:r>
                </w:p>
              </w:tc>
              <w:tc>
                <w:tcPr>
                  <w:tcW w:w="1960" w:type="dxa"/>
                  <w:tcBorders>
                    <w:tl2br w:val="nil"/>
                    <w:tr2bl w:val="nil"/>
                  </w:tcBorders>
                  <w:vAlign w:val="center"/>
                </w:tcPr>
                <w:p w14:paraId="0DD8F23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螺母</w:t>
                  </w:r>
                </w:p>
              </w:tc>
              <w:tc>
                <w:tcPr>
                  <w:tcW w:w="927" w:type="dxa"/>
                  <w:tcBorders>
                    <w:tl2br w:val="nil"/>
                    <w:tr2bl w:val="nil"/>
                  </w:tcBorders>
                  <w:vAlign w:val="center"/>
                </w:tcPr>
                <w:p w14:paraId="13FD489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15</w:t>
                  </w:r>
                </w:p>
              </w:tc>
              <w:tc>
                <w:tcPr>
                  <w:tcW w:w="738" w:type="dxa"/>
                  <w:tcBorders>
                    <w:tl2br w:val="nil"/>
                    <w:tr2bl w:val="nil"/>
                  </w:tcBorders>
                  <w:vAlign w:val="center"/>
                </w:tcPr>
                <w:p w14:paraId="342F327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t</w:t>
                  </w:r>
                </w:p>
              </w:tc>
              <w:tc>
                <w:tcPr>
                  <w:tcW w:w="869" w:type="dxa"/>
                  <w:tcBorders>
                    <w:tl2br w:val="nil"/>
                    <w:tr2bl w:val="nil"/>
                  </w:tcBorders>
                  <w:vAlign w:val="center"/>
                </w:tcPr>
                <w:p w14:paraId="70C8C5D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w:t>
                  </w:r>
                </w:p>
              </w:tc>
              <w:tc>
                <w:tcPr>
                  <w:tcW w:w="785" w:type="dxa"/>
                  <w:tcBorders>
                    <w:tl2br w:val="nil"/>
                    <w:tr2bl w:val="nil"/>
                  </w:tcBorders>
                  <w:vAlign w:val="center"/>
                </w:tcPr>
                <w:p w14:paraId="37A259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3E997F9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2A7C8F8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100kg/盒</w:t>
                  </w:r>
                </w:p>
              </w:tc>
              <w:tc>
                <w:tcPr>
                  <w:tcW w:w="684" w:type="dxa"/>
                  <w:tcBorders>
                    <w:tl2br w:val="nil"/>
                    <w:tr2bl w:val="nil"/>
                  </w:tcBorders>
                  <w:vAlign w:val="center"/>
                </w:tcPr>
                <w:p w14:paraId="68B310C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r>
            <w:tr w14:paraId="4D399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B0CF2B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273</w:t>
                  </w:r>
                </w:p>
              </w:tc>
              <w:tc>
                <w:tcPr>
                  <w:tcW w:w="1960" w:type="dxa"/>
                  <w:tcBorders>
                    <w:tl2br w:val="nil"/>
                    <w:tr2bl w:val="nil"/>
                  </w:tcBorders>
                  <w:vAlign w:val="center"/>
                </w:tcPr>
                <w:p w14:paraId="5405275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弹垫</w:t>
                  </w:r>
                </w:p>
              </w:tc>
              <w:tc>
                <w:tcPr>
                  <w:tcW w:w="927" w:type="dxa"/>
                  <w:tcBorders>
                    <w:tl2br w:val="nil"/>
                    <w:tr2bl w:val="nil"/>
                  </w:tcBorders>
                  <w:vAlign w:val="center"/>
                </w:tcPr>
                <w:p w14:paraId="6736886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0.1</w:t>
                  </w:r>
                </w:p>
              </w:tc>
              <w:tc>
                <w:tcPr>
                  <w:tcW w:w="738" w:type="dxa"/>
                  <w:tcBorders>
                    <w:tl2br w:val="nil"/>
                    <w:tr2bl w:val="nil"/>
                  </w:tcBorders>
                  <w:vAlign w:val="center"/>
                </w:tcPr>
                <w:p w14:paraId="3D05F9D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t</w:t>
                  </w:r>
                </w:p>
              </w:tc>
              <w:tc>
                <w:tcPr>
                  <w:tcW w:w="869" w:type="dxa"/>
                  <w:tcBorders>
                    <w:tl2br w:val="nil"/>
                    <w:tr2bl w:val="nil"/>
                  </w:tcBorders>
                  <w:vAlign w:val="center"/>
                </w:tcPr>
                <w:p w14:paraId="6CE619D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0.1</w:t>
                  </w:r>
                </w:p>
              </w:tc>
              <w:tc>
                <w:tcPr>
                  <w:tcW w:w="785" w:type="dxa"/>
                  <w:tcBorders>
                    <w:tl2br w:val="nil"/>
                    <w:tr2bl w:val="nil"/>
                  </w:tcBorders>
                  <w:vAlign w:val="center"/>
                </w:tcPr>
                <w:p w14:paraId="1C1BDD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0EA208A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548995A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100kg/盒</w:t>
                  </w:r>
                </w:p>
              </w:tc>
              <w:tc>
                <w:tcPr>
                  <w:tcW w:w="684" w:type="dxa"/>
                  <w:tcBorders>
                    <w:tl2br w:val="nil"/>
                    <w:tr2bl w:val="nil"/>
                  </w:tcBorders>
                  <w:vAlign w:val="center"/>
                </w:tcPr>
                <w:p w14:paraId="27CEC50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r>
            <w:tr w14:paraId="53115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4993014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274</w:t>
                  </w:r>
                </w:p>
              </w:tc>
              <w:tc>
                <w:tcPr>
                  <w:tcW w:w="1960" w:type="dxa"/>
                  <w:tcBorders>
                    <w:tl2br w:val="nil"/>
                    <w:tr2bl w:val="nil"/>
                  </w:tcBorders>
                  <w:vAlign w:val="center"/>
                </w:tcPr>
                <w:p w14:paraId="6791A1F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深沟球轴承</w:t>
                  </w:r>
                </w:p>
              </w:tc>
              <w:tc>
                <w:tcPr>
                  <w:tcW w:w="927" w:type="dxa"/>
                  <w:tcBorders>
                    <w:tl2br w:val="nil"/>
                    <w:tr2bl w:val="nil"/>
                  </w:tcBorders>
                  <w:vAlign w:val="center"/>
                </w:tcPr>
                <w:p w14:paraId="3AF486F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43092</w:t>
                  </w:r>
                </w:p>
              </w:tc>
              <w:tc>
                <w:tcPr>
                  <w:tcW w:w="738" w:type="dxa"/>
                  <w:tcBorders>
                    <w:tl2br w:val="nil"/>
                    <w:tr2bl w:val="nil"/>
                  </w:tcBorders>
                  <w:vAlign w:val="center"/>
                </w:tcPr>
                <w:p w14:paraId="7580628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0CC8CF8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100</w:t>
                  </w:r>
                </w:p>
              </w:tc>
              <w:tc>
                <w:tcPr>
                  <w:tcW w:w="785" w:type="dxa"/>
                  <w:tcBorders>
                    <w:tl2br w:val="nil"/>
                    <w:tr2bl w:val="nil"/>
                  </w:tcBorders>
                  <w:vAlign w:val="center"/>
                </w:tcPr>
                <w:p w14:paraId="23531CB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1347F44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50C8BFF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10个/盒</w:t>
                  </w:r>
                </w:p>
              </w:tc>
              <w:tc>
                <w:tcPr>
                  <w:tcW w:w="684" w:type="dxa"/>
                  <w:tcBorders>
                    <w:tl2br w:val="nil"/>
                    <w:tr2bl w:val="nil"/>
                  </w:tcBorders>
                  <w:vAlign w:val="center"/>
                </w:tcPr>
                <w:p w14:paraId="4B1B306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r>
            <w:tr w14:paraId="2B80E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2B3D6EA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275</w:t>
                  </w:r>
                </w:p>
              </w:tc>
              <w:tc>
                <w:tcPr>
                  <w:tcW w:w="1960" w:type="dxa"/>
                  <w:tcBorders>
                    <w:tl2br w:val="nil"/>
                    <w:tr2bl w:val="nil"/>
                  </w:tcBorders>
                  <w:vAlign w:val="center"/>
                </w:tcPr>
                <w:p w14:paraId="2C71F75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轴用卡簧</w:t>
                  </w:r>
                </w:p>
              </w:tc>
              <w:tc>
                <w:tcPr>
                  <w:tcW w:w="927" w:type="dxa"/>
                  <w:tcBorders>
                    <w:tl2br w:val="nil"/>
                    <w:tr2bl w:val="nil"/>
                  </w:tcBorders>
                  <w:vAlign w:val="center"/>
                </w:tcPr>
                <w:p w14:paraId="6CAE371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35416</w:t>
                  </w:r>
                </w:p>
              </w:tc>
              <w:tc>
                <w:tcPr>
                  <w:tcW w:w="738" w:type="dxa"/>
                  <w:tcBorders>
                    <w:tl2br w:val="nil"/>
                    <w:tr2bl w:val="nil"/>
                  </w:tcBorders>
                  <w:vAlign w:val="center"/>
                </w:tcPr>
                <w:p w14:paraId="625D521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6FD0676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500</w:t>
                  </w:r>
                </w:p>
              </w:tc>
              <w:tc>
                <w:tcPr>
                  <w:tcW w:w="785" w:type="dxa"/>
                  <w:tcBorders>
                    <w:tl2br w:val="nil"/>
                    <w:tr2bl w:val="nil"/>
                  </w:tcBorders>
                  <w:vAlign w:val="center"/>
                </w:tcPr>
                <w:p w14:paraId="5239D9F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030957A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2212343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100个/盒</w:t>
                  </w:r>
                </w:p>
              </w:tc>
              <w:tc>
                <w:tcPr>
                  <w:tcW w:w="684" w:type="dxa"/>
                  <w:tcBorders>
                    <w:tl2br w:val="nil"/>
                    <w:tr2bl w:val="nil"/>
                  </w:tcBorders>
                  <w:vAlign w:val="center"/>
                </w:tcPr>
                <w:p w14:paraId="646913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r>
            <w:tr w14:paraId="47D45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7BCF297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276</w:t>
                  </w:r>
                </w:p>
              </w:tc>
              <w:tc>
                <w:tcPr>
                  <w:tcW w:w="1960" w:type="dxa"/>
                  <w:tcBorders>
                    <w:tl2br w:val="nil"/>
                    <w:tr2bl w:val="nil"/>
                  </w:tcBorders>
                  <w:vAlign w:val="center"/>
                </w:tcPr>
                <w:p w14:paraId="64CC517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毛毡块</w:t>
                  </w:r>
                </w:p>
              </w:tc>
              <w:tc>
                <w:tcPr>
                  <w:tcW w:w="927" w:type="dxa"/>
                  <w:tcBorders>
                    <w:tl2br w:val="nil"/>
                    <w:tr2bl w:val="nil"/>
                  </w:tcBorders>
                  <w:vAlign w:val="center"/>
                </w:tcPr>
                <w:p w14:paraId="045D2CC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64</w:t>
                  </w:r>
                </w:p>
              </w:tc>
              <w:tc>
                <w:tcPr>
                  <w:tcW w:w="738" w:type="dxa"/>
                  <w:tcBorders>
                    <w:tl2br w:val="nil"/>
                    <w:tr2bl w:val="nil"/>
                  </w:tcBorders>
                  <w:vAlign w:val="center"/>
                </w:tcPr>
                <w:p w14:paraId="3AF48E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个</w:t>
                  </w:r>
                </w:p>
              </w:tc>
              <w:tc>
                <w:tcPr>
                  <w:tcW w:w="869" w:type="dxa"/>
                  <w:tcBorders>
                    <w:tl2br w:val="nil"/>
                    <w:tr2bl w:val="nil"/>
                  </w:tcBorders>
                  <w:vAlign w:val="center"/>
                </w:tcPr>
                <w:p w14:paraId="67924A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8</w:t>
                  </w:r>
                </w:p>
              </w:tc>
              <w:tc>
                <w:tcPr>
                  <w:tcW w:w="785" w:type="dxa"/>
                  <w:tcBorders>
                    <w:tl2br w:val="nil"/>
                    <w:tr2bl w:val="nil"/>
                  </w:tcBorders>
                  <w:vAlign w:val="center"/>
                </w:tcPr>
                <w:p w14:paraId="0611D8C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箱装</w:t>
                  </w:r>
                </w:p>
              </w:tc>
              <w:tc>
                <w:tcPr>
                  <w:tcW w:w="968" w:type="dxa"/>
                  <w:tcBorders>
                    <w:tl2br w:val="nil"/>
                    <w:tr2bl w:val="nil"/>
                  </w:tcBorders>
                  <w:vAlign w:val="center"/>
                </w:tcPr>
                <w:p w14:paraId="05AF83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5FB2ECA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w:t>
                  </w:r>
                </w:p>
              </w:tc>
              <w:tc>
                <w:tcPr>
                  <w:tcW w:w="684" w:type="dxa"/>
                  <w:tcBorders>
                    <w:tl2br w:val="nil"/>
                    <w:tr2bl w:val="nil"/>
                  </w:tcBorders>
                  <w:vAlign w:val="center"/>
                </w:tcPr>
                <w:p w14:paraId="23B16E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r>
            <w:tr w14:paraId="26599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602" w:type="dxa"/>
                  <w:tcBorders>
                    <w:tl2br w:val="nil"/>
                    <w:tr2bl w:val="nil"/>
                  </w:tcBorders>
                  <w:vAlign w:val="center"/>
                </w:tcPr>
                <w:p w14:paraId="0114764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277</w:t>
                  </w:r>
                </w:p>
              </w:tc>
              <w:tc>
                <w:tcPr>
                  <w:tcW w:w="1960" w:type="dxa"/>
                  <w:tcBorders>
                    <w:tl2br w:val="nil"/>
                    <w:tr2bl w:val="nil"/>
                  </w:tcBorders>
                  <w:vAlign w:val="center"/>
                </w:tcPr>
                <w:p w14:paraId="43435E0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平垫</w:t>
                  </w:r>
                </w:p>
              </w:tc>
              <w:tc>
                <w:tcPr>
                  <w:tcW w:w="927" w:type="dxa"/>
                  <w:tcBorders>
                    <w:tl2br w:val="nil"/>
                    <w:tr2bl w:val="nil"/>
                  </w:tcBorders>
                  <w:vAlign w:val="center"/>
                </w:tcPr>
                <w:p w14:paraId="4AC93C1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0.02</w:t>
                  </w:r>
                </w:p>
              </w:tc>
              <w:tc>
                <w:tcPr>
                  <w:tcW w:w="738" w:type="dxa"/>
                  <w:tcBorders>
                    <w:tl2br w:val="nil"/>
                    <w:tr2bl w:val="nil"/>
                  </w:tcBorders>
                  <w:vAlign w:val="center"/>
                </w:tcPr>
                <w:p w14:paraId="4344D6E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t</w:t>
                  </w:r>
                </w:p>
              </w:tc>
              <w:tc>
                <w:tcPr>
                  <w:tcW w:w="869" w:type="dxa"/>
                  <w:tcBorders>
                    <w:tl2br w:val="nil"/>
                    <w:tr2bl w:val="nil"/>
                  </w:tcBorders>
                  <w:vAlign w:val="center"/>
                </w:tcPr>
                <w:p w14:paraId="025586F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0.01</w:t>
                  </w:r>
                </w:p>
              </w:tc>
              <w:tc>
                <w:tcPr>
                  <w:tcW w:w="785" w:type="dxa"/>
                  <w:tcBorders>
                    <w:tl2br w:val="nil"/>
                    <w:tr2bl w:val="nil"/>
                  </w:tcBorders>
                  <w:vAlign w:val="center"/>
                </w:tcPr>
                <w:p w14:paraId="006EE51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32D480C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2FD9F45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10kg/盒</w:t>
                  </w:r>
                </w:p>
              </w:tc>
              <w:tc>
                <w:tcPr>
                  <w:tcW w:w="684" w:type="dxa"/>
                  <w:tcBorders>
                    <w:tl2br w:val="nil"/>
                    <w:tr2bl w:val="nil"/>
                  </w:tcBorders>
                  <w:vAlign w:val="center"/>
                </w:tcPr>
                <w:p w14:paraId="5374B8E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r>
            <w:tr w14:paraId="4AFE5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4E9A0F6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278</w:t>
                  </w:r>
                </w:p>
              </w:tc>
              <w:tc>
                <w:tcPr>
                  <w:tcW w:w="1960" w:type="dxa"/>
                  <w:tcBorders>
                    <w:tl2br w:val="nil"/>
                    <w:tr2bl w:val="nil"/>
                  </w:tcBorders>
                  <w:vAlign w:val="center"/>
                </w:tcPr>
                <w:p w14:paraId="528572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丝杆</w:t>
                  </w:r>
                </w:p>
              </w:tc>
              <w:tc>
                <w:tcPr>
                  <w:tcW w:w="927" w:type="dxa"/>
                  <w:tcBorders>
                    <w:tl2br w:val="nil"/>
                    <w:tr2bl w:val="nil"/>
                  </w:tcBorders>
                  <w:vAlign w:val="center"/>
                </w:tcPr>
                <w:p w14:paraId="0425DE2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5632</w:t>
                  </w:r>
                </w:p>
              </w:tc>
              <w:tc>
                <w:tcPr>
                  <w:tcW w:w="738" w:type="dxa"/>
                  <w:tcBorders>
                    <w:tl2br w:val="nil"/>
                    <w:tr2bl w:val="nil"/>
                  </w:tcBorders>
                  <w:vAlign w:val="center"/>
                </w:tcPr>
                <w:p w14:paraId="37CF47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根</w:t>
                  </w:r>
                </w:p>
              </w:tc>
              <w:tc>
                <w:tcPr>
                  <w:tcW w:w="869" w:type="dxa"/>
                  <w:tcBorders>
                    <w:tl2br w:val="nil"/>
                    <w:tr2bl w:val="nil"/>
                  </w:tcBorders>
                  <w:vAlign w:val="center"/>
                </w:tcPr>
                <w:p w14:paraId="2B18F2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20</w:t>
                  </w:r>
                </w:p>
              </w:tc>
              <w:tc>
                <w:tcPr>
                  <w:tcW w:w="785" w:type="dxa"/>
                  <w:tcBorders>
                    <w:tl2br w:val="nil"/>
                    <w:tr2bl w:val="nil"/>
                  </w:tcBorders>
                  <w:vAlign w:val="center"/>
                </w:tcPr>
                <w:p w14:paraId="745307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扎捆</w:t>
                  </w:r>
                </w:p>
              </w:tc>
              <w:tc>
                <w:tcPr>
                  <w:tcW w:w="968" w:type="dxa"/>
                  <w:tcBorders>
                    <w:tl2br w:val="nil"/>
                    <w:tr2bl w:val="nil"/>
                  </w:tcBorders>
                  <w:vAlign w:val="center"/>
                </w:tcPr>
                <w:p w14:paraId="0BBD4A7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345B4F5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10根/捆</w:t>
                  </w:r>
                </w:p>
              </w:tc>
              <w:tc>
                <w:tcPr>
                  <w:tcW w:w="684" w:type="dxa"/>
                  <w:tcBorders>
                    <w:tl2br w:val="nil"/>
                    <w:tr2bl w:val="nil"/>
                  </w:tcBorders>
                  <w:vAlign w:val="center"/>
                </w:tcPr>
                <w:p w14:paraId="5A14274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r>
            <w:tr w14:paraId="07EC1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7FF38A2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279</w:t>
                  </w:r>
                </w:p>
              </w:tc>
              <w:tc>
                <w:tcPr>
                  <w:tcW w:w="1960" w:type="dxa"/>
                  <w:tcBorders>
                    <w:tl2br w:val="nil"/>
                    <w:tr2bl w:val="nil"/>
                  </w:tcBorders>
                  <w:vAlign w:val="center"/>
                </w:tcPr>
                <w:p w14:paraId="61AEF80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无铅焊条</w:t>
                  </w:r>
                </w:p>
              </w:tc>
              <w:tc>
                <w:tcPr>
                  <w:tcW w:w="927" w:type="dxa"/>
                  <w:tcBorders>
                    <w:tl2br w:val="nil"/>
                    <w:tr2bl w:val="nil"/>
                  </w:tcBorders>
                  <w:vAlign w:val="center"/>
                </w:tcPr>
                <w:p w14:paraId="1AC7D86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w:t>
                  </w:r>
                </w:p>
              </w:tc>
              <w:tc>
                <w:tcPr>
                  <w:tcW w:w="738" w:type="dxa"/>
                  <w:tcBorders>
                    <w:tl2br w:val="nil"/>
                    <w:tr2bl w:val="nil"/>
                  </w:tcBorders>
                  <w:vAlign w:val="center"/>
                </w:tcPr>
                <w:p w14:paraId="4DEC672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6389FDB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0.2</w:t>
                  </w:r>
                </w:p>
              </w:tc>
              <w:tc>
                <w:tcPr>
                  <w:tcW w:w="785" w:type="dxa"/>
                  <w:tcBorders>
                    <w:tl2br w:val="nil"/>
                    <w:tr2bl w:val="nil"/>
                  </w:tcBorders>
                  <w:vAlign w:val="center"/>
                </w:tcPr>
                <w:p w14:paraId="2850BD1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7F66BF6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2AA79D0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10kg/盒</w:t>
                  </w:r>
                </w:p>
              </w:tc>
              <w:tc>
                <w:tcPr>
                  <w:tcW w:w="684" w:type="dxa"/>
                  <w:tcBorders>
                    <w:tl2br w:val="nil"/>
                    <w:tr2bl w:val="nil"/>
                  </w:tcBorders>
                  <w:vAlign w:val="center"/>
                </w:tcPr>
                <w:p w14:paraId="7EC5937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r>
            <w:tr w14:paraId="69EA2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249F596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280</w:t>
                  </w:r>
                </w:p>
              </w:tc>
              <w:tc>
                <w:tcPr>
                  <w:tcW w:w="1960" w:type="dxa"/>
                  <w:tcBorders>
                    <w:tl2br w:val="nil"/>
                    <w:tr2bl w:val="nil"/>
                  </w:tcBorders>
                  <w:vAlign w:val="center"/>
                </w:tcPr>
                <w:p w14:paraId="23D9A8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cs="Times New Roman"/>
                      <w:b w:val="0"/>
                      <w:bCs/>
                      <w:color w:val="auto"/>
                      <w:sz w:val="21"/>
                      <w:szCs w:val="21"/>
                      <w:lang w:eastAsia="zh-CN"/>
                    </w:rPr>
                    <w:t>无铅焊丝</w:t>
                  </w:r>
                </w:p>
              </w:tc>
              <w:tc>
                <w:tcPr>
                  <w:tcW w:w="927" w:type="dxa"/>
                  <w:tcBorders>
                    <w:tl2br w:val="nil"/>
                    <w:tr2bl w:val="nil"/>
                  </w:tcBorders>
                  <w:vAlign w:val="center"/>
                </w:tcPr>
                <w:p w14:paraId="62D6642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w:t>
                  </w:r>
                </w:p>
              </w:tc>
              <w:tc>
                <w:tcPr>
                  <w:tcW w:w="738" w:type="dxa"/>
                  <w:tcBorders>
                    <w:tl2br w:val="nil"/>
                    <w:tr2bl w:val="nil"/>
                  </w:tcBorders>
                  <w:vAlign w:val="center"/>
                </w:tcPr>
                <w:p w14:paraId="74F0EFB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5AAFAC5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0.2</w:t>
                  </w:r>
                </w:p>
              </w:tc>
              <w:tc>
                <w:tcPr>
                  <w:tcW w:w="785" w:type="dxa"/>
                  <w:tcBorders>
                    <w:tl2br w:val="nil"/>
                    <w:tr2bl w:val="nil"/>
                  </w:tcBorders>
                  <w:vAlign w:val="center"/>
                </w:tcPr>
                <w:p w14:paraId="29A439D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盒装</w:t>
                  </w:r>
                </w:p>
              </w:tc>
              <w:tc>
                <w:tcPr>
                  <w:tcW w:w="968" w:type="dxa"/>
                  <w:tcBorders>
                    <w:tl2br w:val="nil"/>
                    <w:tr2bl w:val="nil"/>
                  </w:tcBorders>
                  <w:vAlign w:val="center"/>
                </w:tcPr>
                <w:p w14:paraId="5864848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固态</w:t>
                  </w:r>
                </w:p>
              </w:tc>
              <w:tc>
                <w:tcPr>
                  <w:tcW w:w="1071" w:type="dxa"/>
                  <w:tcBorders>
                    <w:tl2br w:val="nil"/>
                    <w:tr2bl w:val="nil"/>
                  </w:tcBorders>
                  <w:vAlign w:val="center"/>
                </w:tcPr>
                <w:p w14:paraId="40A36ED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10kg/卷</w:t>
                  </w:r>
                </w:p>
              </w:tc>
              <w:tc>
                <w:tcPr>
                  <w:tcW w:w="684" w:type="dxa"/>
                  <w:tcBorders>
                    <w:tl2br w:val="nil"/>
                    <w:tr2bl w:val="nil"/>
                  </w:tcBorders>
                  <w:vAlign w:val="center"/>
                </w:tcPr>
                <w:p w14:paraId="3CBC838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lang w:val="en-US" w:eastAsia="zh-CN"/>
                    </w:rPr>
                    <w:t>/</w:t>
                  </w:r>
                </w:p>
              </w:tc>
            </w:tr>
            <w:tr w14:paraId="25656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5B12B9E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281</w:t>
                  </w:r>
                </w:p>
              </w:tc>
              <w:tc>
                <w:tcPr>
                  <w:tcW w:w="1960" w:type="dxa"/>
                  <w:tcBorders>
                    <w:tl2br w:val="nil"/>
                    <w:tr2bl w:val="nil"/>
                  </w:tcBorders>
                  <w:vAlign w:val="center"/>
                </w:tcPr>
                <w:p w14:paraId="04BC493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CO</w:t>
                  </w:r>
                  <w:r>
                    <w:rPr>
                      <w:rFonts w:hint="default" w:ascii="Times New Roman" w:hAnsi="Times New Roman" w:cs="Times New Roman"/>
                      <w:b w:val="0"/>
                      <w:bCs/>
                      <w:color w:val="auto"/>
                      <w:sz w:val="21"/>
                      <w:szCs w:val="21"/>
                      <w:vertAlign w:val="subscript"/>
                      <w:lang w:val="en-US" w:eastAsia="zh-CN"/>
                    </w:rPr>
                    <w:t>2</w:t>
                  </w:r>
                </w:p>
              </w:tc>
              <w:tc>
                <w:tcPr>
                  <w:tcW w:w="927" w:type="dxa"/>
                  <w:tcBorders>
                    <w:tl2br w:val="nil"/>
                    <w:tr2bl w:val="nil"/>
                  </w:tcBorders>
                  <w:vAlign w:val="center"/>
                </w:tcPr>
                <w:p w14:paraId="7B8E88F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2.4</w:t>
                  </w:r>
                </w:p>
              </w:tc>
              <w:tc>
                <w:tcPr>
                  <w:tcW w:w="738" w:type="dxa"/>
                  <w:tcBorders>
                    <w:tl2br w:val="nil"/>
                    <w:tr2bl w:val="nil"/>
                  </w:tcBorders>
                  <w:vAlign w:val="center"/>
                </w:tcPr>
                <w:p w14:paraId="228A45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526350C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0.09</w:t>
                  </w:r>
                </w:p>
              </w:tc>
              <w:tc>
                <w:tcPr>
                  <w:tcW w:w="785" w:type="dxa"/>
                  <w:tcBorders>
                    <w:tl2br w:val="nil"/>
                    <w:tr2bl w:val="nil"/>
                  </w:tcBorders>
                  <w:vAlign w:val="center"/>
                </w:tcPr>
                <w:p w14:paraId="74063E9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瓶装</w:t>
                  </w:r>
                </w:p>
              </w:tc>
              <w:tc>
                <w:tcPr>
                  <w:tcW w:w="968" w:type="dxa"/>
                  <w:tcBorders>
                    <w:tl2br w:val="nil"/>
                    <w:tr2bl w:val="nil"/>
                  </w:tcBorders>
                  <w:vAlign w:val="center"/>
                </w:tcPr>
                <w:p w14:paraId="04B3751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气态</w:t>
                  </w:r>
                </w:p>
              </w:tc>
              <w:tc>
                <w:tcPr>
                  <w:tcW w:w="1071" w:type="dxa"/>
                  <w:tcBorders>
                    <w:tl2br w:val="nil"/>
                    <w:tr2bl w:val="nil"/>
                  </w:tcBorders>
                  <w:vAlign w:val="center"/>
                </w:tcPr>
                <w:p w14:paraId="263B7B4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15kg/瓶</w:t>
                  </w:r>
                </w:p>
              </w:tc>
              <w:tc>
                <w:tcPr>
                  <w:tcW w:w="684" w:type="dxa"/>
                  <w:tcBorders>
                    <w:tl2br w:val="nil"/>
                    <w:tr2bl w:val="nil"/>
                  </w:tcBorders>
                  <w:vAlign w:val="center"/>
                </w:tcPr>
                <w:p w14:paraId="723EC43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lang w:val="en-US" w:eastAsia="zh-CN"/>
                    </w:rPr>
                    <w:t>/</w:t>
                  </w:r>
                </w:p>
              </w:tc>
            </w:tr>
            <w:tr w14:paraId="24C1F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28FF3CC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282</w:t>
                  </w:r>
                </w:p>
              </w:tc>
              <w:tc>
                <w:tcPr>
                  <w:tcW w:w="1960" w:type="dxa"/>
                  <w:tcBorders>
                    <w:tl2br w:val="nil"/>
                    <w:tr2bl w:val="nil"/>
                  </w:tcBorders>
                  <w:vAlign w:val="center"/>
                </w:tcPr>
                <w:p w14:paraId="0C15F2B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cs="Times New Roman"/>
                      <w:b w:val="0"/>
                      <w:bCs/>
                      <w:color w:val="auto"/>
                      <w:sz w:val="21"/>
                      <w:szCs w:val="21"/>
                      <w:lang w:eastAsia="zh-CN"/>
                    </w:rPr>
                    <w:t>氩气</w:t>
                  </w:r>
                </w:p>
              </w:tc>
              <w:tc>
                <w:tcPr>
                  <w:tcW w:w="927" w:type="dxa"/>
                  <w:tcBorders>
                    <w:tl2br w:val="nil"/>
                    <w:tr2bl w:val="nil"/>
                  </w:tcBorders>
                  <w:vAlign w:val="center"/>
                </w:tcPr>
                <w:p w14:paraId="0E8AF82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1.2</w:t>
                  </w:r>
                </w:p>
              </w:tc>
              <w:tc>
                <w:tcPr>
                  <w:tcW w:w="738" w:type="dxa"/>
                  <w:tcBorders>
                    <w:tl2br w:val="nil"/>
                    <w:tr2bl w:val="nil"/>
                  </w:tcBorders>
                  <w:vAlign w:val="center"/>
                </w:tcPr>
                <w:p w14:paraId="61192D7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4E3E3DC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0.09.</w:t>
                  </w:r>
                </w:p>
              </w:tc>
              <w:tc>
                <w:tcPr>
                  <w:tcW w:w="785" w:type="dxa"/>
                  <w:tcBorders>
                    <w:tl2br w:val="nil"/>
                    <w:tr2bl w:val="nil"/>
                  </w:tcBorders>
                  <w:vAlign w:val="center"/>
                </w:tcPr>
                <w:p w14:paraId="764511C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瓶装</w:t>
                  </w:r>
                </w:p>
              </w:tc>
              <w:tc>
                <w:tcPr>
                  <w:tcW w:w="968" w:type="dxa"/>
                  <w:tcBorders>
                    <w:tl2br w:val="nil"/>
                    <w:tr2bl w:val="nil"/>
                  </w:tcBorders>
                  <w:vAlign w:val="center"/>
                </w:tcPr>
                <w:p w14:paraId="7DA8A7A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气态</w:t>
                  </w:r>
                </w:p>
              </w:tc>
              <w:tc>
                <w:tcPr>
                  <w:tcW w:w="1071" w:type="dxa"/>
                  <w:tcBorders>
                    <w:tl2br w:val="nil"/>
                    <w:tr2bl w:val="nil"/>
                  </w:tcBorders>
                  <w:vAlign w:val="center"/>
                </w:tcPr>
                <w:p w14:paraId="75C87C0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15kg/瓶</w:t>
                  </w:r>
                </w:p>
              </w:tc>
              <w:tc>
                <w:tcPr>
                  <w:tcW w:w="684" w:type="dxa"/>
                  <w:tcBorders>
                    <w:tl2br w:val="nil"/>
                    <w:tr2bl w:val="nil"/>
                  </w:tcBorders>
                  <w:vAlign w:val="center"/>
                </w:tcPr>
                <w:p w14:paraId="580EF99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lang w:val="en-US" w:eastAsia="zh-CN"/>
                    </w:rPr>
                    <w:t>/</w:t>
                  </w:r>
                </w:p>
              </w:tc>
            </w:tr>
            <w:tr w14:paraId="4A6C6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7677607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283</w:t>
                  </w:r>
                </w:p>
              </w:tc>
              <w:tc>
                <w:tcPr>
                  <w:tcW w:w="1960" w:type="dxa"/>
                  <w:tcBorders>
                    <w:tl2br w:val="nil"/>
                    <w:tr2bl w:val="nil"/>
                  </w:tcBorders>
                  <w:vAlign w:val="center"/>
                </w:tcPr>
                <w:p w14:paraId="691F820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润滑油</w:t>
                  </w:r>
                </w:p>
              </w:tc>
              <w:tc>
                <w:tcPr>
                  <w:tcW w:w="927" w:type="dxa"/>
                  <w:tcBorders>
                    <w:tl2br w:val="nil"/>
                    <w:tr2bl w:val="nil"/>
                  </w:tcBorders>
                  <w:vAlign w:val="center"/>
                </w:tcPr>
                <w:p w14:paraId="75C3C1D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0.2</w:t>
                  </w:r>
                </w:p>
              </w:tc>
              <w:tc>
                <w:tcPr>
                  <w:tcW w:w="738" w:type="dxa"/>
                  <w:tcBorders>
                    <w:tl2br w:val="nil"/>
                    <w:tr2bl w:val="nil"/>
                  </w:tcBorders>
                  <w:vAlign w:val="center"/>
                </w:tcPr>
                <w:p w14:paraId="2B897F8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t</w:t>
                  </w:r>
                </w:p>
              </w:tc>
              <w:tc>
                <w:tcPr>
                  <w:tcW w:w="869" w:type="dxa"/>
                  <w:tcBorders>
                    <w:tl2br w:val="nil"/>
                    <w:tr2bl w:val="nil"/>
                  </w:tcBorders>
                  <w:vAlign w:val="center"/>
                </w:tcPr>
                <w:p w14:paraId="30AD299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0.1</w:t>
                  </w:r>
                </w:p>
              </w:tc>
              <w:tc>
                <w:tcPr>
                  <w:tcW w:w="785" w:type="dxa"/>
                  <w:tcBorders>
                    <w:tl2br w:val="nil"/>
                    <w:tr2bl w:val="nil"/>
                  </w:tcBorders>
                  <w:vAlign w:val="center"/>
                </w:tcPr>
                <w:p w14:paraId="7BFF24F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瓶装</w:t>
                  </w:r>
                </w:p>
              </w:tc>
              <w:tc>
                <w:tcPr>
                  <w:tcW w:w="968" w:type="dxa"/>
                  <w:tcBorders>
                    <w:tl2br w:val="nil"/>
                    <w:tr2bl w:val="nil"/>
                  </w:tcBorders>
                  <w:vAlign w:val="center"/>
                </w:tcPr>
                <w:p w14:paraId="7A6EE3D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液态</w:t>
                  </w:r>
                </w:p>
              </w:tc>
              <w:tc>
                <w:tcPr>
                  <w:tcW w:w="1071" w:type="dxa"/>
                  <w:tcBorders>
                    <w:tl2br w:val="nil"/>
                    <w:tr2bl w:val="nil"/>
                  </w:tcBorders>
                  <w:vAlign w:val="center"/>
                </w:tcPr>
                <w:p w14:paraId="4A84E9E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20kg/桶</w:t>
                  </w:r>
                </w:p>
              </w:tc>
              <w:tc>
                <w:tcPr>
                  <w:tcW w:w="684" w:type="dxa"/>
                  <w:tcBorders>
                    <w:tl2br w:val="nil"/>
                    <w:tr2bl w:val="nil"/>
                  </w:tcBorders>
                  <w:vAlign w:val="center"/>
                </w:tcPr>
                <w:p w14:paraId="6CFBB96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lang w:val="en-US" w:eastAsia="zh-CN"/>
                    </w:rPr>
                    <w:t>/</w:t>
                  </w:r>
                </w:p>
              </w:tc>
            </w:tr>
            <w:tr w14:paraId="506B5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604" w:type="dxa"/>
                  <w:gridSpan w:val="9"/>
                  <w:tcBorders>
                    <w:tl2br w:val="nil"/>
                    <w:tr2bl w:val="nil"/>
                  </w:tcBorders>
                  <w:vAlign w:val="center"/>
                </w:tcPr>
                <w:p w14:paraId="27B71629">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lang w:eastAsia="zh-CN"/>
                    </w:rPr>
                    <w:t>能耗</w:t>
                  </w:r>
                </w:p>
              </w:tc>
            </w:tr>
            <w:tr w14:paraId="12FD5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02" w:type="dxa"/>
                  <w:tcBorders>
                    <w:tl2br w:val="nil"/>
                    <w:tr2bl w:val="nil"/>
                  </w:tcBorders>
                  <w:vAlign w:val="center"/>
                </w:tcPr>
                <w:p w14:paraId="4D0CFD6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284</w:t>
                  </w:r>
                </w:p>
              </w:tc>
              <w:tc>
                <w:tcPr>
                  <w:tcW w:w="1960" w:type="dxa"/>
                  <w:tcBorders>
                    <w:tl2br w:val="nil"/>
                    <w:tr2bl w:val="nil"/>
                  </w:tcBorders>
                  <w:vAlign w:val="center"/>
                </w:tcPr>
                <w:p w14:paraId="3405282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rPr>
                    <w:t>水</w:t>
                  </w:r>
                </w:p>
              </w:tc>
              <w:tc>
                <w:tcPr>
                  <w:tcW w:w="927" w:type="dxa"/>
                  <w:tcBorders>
                    <w:tl2br w:val="nil"/>
                    <w:tr2bl w:val="nil"/>
                  </w:tcBorders>
                  <w:vAlign w:val="center"/>
                </w:tcPr>
                <w:p w14:paraId="1A7D024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lang w:val="en-US" w:eastAsia="zh-CN"/>
                    </w:rPr>
                    <w:t>1337.64</w:t>
                  </w:r>
                </w:p>
              </w:tc>
              <w:tc>
                <w:tcPr>
                  <w:tcW w:w="738" w:type="dxa"/>
                  <w:tcBorders>
                    <w:tl2br w:val="nil"/>
                    <w:tr2bl w:val="nil"/>
                  </w:tcBorders>
                  <w:vAlign w:val="center"/>
                </w:tcPr>
                <w:p w14:paraId="521292D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rPr>
                    <w:t>m</w:t>
                  </w:r>
                  <w:r>
                    <w:rPr>
                      <w:rFonts w:hint="default" w:ascii="Times New Roman" w:hAnsi="Times New Roman" w:cs="Times New Roman"/>
                      <w:b w:val="0"/>
                      <w:bCs/>
                      <w:color w:val="auto"/>
                      <w:sz w:val="21"/>
                      <w:szCs w:val="21"/>
                      <w:vertAlign w:val="superscript"/>
                    </w:rPr>
                    <w:t>3</w:t>
                  </w:r>
                  <w:r>
                    <w:rPr>
                      <w:rFonts w:hint="default" w:ascii="Times New Roman" w:hAnsi="Times New Roman" w:cs="Times New Roman"/>
                      <w:b w:val="0"/>
                      <w:bCs/>
                      <w:color w:val="auto"/>
                      <w:sz w:val="21"/>
                      <w:szCs w:val="21"/>
                    </w:rPr>
                    <w:t>/a</w:t>
                  </w:r>
                </w:p>
              </w:tc>
              <w:tc>
                <w:tcPr>
                  <w:tcW w:w="869" w:type="dxa"/>
                  <w:tcBorders>
                    <w:tl2br w:val="nil"/>
                    <w:tr2bl w:val="nil"/>
                  </w:tcBorders>
                  <w:vAlign w:val="center"/>
                </w:tcPr>
                <w:p w14:paraId="56BDE0A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lang w:val="en-US" w:eastAsia="zh-CN"/>
                    </w:rPr>
                    <w:t>/</w:t>
                  </w:r>
                </w:p>
              </w:tc>
              <w:tc>
                <w:tcPr>
                  <w:tcW w:w="785" w:type="dxa"/>
                  <w:tcBorders>
                    <w:tl2br w:val="nil"/>
                    <w:tr2bl w:val="nil"/>
                  </w:tcBorders>
                  <w:vAlign w:val="center"/>
                </w:tcPr>
                <w:p w14:paraId="6A25B9A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lang w:val="en-US" w:eastAsia="zh-CN"/>
                    </w:rPr>
                    <w:t>/</w:t>
                  </w:r>
                </w:p>
              </w:tc>
              <w:tc>
                <w:tcPr>
                  <w:tcW w:w="968" w:type="dxa"/>
                  <w:tcBorders>
                    <w:tl2br w:val="nil"/>
                    <w:tr2bl w:val="nil"/>
                  </w:tcBorders>
                  <w:vAlign w:val="center"/>
                </w:tcPr>
                <w:p w14:paraId="5710282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lang w:val="en-US" w:eastAsia="zh-CN"/>
                    </w:rPr>
                    <w:t>/</w:t>
                  </w:r>
                </w:p>
              </w:tc>
              <w:tc>
                <w:tcPr>
                  <w:tcW w:w="1071" w:type="dxa"/>
                  <w:tcBorders>
                    <w:tl2br w:val="nil"/>
                    <w:tr2bl w:val="nil"/>
                  </w:tcBorders>
                  <w:vAlign w:val="center"/>
                </w:tcPr>
                <w:p w14:paraId="52FEAFA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lang w:val="en-US" w:eastAsia="zh-CN"/>
                    </w:rPr>
                    <w:t>/</w:t>
                  </w:r>
                </w:p>
              </w:tc>
              <w:tc>
                <w:tcPr>
                  <w:tcW w:w="684" w:type="dxa"/>
                  <w:tcBorders>
                    <w:tl2br w:val="nil"/>
                    <w:tr2bl w:val="nil"/>
                  </w:tcBorders>
                  <w:vAlign w:val="center"/>
                </w:tcPr>
                <w:p w14:paraId="6A463F93">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Cs w:val="21"/>
                    </w:rPr>
                    <w:t>园区管网</w:t>
                  </w:r>
                </w:p>
              </w:tc>
            </w:tr>
            <w:tr w14:paraId="5F947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4" w:hRule="atLeast"/>
                <w:jc w:val="center"/>
              </w:trPr>
              <w:tc>
                <w:tcPr>
                  <w:tcW w:w="602" w:type="dxa"/>
                  <w:tcBorders>
                    <w:tl2br w:val="nil"/>
                    <w:tr2bl w:val="nil"/>
                  </w:tcBorders>
                  <w:vAlign w:val="center"/>
                </w:tcPr>
                <w:p w14:paraId="0222B66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w:t>
                  </w:r>
                  <w:r>
                    <w:rPr>
                      <w:rFonts w:hint="eastAsia" w:ascii="Times New Roman" w:hAnsi="Times New Roman" w:cs="Times New Roman"/>
                      <w:b w:val="0"/>
                      <w:bCs/>
                      <w:color w:val="auto"/>
                      <w:lang w:val="en-US" w:eastAsia="zh-CN"/>
                    </w:rPr>
                    <w:t>85</w:t>
                  </w:r>
                </w:p>
              </w:tc>
              <w:tc>
                <w:tcPr>
                  <w:tcW w:w="1960" w:type="dxa"/>
                  <w:tcBorders>
                    <w:tl2br w:val="nil"/>
                    <w:tr2bl w:val="nil"/>
                  </w:tcBorders>
                  <w:vAlign w:val="center"/>
                </w:tcPr>
                <w:p w14:paraId="2E3C429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rPr>
                    <w:t>电</w:t>
                  </w:r>
                </w:p>
              </w:tc>
              <w:tc>
                <w:tcPr>
                  <w:tcW w:w="927" w:type="dxa"/>
                  <w:tcBorders>
                    <w:tl2br w:val="nil"/>
                    <w:tr2bl w:val="nil"/>
                  </w:tcBorders>
                  <w:vAlign w:val="center"/>
                </w:tcPr>
                <w:p w14:paraId="0B4503C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lang w:val="en-US" w:eastAsia="zh-CN"/>
                    </w:rPr>
                    <w:t>100</w:t>
                  </w:r>
                  <w:r>
                    <w:rPr>
                      <w:rFonts w:hint="default" w:ascii="Times New Roman" w:hAnsi="Times New Roman" w:cs="Times New Roman"/>
                      <w:b w:val="0"/>
                      <w:bCs/>
                      <w:color w:val="auto"/>
                      <w:sz w:val="21"/>
                      <w:szCs w:val="21"/>
                    </w:rPr>
                    <w:t>万</w:t>
                  </w:r>
                </w:p>
              </w:tc>
              <w:tc>
                <w:tcPr>
                  <w:tcW w:w="738" w:type="dxa"/>
                  <w:tcBorders>
                    <w:tl2br w:val="nil"/>
                    <w:tr2bl w:val="nil"/>
                  </w:tcBorders>
                  <w:vAlign w:val="center"/>
                </w:tcPr>
                <w:p w14:paraId="3887A70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rPr>
                    <w:t>kWh/a</w:t>
                  </w:r>
                </w:p>
              </w:tc>
              <w:tc>
                <w:tcPr>
                  <w:tcW w:w="869" w:type="dxa"/>
                  <w:tcBorders>
                    <w:tl2br w:val="nil"/>
                    <w:tr2bl w:val="nil"/>
                  </w:tcBorders>
                  <w:vAlign w:val="center"/>
                </w:tcPr>
                <w:p w14:paraId="0E15D48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lang w:val="en-US" w:eastAsia="zh-CN"/>
                    </w:rPr>
                    <w:t>/</w:t>
                  </w:r>
                </w:p>
              </w:tc>
              <w:tc>
                <w:tcPr>
                  <w:tcW w:w="785" w:type="dxa"/>
                  <w:tcBorders>
                    <w:tl2br w:val="nil"/>
                    <w:tr2bl w:val="nil"/>
                  </w:tcBorders>
                  <w:vAlign w:val="center"/>
                </w:tcPr>
                <w:p w14:paraId="0457470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lang w:val="en-US" w:eastAsia="zh-CN"/>
                    </w:rPr>
                    <w:t>/</w:t>
                  </w:r>
                </w:p>
              </w:tc>
              <w:tc>
                <w:tcPr>
                  <w:tcW w:w="968" w:type="dxa"/>
                  <w:tcBorders>
                    <w:tl2br w:val="nil"/>
                    <w:tr2bl w:val="nil"/>
                  </w:tcBorders>
                  <w:vAlign w:val="center"/>
                </w:tcPr>
                <w:p w14:paraId="19639B7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lang w:val="en-US" w:eastAsia="zh-CN"/>
                    </w:rPr>
                    <w:t>/</w:t>
                  </w:r>
                </w:p>
              </w:tc>
              <w:tc>
                <w:tcPr>
                  <w:tcW w:w="1071" w:type="dxa"/>
                  <w:tcBorders>
                    <w:tl2br w:val="nil"/>
                    <w:tr2bl w:val="nil"/>
                  </w:tcBorders>
                  <w:vAlign w:val="center"/>
                </w:tcPr>
                <w:p w14:paraId="41213B4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 w:val="21"/>
                      <w:szCs w:val="21"/>
                      <w:lang w:val="en-US" w:eastAsia="zh-CN"/>
                    </w:rPr>
                    <w:t>/</w:t>
                  </w:r>
                </w:p>
              </w:tc>
              <w:tc>
                <w:tcPr>
                  <w:tcW w:w="684" w:type="dxa"/>
                  <w:tcBorders>
                    <w:tl2br w:val="nil"/>
                    <w:tr2bl w:val="nil"/>
                  </w:tcBorders>
                  <w:vAlign w:val="center"/>
                </w:tcPr>
                <w:p w14:paraId="6B155EB4">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b w:val="0"/>
                      <w:bCs/>
                      <w:color w:val="auto"/>
                      <w:szCs w:val="21"/>
                    </w:rPr>
                    <w:t>园区电网</w:t>
                  </w:r>
                </w:p>
              </w:tc>
            </w:tr>
          </w:tbl>
          <w:p w14:paraId="497C0B83">
            <w:pPr>
              <w:bidi w:val="0"/>
              <w:spacing w:line="240" w:lineRule="auto"/>
              <w:rPr>
                <w:rFonts w:hint="default" w:ascii="Times New Roman" w:hAnsi="Times New Roman" w:cs="Times New Roman"/>
                <w:color w:val="auto"/>
                <w:sz w:val="24"/>
                <w:szCs w:val="24"/>
                <w:lang w:val="en-US" w:eastAsia="zh-CN"/>
              </w:rPr>
            </w:pPr>
          </w:p>
          <w:p w14:paraId="1BFE4D75">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（2）本</w:t>
            </w:r>
            <w:r>
              <w:rPr>
                <w:rFonts w:hint="default" w:ascii="Times New Roman" w:hAnsi="Times New Roman" w:cs="Times New Roman"/>
                <w:color w:val="auto"/>
                <w:sz w:val="24"/>
                <w:szCs w:val="24"/>
              </w:rPr>
              <w:t>项目主要辅料理化性质见</w:t>
            </w:r>
            <w:r>
              <w:rPr>
                <w:rFonts w:hint="default" w:ascii="Times New Roman" w:hAnsi="Times New Roman" w:cs="Times New Roman"/>
                <w:color w:val="auto"/>
                <w:sz w:val="24"/>
                <w:szCs w:val="24"/>
                <w:lang w:eastAsia="zh-CN"/>
              </w:rPr>
              <w:t>下表</w:t>
            </w:r>
            <w:r>
              <w:rPr>
                <w:rFonts w:hint="default" w:ascii="Times New Roman" w:hAnsi="Times New Roman" w:cs="Times New Roman"/>
                <w:color w:val="auto"/>
                <w:sz w:val="24"/>
                <w:szCs w:val="24"/>
              </w:rPr>
              <w:t>。</w:t>
            </w:r>
          </w:p>
          <w:p w14:paraId="717DBDC8">
            <w:pPr>
              <w:pStyle w:val="38"/>
              <w:bidi w:val="0"/>
              <w:rPr>
                <w:rFonts w:hint="default" w:ascii="Times New Roman" w:hAnsi="Times New Roman" w:cs="Times New Roman"/>
                <w:color w:val="auto"/>
              </w:rPr>
            </w:pPr>
            <w:r>
              <w:rPr>
                <w:rFonts w:hint="default" w:ascii="Times New Roman" w:hAnsi="Times New Roman" w:cs="Times New Roman"/>
                <w:color w:val="auto"/>
                <w:lang w:val="zh-CN"/>
              </w:rPr>
              <w:t>表</w:t>
            </w:r>
            <w:r>
              <w:rPr>
                <w:rFonts w:hint="default" w:ascii="Times New Roman" w:hAnsi="Times New Roman" w:cs="Times New Roman"/>
                <w:color w:val="auto"/>
              </w:rPr>
              <w:t>2-</w:t>
            </w:r>
            <w:r>
              <w:rPr>
                <w:rFonts w:hint="default" w:ascii="Times New Roman" w:hAnsi="Times New Roman" w:cs="Times New Roman"/>
                <w:color w:val="auto"/>
                <w:lang w:val="en-US" w:eastAsia="zh-CN"/>
              </w:rPr>
              <w:t>6</w:t>
            </w:r>
            <w:r>
              <w:rPr>
                <w:rFonts w:hint="default" w:ascii="Times New Roman" w:hAnsi="Times New Roman" w:cs="Times New Roman"/>
                <w:color w:val="auto"/>
                <w:lang w:val="zh-CN"/>
              </w:rPr>
              <w:t xml:space="preserve">  项目</w:t>
            </w:r>
            <w:r>
              <w:rPr>
                <w:rFonts w:hint="default" w:ascii="Times New Roman" w:hAnsi="Times New Roman" w:cs="Times New Roman"/>
                <w:color w:val="auto"/>
              </w:rPr>
              <w:t>辅料理化性质</w:t>
            </w:r>
          </w:p>
          <w:tbl>
            <w:tblPr>
              <w:tblStyle w:val="31"/>
              <w:tblW w:w="861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50"/>
              <w:gridCol w:w="796"/>
              <w:gridCol w:w="5213"/>
              <w:gridCol w:w="1657"/>
              <w:gridCol w:w="498"/>
            </w:tblGrid>
            <w:tr w14:paraId="11B93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1" w:type="pct"/>
                  <w:tcBorders>
                    <w:tl2br w:val="nil"/>
                    <w:tr2bl w:val="nil"/>
                  </w:tcBorders>
                  <w:noWrap w:val="0"/>
                  <w:vAlign w:val="center"/>
                </w:tcPr>
                <w:p w14:paraId="72F22E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序号</w:t>
                  </w:r>
                </w:p>
              </w:tc>
              <w:tc>
                <w:tcPr>
                  <w:tcW w:w="462" w:type="pct"/>
                  <w:tcBorders>
                    <w:tl2br w:val="nil"/>
                    <w:tr2bl w:val="nil"/>
                  </w:tcBorders>
                  <w:noWrap w:val="0"/>
                  <w:vAlign w:val="center"/>
                </w:tcPr>
                <w:p w14:paraId="5306EA5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名称</w:t>
                  </w:r>
                </w:p>
              </w:tc>
              <w:tc>
                <w:tcPr>
                  <w:tcW w:w="3025" w:type="pct"/>
                  <w:tcBorders>
                    <w:tl2br w:val="nil"/>
                    <w:tr2bl w:val="nil"/>
                  </w:tcBorders>
                  <w:noWrap w:val="0"/>
                  <w:vAlign w:val="center"/>
                </w:tcPr>
                <w:p w14:paraId="3C94F0E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理化性质</w:t>
                  </w:r>
                </w:p>
              </w:tc>
              <w:tc>
                <w:tcPr>
                  <w:tcW w:w="961" w:type="pct"/>
                  <w:tcBorders>
                    <w:tl2br w:val="nil"/>
                    <w:tr2bl w:val="nil"/>
                  </w:tcBorders>
                  <w:noWrap w:val="0"/>
                  <w:vAlign w:val="center"/>
                </w:tcPr>
                <w:p w14:paraId="7AA644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CAS号</w:t>
                  </w:r>
                </w:p>
              </w:tc>
              <w:tc>
                <w:tcPr>
                  <w:tcW w:w="289" w:type="pct"/>
                  <w:tcBorders>
                    <w:tl2br w:val="nil"/>
                    <w:tr2bl w:val="nil"/>
                  </w:tcBorders>
                  <w:noWrap w:val="0"/>
                  <w:vAlign w:val="center"/>
                </w:tcPr>
                <w:p w14:paraId="1589F9C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备注</w:t>
                  </w:r>
                </w:p>
              </w:tc>
            </w:tr>
            <w:tr w14:paraId="4C373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261" w:type="pct"/>
                  <w:vMerge w:val="restart"/>
                  <w:tcBorders>
                    <w:tl2br w:val="nil"/>
                    <w:tr2bl w:val="nil"/>
                  </w:tcBorders>
                  <w:noWrap w:val="0"/>
                  <w:vAlign w:val="center"/>
                </w:tcPr>
                <w:p w14:paraId="0F155D6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w:t>
                  </w:r>
                </w:p>
              </w:tc>
              <w:tc>
                <w:tcPr>
                  <w:tcW w:w="462" w:type="pct"/>
                  <w:vMerge w:val="restart"/>
                  <w:tcBorders>
                    <w:tl2br w:val="nil"/>
                    <w:tr2bl w:val="nil"/>
                  </w:tcBorders>
                  <w:noWrap w:val="0"/>
                  <w:vAlign w:val="center"/>
                </w:tcPr>
                <w:p w14:paraId="1275CF5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无铅焊条/丝</w:t>
                  </w:r>
                </w:p>
              </w:tc>
              <w:tc>
                <w:tcPr>
                  <w:tcW w:w="3025" w:type="pct"/>
                  <w:vMerge w:val="restart"/>
                  <w:tcBorders>
                    <w:tl2br w:val="nil"/>
                    <w:tr2bl w:val="nil"/>
                  </w:tcBorders>
                  <w:noWrap w:val="0"/>
                  <w:vAlign w:val="center"/>
                </w:tcPr>
                <w:p w14:paraId="0D345FE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外观与性状：</w:t>
                  </w:r>
                  <w:r>
                    <w:rPr>
                      <w:rFonts w:hint="default" w:ascii="Times New Roman" w:hAnsi="Times New Roman" w:cs="Times New Roman"/>
                      <w:b w:val="0"/>
                      <w:bCs/>
                      <w:color w:val="auto"/>
                      <w:sz w:val="21"/>
                      <w:szCs w:val="21"/>
                      <w:lang w:val="en-US" w:eastAsia="zh-CN"/>
                    </w:rPr>
                    <w:t>银色条状或细条状</w:t>
                  </w:r>
                  <w:r>
                    <w:rPr>
                      <w:rFonts w:hint="default" w:ascii="Times New Roman" w:hAnsi="Times New Roman" w:cs="Times New Roman"/>
                      <w:b w:val="0"/>
                      <w:bCs/>
                      <w:color w:val="auto"/>
                      <w:sz w:val="21"/>
                      <w:szCs w:val="21"/>
                    </w:rPr>
                    <w:t>；</w:t>
                  </w:r>
                  <w:r>
                    <w:rPr>
                      <w:rFonts w:hint="default" w:ascii="Times New Roman" w:hAnsi="Times New Roman" w:cs="Times New Roman"/>
                      <w:b w:val="0"/>
                      <w:bCs/>
                      <w:color w:val="auto"/>
                      <w:sz w:val="21"/>
                      <w:szCs w:val="21"/>
                      <w:lang w:eastAsia="zh-CN"/>
                    </w:rPr>
                    <w:t>无气味</w:t>
                  </w:r>
                  <w:r>
                    <w:rPr>
                      <w:rFonts w:hint="default" w:ascii="Times New Roman" w:hAnsi="Times New Roman" w:cs="Times New Roman"/>
                      <w:b w:val="0"/>
                      <w:bCs/>
                      <w:color w:val="auto"/>
                      <w:sz w:val="21"/>
                      <w:szCs w:val="21"/>
                      <w:lang w:val="en-US" w:eastAsia="zh-CN"/>
                    </w:rPr>
                    <w:t>；</w:t>
                  </w:r>
                  <w:r>
                    <w:rPr>
                      <w:rFonts w:hint="default" w:ascii="Times New Roman" w:hAnsi="Times New Roman" w:cs="Times New Roman"/>
                      <w:b w:val="0"/>
                      <w:bCs/>
                      <w:color w:val="auto"/>
                      <w:sz w:val="21"/>
                      <w:szCs w:val="21"/>
                    </w:rPr>
                    <w:t>组成成分：</w:t>
                  </w:r>
                  <w:r>
                    <w:rPr>
                      <w:rFonts w:hint="default" w:ascii="Times New Roman" w:hAnsi="Times New Roman" w:cs="Times New Roman"/>
                      <w:b w:val="0"/>
                      <w:bCs/>
                      <w:color w:val="auto"/>
                      <w:sz w:val="21"/>
                      <w:szCs w:val="21"/>
                      <w:lang w:eastAsia="zh-CN"/>
                    </w:rPr>
                    <w:t>成分为锡和铜，锡占</w:t>
                  </w:r>
                  <w:r>
                    <w:rPr>
                      <w:rFonts w:hint="default" w:ascii="Times New Roman" w:hAnsi="Times New Roman" w:cs="Times New Roman"/>
                      <w:b w:val="0"/>
                      <w:bCs/>
                      <w:color w:val="auto"/>
                      <w:sz w:val="21"/>
                      <w:szCs w:val="21"/>
                      <w:lang w:val="en-US" w:eastAsia="zh-CN"/>
                    </w:rPr>
                    <w:t>99.7%、</w:t>
                  </w:r>
                  <w:r>
                    <w:rPr>
                      <w:rFonts w:hint="default" w:ascii="Times New Roman" w:hAnsi="Times New Roman" w:cs="Times New Roman"/>
                      <w:b w:val="0"/>
                      <w:bCs/>
                      <w:color w:val="auto"/>
                      <w:sz w:val="21"/>
                      <w:szCs w:val="21"/>
                      <w:lang w:eastAsia="zh-CN"/>
                    </w:rPr>
                    <w:t>铜占</w:t>
                  </w:r>
                  <w:r>
                    <w:rPr>
                      <w:rFonts w:hint="default" w:ascii="Times New Roman" w:hAnsi="Times New Roman" w:cs="Times New Roman"/>
                      <w:b w:val="0"/>
                      <w:bCs/>
                      <w:color w:val="auto"/>
                      <w:sz w:val="21"/>
                      <w:szCs w:val="21"/>
                      <w:lang w:val="en-US" w:eastAsia="zh-CN"/>
                    </w:rPr>
                    <w:t>0.3%</w:t>
                  </w:r>
                  <w:r>
                    <w:rPr>
                      <w:rFonts w:hint="default" w:ascii="Times New Roman" w:hAnsi="Times New Roman" w:cs="Times New Roman"/>
                      <w:b w:val="0"/>
                      <w:bCs/>
                      <w:color w:val="auto"/>
                      <w:sz w:val="21"/>
                      <w:szCs w:val="21"/>
                    </w:rPr>
                    <w:t>；用于</w:t>
                  </w:r>
                  <w:r>
                    <w:rPr>
                      <w:rFonts w:hint="default" w:ascii="Times New Roman" w:hAnsi="Times New Roman" w:cs="Times New Roman"/>
                      <w:b w:val="0"/>
                      <w:bCs/>
                      <w:color w:val="auto"/>
                      <w:sz w:val="21"/>
                      <w:szCs w:val="21"/>
                      <w:lang w:eastAsia="zh-CN"/>
                    </w:rPr>
                    <w:t>金属焊接</w:t>
                  </w:r>
                  <w:r>
                    <w:rPr>
                      <w:rFonts w:hint="default" w:ascii="Times New Roman" w:hAnsi="Times New Roman" w:cs="Times New Roman"/>
                      <w:b w:val="0"/>
                      <w:bCs/>
                      <w:color w:val="auto"/>
                      <w:sz w:val="21"/>
                      <w:szCs w:val="21"/>
                    </w:rPr>
                    <w:t>。</w:t>
                  </w:r>
                </w:p>
              </w:tc>
              <w:tc>
                <w:tcPr>
                  <w:tcW w:w="961" w:type="pct"/>
                  <w:tcBorders>
                    <w:tl2br w:val="nil"/>
                    <w:tr2bl w:val="nil"/>
                  </w:tcBorders>
                  <w:noWrap w:val="0"/>
                  <w:vAlign w:val="center"/>
                </w:tcPr>
                <w:p w14:paraId="77FEC48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锡：7440-09-7</w:t>
                  </w:r>
                </w:p>
              </w:tc>
              <w:tc>
                <w:tcPr>
                  <w:tcW w:w="289" w:type="pct"/>
                  <w:vMerge w:val="restart"/>
                  <w:tcBorders>
                    <w:tl2br w:val="nil"/>
                    <w:tr2bl w:val="nil"/>
                  </w:tcBorders>
                  <w:noWrap w:val="0"/>
                  <w:vAlign w:val="center"/>
                </w:tcPr>
                <w:p w14:paraId="357F7CD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不燃</w:t>
                  </w:r>
                </w:p>
              </w:tc>
            </w:tr>
            <w:tr w14:paraId="23ABA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1" w:type="pct"/>
                  <w:vMerge w:val="continue"/>
                  <w:tcBorders>
                    <w:tl2br w:val="nil"/>
                    <w:tr2bl w:val="nil"/>
                  </w:tcBorders>
                  <w:noWrap w:val="0"/>
                  <w:vAlign w:val="center"/>
                </w:tcPr>
                <w:p w14:paraId="49D8D3A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rPr>
                  </w:pPr>
                </w:p>
              </w:tc>
              <w:tc>
                <w:tcPr>
                  <w:tcW w:w="462" w:type="pct"/>
                  <w:vMerge w:val="continue"/>
                  <w:tcBorders>
                    <w:tl2br w:val="nil"/>
                    <w:tr2bl w:val="nil"/>
                  </w:tcBorders>
                  <w:noWrap w:val="0"/>
                  <w:vAlign w:val="center"/>
                </w:tcPr>
                <w:p w14:paraId="16BED47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rPr>
                  </w:pPr>
                </w:p>
              </w:tc>
              <w:tc>
                <w:tcPr>
                  <w:tcW w:w="3025" w:type="pct"/>
                  <w:vMerge w:val="continue"/>
                  <w:tcBorders>
                    <w:tl2br w:val="nil"/>
                    <w:tr2bl w:val="nil"/>
                  </w:tcBorders>
                  <w:noWrap w:val="0"/>
                  <w:vAlign w:val="center"/>
                </w:tcPr>
                <w:p w14:paraId="53964B4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rPr>
                  </w:pPr>
                </w:p>
              </w:tc>
              <w:tc>
                <w:tcPr>
                  <w:tcW w:w="961" w:type="pct"/>
                  <w:tcBorders>
                    <w:tl2br w:val="nil"/>
                    <w:tr2bl w:val="nil"/>
                  </w:tcBorders>
                  <w:noWrap w:val="0"/>
                  <w:vAlign w:val="center"/>
                </w:tcPr>
                <w:p w14:paraId="48B4FAB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铜：7440-50-8‌</w:t>
                  </w:r>
                </w:p>
              </w:tc>
              <w:tc>
                <w:tcPr>
                  <w:tcW w:w="289" w:type="pct"/>
                  <w:vMerge w:val="continue"/>
                  <w:tcBorders>
                    <w:tl2br w:val="nil"/>
                    <w:tr2bl w:val="nil"/>
                  </w:tcBorders>
                  <w:noWrap w:val="0"/>
                  <w:vAlign w:val="center"/>
                </w:tcPr>
                <w:p w14:paraId="3C9531E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p>
              </w:tc>
            </w:tr>
            <w:tr w14:paraId="1AA7C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1" w:type="pct"/>
                  <w:tcBorders>
                    <w:tl2br w:val="nil"/>
                    <w:tr2bl w:val="nil"/>
                  </w:tcBorders>
                  <w:noWrap w:val="0"/>
                  <w:vAlign w:val="center"/>
                </w:tcPr>
                <w:p w14:paraId="172884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cs="Times New Roman"/>
                      <w:b w:val="0"/>
                      <w:bCs/>
                      <w:color w:val="auto"/>
                      <w:sz w:val="21"/>
                      <w:szCs w:val="21"/>
                      <w:lang w:val="en-US" w:eastAsia="zh-CN"/>
                    </w:rPr>
                    <w:t>2</w:t>
                  </w:r>
                </w:p>
              </w:tc>
              <w:tc>
                <w:tcPr>
                  <w:tcW w:w="462" w:type="pct"/>
                  <w:tcBorders>
                    <w:tl2br w:val="nil"/>
                    <w:tr2bl w:val="nil"/>
                  </w:tcBorders>
                  <w:noWrap w:val="0"/>
                  <w:vAlign w:val="center"/>
                </w:tcPr>
                <w:p w14:paraId="6F67136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水性丙烯酸面漆</w:t>
                  </w:r>
                </w:p>
              </w:tc>
              <w:tc>
                <w:tcPr>
                  <w:tcW w:w="3025" w:type="pct"/>
                  <w:tcBorders>
                    <w:tl2br w:val="nil"/>
                    <w:tr2bl w:val="nil"/>
                  </w:tcBorders>
                  <w:noWrap w:val="0"/>
                  <w:vAlign w:val="center"/>
                </w:tcPr>
                <w:p w14:paraId="04F44A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rPr>
                    <w:t>外观与性状：</w:t>
                  </w:r>
                  <w:r>
                    <w:rPr>
                      <w:rFonts w:hint="default" w:ascii="Times New Roman" w:hAnsi="Times New Roman" w:cs="Times New Roman"/>
                      <w:b w:val="0"/>
                      <w:bCs/>
                      <w:color w:val="auto"/>
                      <w:sz w:val="21"/>
                      <w:szCs w:val="21"/>
                      <w:lang w:val="en-US" w:eastAsia="zh-CN"/>
                    </w:rPr>
                    <w:t>各色液体</w:t>
                  </w:r>
                  <w:r>
                    <w:rPr>
                      <w:rFonts w:hint="default" w:ascii="Times New Roman" w:hAnsi="Times New Roman" w:cs="Times New Roman"/>
                      <w:b w:val="0"/>
                      <w:bCs/>
                      <w:color w:val="auto"/>
                      <w:sz w:val="21"/>
                      <w:szCs w:val="21"/>
                    </w:rPr>
                    <w:t>；</w:t>
                  </w:r>
                  <w:r>
                    <w:rPr>
                      <w:rFonts w:hint="default" w:ascii="Times New Roman" w:hAnsi="Times New Roman" w:cs="Times New Roman"/>
                      <w:b w:val="0"/>
                      <w:bCs/>
                      <w:color w:val="auto"/>
                      <w:sz w:val="21"/>
                      <w:szCs w:val="21"/>
                      <w:lang w:eastAsia="zh-CN"/>
                    </w:rPr>
                    <w:t>稍有</w:t>
                  </w:r>
                  <w:r>
                    <w:rPr>
                      <w:rFonts w:hint="default" w:ascii="Times New Roman" w:hAnsi="Times New Roman" w:cs="Times New Roman"/>
                      <w:b w:val="0"/>
                      <w:bCs/>
                      <w:color w:val="auto"/>
                      <w:sz w:val="21"/>
                      <w:szCs w:val="21"/>
                      <w:lang w:val="en-US" w:eastAsia="zh-CN"/>
                    </w:rPr>
                    <w:t>气味</w:t>
                  </w:r>
                  <w:r>
                    <w:rPr>
                      <w:rFonts w:hint="default" w:ascii="Times New Roman" w:hAnsi="Times New Roman" w:cs="Times New Roman"/>
                      <w:b w:val="0"/>
                      <w:bCs/>
                      <w:color w:val="auto"/>
                      <w:sz w:val="21"/>
                      <w:szCs w:val="21"/>
                      <w:lang w:eastAsia="zh-CN"/>
                    </w:rPr>
                    <w:t>。</w:t>
                  </w:r>
                  <w:r>
                    <w:rPr>
                      <w:rFonts w:hint="default" w:ascii="Times New Roman" w:hAnsi="Times New Roman" w:cs="Times New Roman"/>
                      <w:b w:val="0"/>
                      <w:bCs/>
                      <w:color w:val="auto"/>
                      <w:sz w:val="21"/>
                      <w:szCs w:val="21"/>
                      <w:lang w:val="en-US" w:eastAsia="zh-CN"/>
                    </w:rPr>
                    <w:t>主要成分为水性树脂（含量65-75%）、醇酯十二（含量3~4%）、水（含量6~10%）、水性助剂（含量3~5%）、色粉（含量8~10%）、防锈填料（含量2~5%）。闪点（闭杯）：＞95.0℃；pH：7.5~9.5（25℃，50.0g/L）溶解性：混溶于水；密度/相对密度：1.02-1.05g/cm</w:t>
                  </w:r>
                  <w:r>
                    <w:rPr>
                      <w:rFonts w:hint="default" w:ascii="Times New Roman" w:hAnsi="Times New Roman" w:cs="Times New Roman"/>
                      <w:b w:val="0"/>
                      <w:bCs/>
                      <w:color w:val="auto"/>
                      <w:sz w:val="21"/>
                      <w:szCs w:val="21"/>
                      <w:vertAlign w:val="superscript"/>
                      <w:lang w:val="en-US" w:eastAsia="zh-CN"/>
                    </w:rPr>
                    <w:t>3</w:t>
                  </w:r>
                  <w:r>
                    <w:rPr>
                      <w:rFonts w:hint="default" w:ascii="Times New Roman" w:hAnsi="Times New Roman" w:cs="Times New Roman"/>
                      <w:b w:val="0"/>
                      <w:bCs/>
                      <w:color w:val="auto"/>
                      <w:sz w:val="21"/>
                      <w:szCs w:val="21"/>
                      <w:lang w:val="en-US" w:eastAsia="zh-CN"/>
                    </w:rPr>
                    <w:t>（20.0℃±0.1℃）。</w:t>
                  </w:r>
                </w:p>
              </w:tc>
              <w:tc>
                <w:tcPr>
                  <w:tcW w:w="961" w:type="pct"/>
                  <w:tcBorders>
                    <w:tl2br w:val="nil"/>
                    <w:tr2bl w:val="nil"/>
                  </w:tcBorders>
                  <w:noWrap w:val="0"/>
                  <w:vAlign w:val="center"/>
                </w:tcPr>
                <w:p w14:paraId="1180F0B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醇酯十二：25265-77-4</w:t>
                  </w:r>
                </w:p>
              </w:tc>
              <w:tc>
                <w:tcPr>
                  <w:tcW w:w="289" w:type="pct"/>
                  <w:tcBorders>
                    <w:tl2br w:val="nil"/>
                    <w:tr2bl w:val="nil"/>
                  </w:tcBorders>
                  <w:noWrap w:val="0"/>
                  <w:vAlign w:val="center"/>
                </w:tcPr>
                <w:p w14:paraId="56C7A2C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不易燃</w:t>
                  </w:r>
                </w:p>
              </w:tc>
            </w:tr>
            <w:tr w14:paraId="1FEA3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261" w:type="pct"/>
                  <w:tcBorders>
                    <w:tl2br w:val="nil"/>
                    <w:tr2bl w:val="nil"/>
                  </w:tcBorders>
                  <w:noWrap w:val="0"/>
                  <w:vAlign w:val="center"/>
                </w:tcPr>
                <w:p w14:paraId="4B1C10B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w:t>
                  </w:r>
                </w:p>
              </w:tc>
              <w:tc>
                <w:tcPr>
                  <w:tcW w:w="462" w:type="pct"/>
                  <w:tcBorders>
                    <w:tl2br w:val="nil"/>
                    <w:tr2bl w:val="nil"/>
                  </w:tcBorders>
                  <w:noWrap w:val="0"/>
                  <w:vAlign w:val="center"/>
                </w:tcPr>
                <w:p w14:paraId="786A2AC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eastAsia="zh-CN"/>
                    </w:rPr>
                    <w:t>润滑</w:t>
                  </w:r>
                  <w:r>
                    <w:rPr>
                      <w:rFonts w:hint="default" w:ascii="Times New Roman" w:hAnsi="Times New Roman" w:cs="Times New Roman"/>
                      <w:b w:val="0"/>
                      <w:bCs/>
                      <w:color w:val="auto"/>
                      <w:sz w:val="21"/>
                      <w:szCs w:val="21"/>
                    </w:rPr>
                    <w:t>油</w:t>
                  </w:r>
                </w:p>
              </w:tc>
              <w:tc>
                <w:tcPr>
                  <w:tcW w:w="3025" w:type="pct"/>
                  <w:tcBorders>
                    <w:tl2br w:val="nil"/>
                    <w:tr2bl w:val="nil"/>
                  </w:tcBorders>
                  <w:noWrap w:val="0"/>
                  <w:vAlign w:val="center"/>
                </w:tcPr>
                <w:p w14:paraId="03EBF79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rPr>
                    <w:t>组成成分：</w:t>
                  </w:r>
                  <w:r>
                    <w:rPr>
                      <w:rFonts w:hint="default" w:ascii="Times New Roman" w:hAnsi="Times New Roman" w:cs="Times New Roman"/>
                      <w:b w:val="0"/>
                      <w:bCs/>
                      <w:color w:val="auto"/>
                      <w:sz w:val="21"/>
                      <w:szCs w:val="21"/>
                      <w:lang w:eastAsia="zh-CN"/>
                    </w:rPr>
                    <w:t>由基础油和添加剂组成</w:t>
                  </w:r>
                  <w:r>
                    <w:rPr>
                      <w:rFonts w:hint="default" w:ascii="Times New Roman" w:hAnsi="Times New Roman" w:cs="Times New Roman"/>
                      <w:b w:val="0"/>
                      <w:bCs/>
                      <w:color w:val="auto"/>
                      <w:sz w:val="21"/>
                      <w:szCs w:val="21"/>
                    </w:rPr>
                    <w:t>；外观与性状：</w:t>
                  </w:r>
                  <w:r>
                    <w:rPr>
                      <w:rFonts w:hint="default" w:ascii="Times New Roman" w:hAnsi="Times New Roman" w:cs="Times New Roman"/>
                      <w:b w:val="0"/>
                      <w:bCs/>
                      <w:color w:val="auto"/>
                      <w:sz w:val="21"/>
                      <w:szCs w:val="21"/>
                      <w:lang w:eastAsia="zh-CN"/>
                    </w:rPr>
                    <w:t>淡黄色粘稠液体</w:t>
                  </w:r>
                  <w:r>
                    <w:rPr>
                      <w:rFonts w:hint="default" w:ascii="Times New Roman" w:hAnsi="Times New Roman" w:cs="Times New Roman"/>
                      <w:b w:val="0"/>
                      <w:bCs/>
                      <w:color w:val="auto"/>
                      <w:sz w:val="21"/>
                      <w:szCs w:val="21"/>
                    </w:rPr>
                    <w:t>；闪点：</w:t>
                  </w:r>
                  <w:r>
                    <w:rPr>
                      <w:rFonts w:hint="default" w:ascii="Times New Roman" w:hAnsi="Times New Roman" w:cs="Times New Roman"/>
                      <w:b w:val="0"/>
                      <w:bCs/>
                      <w:color w:val="auto"/>
                      <w:sz w:val="21"/>
                      <w:szCs w:val="21"/>
                      <w:lang w:val="en-US" w:eastAsia="zh-CN"/>
                    </w:rPr>
                    <w:t>120~340</w:t>
                  </w:r>
                  <w:r>
                    <w:rPr>
                      <w:rFonts w:hint="default" w:ascii="Times New Roman" w:hAnsi="Times New Roman" w:cs="Times New Roman"/>
                      <w:b w:val="0"/>
                      <w:bCs/>
                      <w:color w:val="auto"/>
                      <w:sz w:val="21"/>
                      <w:szCs w:val="21"/>
                    </w:rPr>
                    <w:t>℃</w:t>
                  </w:r>
                  <w:r>
                    <w:rPr>
                      <w:rFonts w:hint="default" w:ascii="Times New Roman" w:hAnsi="Times New Roman" w:cs="Times New Roman"/>
                      <w:b w:val="0"/>
                      <w:bCs/>
                      <w:color w:val="auto"/>
                      <w:sz w:val="21"/>
                      <w:szCs w:val="21"/>
                      <w:lang w:eastAsia="zh-CN"/>
                    </w:rPr>
                    <w:t>；</w:t>
                  </w:r>
                  <w:r>
                    <w:rPr>
                      <w:rFonts w:hint="default" w:ascii="Times New Roman" w:hAnsi="Times New Roman" w:cs="Times New Roman"/>
                      <w:b w:val="0"/>
                      <w:bCs/>
                      <w:color w:val="auto"/>
                      <w:sz w:val="21"/>
                      <w:szCs w:val="21"/>
                    </w:rPr>
                    <w:t>水中溶解度：不溶；自燃温度</w:t>
                  </w:r>
                  <w:r>
                    <w:rPr>
                      <w:rFonts w:hint="default" w:ascii="Times New Roman" w:hAnsi="Times New Roman" w:cs="Times New Roman"/>
                      <w:b w:val="0"/>
                      <w:bCs/>
                      <w:color w:val="auto"/>
                      <w:sz w:val="21"/>
                      <w:szCs w:val="21"/>
                      <w:lang w:eastAsia="zh-CN"/>
                    </w:rPr>
                    <w:t>：</w:t>
                  </w:r>
                  <w:r>
                    <w:rPr>
                      <w:rFonts w:hint="default" w:ascii="Times New Roman" w:hAnsi="Times New Roman" w:cs="Times New Roman"/>
                      <w:b w:val="0"/>
                      <w:bCs/>
                      <w:color w:val="auto"/>
                      <w:sz w:val="21"/>
                      <w:szCs w:val="21"/>
                      <w:lang w:val="en-US" w:eastAsia="zh-CN"/>
                    </w:rPr>
                    <w:t>300~350</w:t>
                  </w:r>
                  <w:r>
                    <w:rPr>
                      <w:rFonts w:hint="default" w:ascii="Times New Roman" w:hAnsi="Times New Roman" w:cs="Times New Roman"/>
                      <w:b w:val="0"/>
                      <w:bCs/>
                      <w:color w:val="auto"/>
                      <w:sz w:val="21"/>
                      <w:szCs w:val="21"/>
                    </w:rPr>
                    <w:t>℃</w:t>
                  </w:r>
                  <w:r>
                    <w:rPr>
                      <w:rFonts w:hint="default" w:ascii="Times New Roman" w:hAnsi="Times New Roman" w:cs="Times New Roman"/>
                      <w:b w:val="0"/>
                      <w:bCs/>
                      <w:color w:val="auto"/>
                      <w:sz w:val="21"/>
                      <w:szCs w:val="21"/>
                      <w:lang w:eastAsia="zh-CN"/>
                    </w:rPr>
                    <w:t>；</w:t>
                  </w:r>
                  <w:r>
                    <w:rPr>
                      <w:rFonts w:hint="default" w:ascii="Times New Roman" w:hAnsi="Times New Roman" w:cs="Times New Roman"/>
                      <w:b w:val="0"/>
                      <w:bCs/>
                      <w:color w:val="auto"/>
                      <w:sz w:val="21"/>
                      <w:szCs w:val="21"/>
                    </w:rPr>
                    <w:t>粘度：40℃</w:t>
                  </w:r>
                  <w:r>
                    <w:rPr>
                      <w:rFonts w:hint="default" w:ascii="Times New Roman" w:hAnsi="Times New Roman" w:cs="Times New Roman"/>
                      <w:b w:val="0"/>
                      <w:bCs/>
                      <w:color w:val="auto"/>
                      <w:sz w:val="21"/>
                      <w:szCs w:val="21"/>
                      <w:lang w:eastAsia="zh-CN"/>
                    </w:rPr>
                    <w:t>；</w:t>
                  </w:r>
                  <w:r>
                    <w:rPr>
                      <w:rFonts w:hint="default" w:ascii="Times New Roman" w:hAnsi="Times New Roman" w:cs="Times New Roman"/>
                      <w:b w:val="0"/>
                      <w:bCs/>
                      <w:color w:val="auto"/>
                      <w:sz w:val="21"/>
                      <w:szCs w:val="21"/>
                    </w:rPr>
                    <w:t>密度（g/cm</w:t>
                  </w:r>
                  <w:r>
                    <w:rPr>
                      <w:rFonts w:hint="default" w:ascii="Times New Roman" w:hAnsi="Times New Roman" w:cs="Times New Roman"/>
                      <w:b w:val="0"/>
                      <w:bCs/>
                      <w:color w:val="auto"/>
                      <w:sz w:val="21"/>
                      <w:szCs w:val="21"/>
                      <w:vertAlign w:val="superscript"/>
                    </w:rPr>
                    <w:t>3</w:t>
                  </w:r>
                  <w:r>
                    <w:rPr>
                      <w:rFonts w:hint="default" w:ascii="Times New Roman" w:hAnsi="Times New Roman" w:cs="Times New Roman"/>
                      <w:b w:val="0"/>
                      <w:bCs/>
                      <w:color w:val="auto"/>
                      <w:sz w:val="21"/>
                      <w:szCs w:val="21"/>
                    </w:rPr>
                    <w:t>）：0.8</w:t>
                  </w:r>
                  <w:r>
                    <w:rPr>
                      <w:rFonts w:hint="default" w:ascii="Times New Roman" w:hAnsi="Times New Roman" w:cs="Times New Roman"/>
                      <w:b w:val="0"/>
                      <w:bCs/>
                      <w:color w:val="auto"/>
                      <w:sz w:val="21"/>
                      <w:szCs w:val="21"/>
                      <w:lang w:val="en-US" w:eastAsia="zh-CN"/>
                    </w:rPr>
                    <w:t>5</w:t>
                  </w:r>
                  <w:r>
                    <w:rPr>
                      <w:rFonts w:hint="default" w:ascii="Times New Roman" w:hAnsi="Times New Roman" w:cs="Times New Roman"/>
                      <w:b w:val="0"/>
                      <w:bCs/>
                      <w:color w:val="auto"/>
                      <w:sz w:val="21"/>
                      <w:szCs w:val="21"/>
                    </w:rPr>
                    <w:t>；在正常的状态下产品是稳定的</w:t>
                  </w:r>
                  <w:r>
                    <w:rPr>
                      <w:rFonts w:hint="default" w:ascii="Times New Roman" w:hAnsi="Times New Roman" w:cs="Times New Roman"/>
                      <w:b w:val="0"/>
                      <w:bCs/>
                      <w:color w:val="auto"/>
                      <w:sz w:val="21"/>
                      <w:szCs w:val="21"/>
                      <w:lang w:eastAsia="zh-CN"/>
                    </w:rPr>
                    <w:t>；燃烧时产生</w:t>
                  </w:r>
                  <w:r>
                    <w:rPr>
                      <w:rFonts w:hint="default" w:ascii="Times New Roman" w:hAnsi="Times New Roman" w:cs="Times New Roman"/>
                      <w:b w:val="0"/>
                      <w:bCs/>
                      <w:color w:val="auto"/>
                      <w:sz w:val="21"/>
                      <w:szCs w:val="21"/>
                      <w:lang w:val="en-US" w:eastAsia="zh-CN"/>
                    </w:rPr>
                    <w:t>CO、CO</w:t>
                  </w:r>
                  <w:r>
                    <w:rPr>
                      <w:rFonts w:hint="default" w:ascii="Times New Roman" w:hAnsi="Times New Roman" w:cs="Times New Roman"/>
                      <w:b w:val="0"/>
                      <w:bCs/>
                      <w:color w:val="auto"/>
                      <w:sz w:val="21"/>
                      <w:szCs w:val="21"/>
                      <w:vertAlign w:val="subscript"/>
                      <w:lang w:val="en-US" w:eastAsia="zh-CN"/>
                    </w:rPr>
                    <w:t>2</w:t>
                  </w:r>
                  <w:r>
                    <w:rPr>
                      <w:rFonts w:hint="default" w:ascii="Times New Roman" w:hAnsi="Times New Roman" w:cs="Times New Roman"/>
                      <w:b w:val="0"/>
                      <w:bCs/>
                      <w:color w:val="auto"/>
                      <w:sz w:val="21"/>
                      <w:szCs w:val="21"/>
                      <w:lang w:val="en-US" w:eastAsia="zh-CN"/>
                    </w:rPr>
                    <w:t>等有毒有害气体。</w:t>
                  </w:r>
                </w:p>
              </w:tc>
              <w:tc>
                <w:tcPr>
                  <w:tcW w:w="961" w:type="pct"/>
                  <w:tcBorders>
                    <w:tl2br w:val="nil"/>
                    <w:tr2bl w:val="nil"/>
                  </w:tcBorders>
                  <w:noWrap w:val="0"/>
                  <w:vAlign w:val="center"/>
                </w:tcPr>
                <w:p w14:paraId="0A69556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89" w:type="pct"/>
                  <w:tcBorders>
                    <w:tl2br w:val="nil"/>
                    <w:tr2bl w:val="nil"/>
                  </w:tcBorders>
                  <w:noWrap w:val="0"/>
                  <w:vAlign w:val="center"/>
                </w:tcPr>
                <w:p w14:paraId="7BFBC8D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rPr>
                    <w:t>可燃</w:t>
                  </w:r>
                </w:p>
              </w:tc>
            </w:tr>
          </w:tbl>
          <w:p w14:paraId="56BFBE3C">
            <w:pPr>
              <w:spacing w:line="240" w:lineRule="auto"/>
              <w:rPr>
                <w:rFonts w:hint="default" w:ascii="Times New Roman" w:hAnsi="Times New Roman" w:cs="Times New Roman"/>
                <w:b/>
                <w:color w:val="auto"/>
                <w:sz w:val="24"/>
              </w:rPr>
            </w:pPr>
          </w:p>
          <w:p w14:paraId="51BC5435">
            <w:pPr>
              <w:spacing w:line="360" w:lineRule="auto"/>
              <w:ind w:left="0" w:leftChars="0" w:firstLine="0" w:firstLineChars="0"/>
              <w:rPr>
                <w:rFonts w:hint="default" w:ascii="Times New Roman" w:hAnsi="Times New Roman" w:cs="Times New Roman"/>
                <w:b/>
                <w:color w:val="auto"/>
                <w:sz w:val="24"/>
              </w:rPr>
            </w:pPr>
            <w:r>
              <w:rPr>
                <w:rFonts w:hint="default" w:ascii="Times New Roman" w:hAnsi="Times New Roman" w:cs="Times New Roman"/>
                <w:b/>
                <w:color w:val="auto"/>
                <w:sz w:val="24"/>
              </w:rPr>
              <w:t>2.6产品方案及产品规格</w:t>
            </w:r>
          </w:p>
          <w:p w14:paraId="4124F1D0">
            <w:pPr>
              <w:pStyle w:val="100"/>
              <w:spacing w:line="360" w:lineRule="auto"/>
              <w:ind w:firstLine="480" w:firstLineChars="200"/>
              <w:jc w:val="both"/>
              <w:rPr>
                <w:rFonts w:hint="default" w:ascii="Times New Roman" w:hAnsi="Times New Roman" w:eastAsia="宋体" w:cs="Times New Roman"/>
                <w:color w:val="auto"/>
              </w:rPr>
            </w:pPr>
            <w:r>
              <w:rPr>
                <w:rFonts w:hint="default" w:ascii="Times New Roman" w:hAnsi="Times New Roman" w:eastAsia="宋体" w:cs="Times New Roman"/>
                <w:color w:val="auto"/>
                <w:lang w:eastAsia="zh-CN"/>
              </w:rPr>
              <w:t>本项目</w:t>
            </w:r>
            <w:r>
              <w:rPr>
                <w:rFonts w:hint="default" w:ascii="Times New Roman" w:hAnsi="Times New Roman" w:eastAsia="宋体" w:cs="Times New Roman"/>
                <w:color w:val="auto"/>
              </w:rPr>
              <w:t>产品方案及产能见表</w:t>
            </w:r>
            <w:r>
              <w:rPr>
                <w:rFonts w:hint="default" w:ascii="Times New Roman" w:hAnsi="Times New Roman" w:eastAsia="宋体" w:cs="Times New Roman"/>
                <w:color w:val="auto"/>
                <w:lang w:val="en-US" w:eastAsia="zh-CN"/>
              </w:rPr>
              <w:t>2-7</w:t>
            </w:r>
            <w:r>
              <w:rPr>
                <w:rFonts w:hint="default" w:ascii="Times New Roman" w:hAnsi="Times New Roman" w:eastAsia="宋体" w:cs="Times New Roman"/>
                <w:color w:val="auto"/>
              </w:rPr>
              <w:t>。</w:t>
            </w:r>
          </w:p>
          <w:p w14:paraId="5ADDB921">
            <w:pPr>
              <w:pStyle w:val="38"/>
              <w:bidi w:val="0"/>
              <w:rPr>
                <w:rFonts w:hint="default" w:ascii="Times New Roman" w:hAnsi="Times New Roman" w:cs="Times New Roman"/>
                <w:color w:val="auto"/>
                <w:lang w:val="zh-CN" w:eastAsia="zh-CN"/>
              </w:rPr>
            </w:pPr>
            <w:bookmarkStart w:id="8" w:name="_Ref106958532"/>
            <w:bookmarkStart w:id="9" w:name="_Hlk116919458"/>
            <w:r>
              <w:rPr>
                <w:rFonts w:hint="default" w:ascii="Times New Roman" w:hAnsi="Times New Roman" w:cs="Times New Roman"/>
                <w:color w:val="auto"/>
                <w:lang w:val="zh-CN" w:eastAsia="zh-CN"/>
              </w:rPr>
              <w:t>表</w:t>
            </w:r>
            <w:r>
              <w:rPr>
                <w:rFonts w:hint="default" w:ascii="Times New Roman" w:hAnsi="Times New Roman" w:cs="Times New Roman"/>
                <w:color w:val="auto"/>
                <w:lang w:val="en-US" w:eastAsia="zh-CN"/>
              </w:rPr>
              <w:t xml:space="preserve">2-7  </w:t>
            </w:r>
            <w:r>
              <w:rPr>
                <w:rFonts w:hint="default" w:ascii="Times New Roman" w:hAnsi="Times New Roman" w:cs="Times New Roman"/>
                <w:color w:val="auto"/>
                <w:lang w:val="zh-CN" w:eastAsia="zh-CN"/>
              </w:rPr>
              <w:t>项目产品方案</w:t>
            </w:r>
          </w:p>
          <w:bookmarkEnd w:id="8"/>
          <w:bookmarkEnd w:id="9"/>
          <w:tbl>
            <w:tblPr>
              <w:tblStyle w:val="31"/>
              <w:tblW w:w="85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061"/>
              <w:gridCol w:w="1717"/>
              <w:gridCol w:w="1314"/>
              <w:gridCol w:w="1682"/>
              <w:gridCol w:w="2784"/>
            </w:tblGrid>
            <w:tr w14:paraId="41226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6" w:hRule="atLeast"/>
                <w:jc w:val="center"/>
              </w:trPr>
              <w:tc>
                <w:tcPr>
                  <w:tcW w:w="1061" w:type="dxa"/>
                  <w:tcBorders>
                    <w:tl2br w:val="nil"/>
                    <w:tr2bl w:val="nil"/>
                  </w:tcBorders>
                  <w:noWrap w:val="0"/>
                  <w:vAlign w:val="center"/>
                </w:tcPr>
                <w:p w14:paraId="7FA969E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sz w:val="21"/>
                      <w:szCs w:val="21"/>
                      <w:vertAlign w:val="baseline"/>
                      <w:lang w:val="en-US" w:eastAsia="zh-CN"/>
                    </w:rPr>
                    <w:t>序号</w:t>
                  </w:r>
                </w:p>
              </w:tc>
              <w:tc>
                <w:tcPr>
                  <w:tcW w:w="1717" w:type="dxa"/>
                  <w:tcBorders>
                    <w:tl2br w:val="nil"/>
                    <w:tr2bl w:val="nil"/>
                  </w:tcBorders>
                  <w:shd w:val="clear" w:color="auto" w:fill="auto"/>
                  <w:noWrap w:val="0"/>
                  <w:vAlign w:val="center"/>
                </w:tcPr>
                <w:p w14:paraId="7A08156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0"/>
                      <w:lang w:val="en-US" w:eastAsia="zh-CN" w:bidi="ar-SA"/>
                    </w:rPr>
                  </w:pPr>
                  <w:r>
                    <w:rPr>
                      <w:rFonts w:hint="default" w:ascii="Times New Roman" w:hAnsi="Times New Roman" w:cs="Times New Roman"/>
                      <w:b/>
                      <w:bCs/>
                      <w:color w:val="auto"/>
                      <w:sz w:val="21"/>
                      <w:szCs w:val="21"/>
                      <w:vertAlign w:val="baseline"/>
                      <w:lang w:val="en-US" w:eastAsia="zh-CN"/>
                    </w:rPr>
                    <w:t>产品名称</w:t>
                  </w:r>
                </w:p>
              </w:tc>
              <w:tc>
                <w:tcPr>
                  <w:tcW w:w="1314" w:type="dxa"/>
                  <w:tcBorders>
                    <w:tl2br w:val="nil"/>
                    <w:tr2bl w:val="nil"/>
                  </w:tcBorders>
                  <w:shd w:val="clear" w:color="auto" w:fill="auto"/>
                  <w:noWrap w:val="0"/>
                  <w:vAlign w:val="center"/>
                </w:tcPr>
                <w:p w14:paraId="0B8AB54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0"/>
                      <w:lang w:val="en-US" w:eastAsia="zh-CN" w:bidi="ar-SA"/>
                    </w:rPr>
                  </w:pPr>
                  <w:r>
                    <w:rPr>
                      <w:rFonts w:hint="default" w:ascii="Times New Roman" w:hAnsi="Times New Roman" w:cs="Times New Roman"/>
                      <w:b/>
                      <w:bCs/>
                      <w:color w:val="auto"/>
                      <w:sz w:val="21"/>
                      <w:szCs w:val="21"/>
                      <w:vertAlign w:val="baseline"/>
                      <w:lang w:val="en-US" w:eastAsia="zh-CN"/>
                    </w:rPr>
                    <w:t>单位</w:t>
                  </w:r>
                </w:p>
              </w:tc>
              <w:tc>
                <w:tcPr>
                  <w:tcW w:w="1682" w:type="dxa"/>
                  <w:tcBorders>
                    <w:tl2br w:val="nil"/>
                    <w:tr2bl w:val="nil"/>
                  </w:tcBorders>
                  <w:noWrap w:val="0"/>
                  <w:vAlign w:val="center"/>
                </w:tcPr>
                <w:p w14:paraId="27CBF69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sz w:val="21"/>
                      <w:szCs w:val="21"/>
                      <w:vertAlign w:val="baseline"/>
                      <w:lang w:val="en-US" w:eastAsia="zh-CN"/>
                    </w:rPr>
                    <w:t>数量</w:t>
                  </w:r>
                </w:p>
              </w:tc>
              <w:tc>
                <w:tcPr>
                  <w:tcW w:w="2784" w:type="dxa"/>
                  <w:tcBorders>
                    <w:tl2br w:val="nil"/>
                    <w:tr2bl w:val="nil"/>
                  </w:tcBorders>
                  <w:noWrap w:val="0"/>
                  <w:vAlign w:val="center"/>
                </w:tcPr>
                <w:p w14:paraId="1A3749C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产品图片</w:t>
                  </w:r>
                </w:p>
              </w:tc>
            </w:tr>
            <w:tr w14:paraId="46A2D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22" w:hRule="atLeast"/>
                <w:jc w:val="center"/>
              </w:trPr>
              <w:tc>
                <w:tcPr>
                  <w:tcW w:w="1061" w:type="dxa"/>
                  <w:tcBorders>
                    <w:tl2br w:val="nil"/>
                    <w:tr2bl w:val="nil"/>
                  </w:tcBorders>
                  <w:noWrap w:val="0"/>
                  <w:vAlign w:val="center"/>
                </w:tcPr>
                <w:p w14:paraId="76E50BE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w:t>
                  </w:r>
                </w:p>
              </w:tc>
              <w:tc>
                <w:tcPr>
                  <w:tcW w:w="1717" w:type="dxa"/>
                  <w:tcBorders>
                    <w:tl2br w:val="nil"/>
                    <w:tr2bl w:val="nil"/>
                  </w:tcBorders>
                  <w:noWrap w:val="0"/>
                  <w:vAlign w:val="center"/>
                </w:tcPr>
                <w:p w14:paraId="1CF27E3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挤压机</w:t>
                  </w:r>
                </w:p>
              </w:tc>
              <w:tc>
                <w:tcPr>
                  <w:tcW w:w="1314" w:type="dxa"/>
                  <w:tcBorders>
                    <w:tl2br w:val="nil"/>
                    <w:tr2bl w:val="nil"/>
                  </w:tcBorders>
                  <w:noWrap w:val="0"/>
                  <w:vAlign w:val="center"/>
                </w:tcPr>
                <w:p w14:paraId="713592D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套</w:t>
                  </w:r>
                </w:p>
              </w:tc>
              <w:tc>
                <w:tcPr>
                  <w:tcW w:w="1682" w:type="dxa"/>
                  <w:tcBorders>
                    <w:tl2br w:val="nil"/>
                    <w:tr2bl w:val="nil"/>
                  </w:tcBorders>
                  <w:noWrap w:val="0"/>
                  <w:vAlign w:val="center"/>
                </w:tcPr>
                <w:p w14:paraId="1DFBF5A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30</w:t>
                  </w:r>
                </w:p>
              </w:tc>
              <w:tc>
                <w:tcPr>
                  <w:tcW w:w="2784" w:type="dxa"/>
                  <w:tcBorders>
                    <w:tl2br w:val="nil"/>
                    <w:tr2bl w:val="nil"/>
                  </w:tcBorders>
                  <w:noWrap w:val="0"/>
                  <w:vAlign w:val="center"/>
                </w:tcPr>
                <w:p w14:paraId="46B784D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INCLUDEPICTURE \d "https://cmsimg01.71360.com/data/u15089/public/201704/20170420/2017042013322028675.jpg" \* MERGEFORMATINET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drawing>
                      <wp:inline distT="0" distB="0" distL="114300" distR="114300">
                        <wp:extent cx="1558290" cy="1126490"/>
                        <wp:effectExtent l="0" t="0" r="3810" b="16510"/>
                        <wp:docPr id="33" name="图片 3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IMG_256"/>
                                <pic:cNvPicPr>
                                  <a:picLocks noChangeAspect="1"/>
                                </pic:cNvPicPr>
                              </pic:nvPicPr>
                              <pic:blipFill>
                                <a:blip r:embed="rId13"/>
                                <a:srcRect l="4370" t="4705" r="4580" b="2025"/>
                                <a:stretch>
                                  <a:fillRect/>
                                </a:stretch>
                              </pic:blipFill>
                              <pic:spPr>
                                <a:xfrm>
                                  <a:off x="0" y="0"/>
                                  <a:ext cx="1558290" cy="1126490"/>
                                </a:xfrm>
                                <a:prstGeom prst="rect">
                                  <a:avLst/>
                                </a:prstGeom>
                                <a:noFill/>
                                <a:ln>
                                  <a:noFill/>
                                </a:ln>
                              </pic:spPr>
                            </pic:pic>
                          </a:graphicData>
                        </a:graphic>
                      </wp:inline>
                    </w:drawing>
                  </w:r>
                  <w:r>
                    <w:rPr>
                      <w:rFonts w:hint="default" w:ascii="Times New Roman" w:hAnsi="Times New Roman" w:eastAsia="宋体" w:cs="Times New Roman"/>
                      <w:color w:val="auto"/>
                      <w:sz w:val="24"/>
                      <w:szCs w:val="24"/>
                    </w:rPr>
                    <w:fldChar w:fldCharType="end"/>
                  </w:r>
                </w:p>
              </w:tc>
            </w:tr>
            <w:tr w14:paraId="74508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44" w:hRule="atLeast"/>
                <w:jc w:val="center"/>
              </w:trPr>
              <w:tc>
                <w:tcPr>
                  <w:tcW w:w="1061" w:type="dxa"/>
                  <w:tcBorders>
                    <w:tl2br w:val="nil"/>
                    <w:tr2bl w:val="nil"/>
                  </w:tcBorders>
                  <w:noWrap w:val="0"/>
                  <w:vAlign w:val="center"/>
                </w:tcPr>
                <w:p w14:paraId="57D2C10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w:t>
                  </w:r>
                </w:p>
              </w:tc>
              <w:tc>
                <w:tcPr>
                  <w:tcW w:w="1717" w:type="dxa"/>
                  <w:tcBorders>
                    <w:tl2br w:val="nil"/>
                    <w:tr2bl w:val="nil"/>
                  </w:tcBorders>
                  <w:noWrap w:val="0"/>
                  <w:vAlign w:val="center"/>
                </w:tcPr>
                <w:p w14:paraId="1292131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单棒炉</w:t>
                  </w:r>
                </w:p>
              </w:tc>
              <w:tc>
                <w:tcPr>
                  <w:tcW w:w="1314" w:type="dxa"/>
                  <w:tcBorders>
                    <w:tl2br w:val="nil"/>
                    <w:tr2bl w:val="nil"/>
                  </w:tcBorders>
                  <w:noWrap w:val="0"/>
                  <w:vAlign w:val="center"/>
                </w:tcPr>
                <w:p w14:paraId="0A70BC5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套</w:t>
                  </w:r>
                </w:p>
              </w:tc>
              <w:tc>
                <w:tcPr>
                  <w:tcW w:w="1682" w:type="dxa"/>
                  <w:tcBorders>
                    <w:tl2br w:val="nil"/>
                    <w:tr2bl w:val="nil"/>
                  </w:tcBorders>
                  <w:noWrap w:val="0"/>
                  <w:vAlign w:val="center"/>
                </w:tcPr>
                <w:p w14:paraId="7E77BC2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40</w:t>
                  </w:r>
                </w:p>
              </w:tc>
              <w:tc>
                <w:tcPr>
                  <w:tcW w:w="2784" w:type="dxa"/>
                  <w:tcBorders>
                    <w:tl2br w:val="nil"/>
                    <w:tr2bl w:val="nil"/>
                  </w:tcBorders>
                  <w:noWrap w:val="0"/>
                  <w:vAlign w:val="center"/>
                </w:tcPr>
                <w:p w14:paraId="199AD72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INCLUDEPICTURE \d "https://omo-oss-image.thefastimg.com/portal-saas/new2022083114235937859/cms/image/93530638-a4e3-4a26-993c-13a52d4d0cd7.jpg" \* MERGEFORMATINET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drawing>
                      <wp:inline distT="0" distB="0" distL="114300" distR="114300">
                        <wp:extent cx="1566545" cy="1235075"/>
                        <wp:effectExtent l="0" t="0" r="14605" b="3175"/>
                        <wp:docPr id="36" name="图片 3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IMG_256"/>
                                <pic:cNvPicPr>
                                  <a:picLocks noChangeAspect="1"/>
                                </pic:cNvPicPr>
                              </pic:nvPicPr>
                              <pic:blipFill>
                                <a:blip r:embed="rId14"/>
                                <a:stretch>
                                  <a:fillRect/>
                                </a:stretch>
                              </pic:blipFill>
                              <pic:spPr>
                                <a:xfrm>
                                  <a:off x="0" y="0"/>
                                  <a:ext cx="1566545" cy="1235075"/>
                                </a:xfrm>
                                <a:prstGeom prst="rect">
                                  <a:avLst/>
                                </a:prstGeom>
                                <a:noFill/>
                                <a:ln>
                                  <a:noFill/>
                                </a:ln>
                              </pic:spPr>
                            </pic:pic>
                          </a:graphicData>
                        </a:graphic>
                      </wp:inline>
                    </w:drawing>
                  </w:r>
                  <w:r>
                    <w:rPr>
                      <w:rFonts w:hint="default" w:ascii="Times New Roman" w:hAnsi="Times New Roman" w:eastAsia="宋体" w:cs="Times New Roman"/>
                      <w:color w:val="auto"/>
                      <w:sz w:val="24"/>
                      <w:szCs w:val="24"/>
                    </w:rPr>
                    <w:fldChar w:fldCharType="end"/>
                  </w:r>
                </w:p>
              </w:tc>
            </w:tr>
            <w:tr w14:paraId="33B20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36" w:hRule="atLeast"/>
                <w:jc w:val="center"/>
              </w:trPr>
              <w:tc>
                <w:tcPr>
                  <w:tcW w:w="1061" w:type="dxa"/>
                  <w:tcBorders>
                    <w:tl2br w:val="nil"/>
                    <w:tr2bl w:val="nil"/>
                  </w:tcBorders>
                  <w:noWrap w:val="0"/>
                  <w:vAlign w:val="center"/>
                </w:tcPr>
                <w:p w14:paraId="61D3D6B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3</w:t>
                  </w:r>
                </w:p>
              </w:tc>
              <w:tc>
                <w:tcPr>
                  <w:tcW w:w="1717" w:type="dxa"/>
                  <w:tcBorders>
                    <w:tl2br w:val="nil"/>
                    <w:tr2bl w:val="nil"/>
                  </w:tcBorders>
                  <w:noWrap w:val="0"/>
                  <w:vAlign w:val="center"/>
                </w:tcPr>
                <w:p w14:paraId="2EE2FC4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时效炉</w:t>
                  </w:r>
                </w:p>
              </w:tc>
              <w:tc>
                <w:tcPr>
                  <w:tcW w:w="1314" w:type="dxa"/>
                  <w:tcBorders>
                    <w:tl2br w:val="nil"/>
                    <w:tr2bl w:val="nil"/>
                  </w:tcBorders>
                  <w:noWrap w:val="0"/>
                  <w:vAlign w:val="center"/>
                </w:tcPr>
                <w:p w14:paraId="1535537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套</w:t>
                  </w:r>
                </w:p>
              </w:tc>
              <w:tc>
                <w:tcPr>
                  <w:tcW w:w="1682" w:type="dxa"/>
                  <w:tcBorders>
                    <w:tl2br w:val="nil"/>
                    <w:tr2bl w:val="nil"/>
                  </w:tcBorders>
                  <w:noWrap w:val="0"/>
                  <w:vAlign w:val="center"/>
                </w:tcPr>
                <w:p w14:paraId="19881B8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35</w:t>
                  </w:r>
                </w:p>
              </w:tc>
              <w:tc>
                <w:tcPr>
                  <w:tcW w:w="2784" w:type="dxa"/>
                  <w:tcBorders>
                    <w:tl2br w:val="nil"/>
                    <w:tr2bl w:val="nil"/>
                  </w:tcBorders>
                  <w:noWrap w:val="0"/>
                  <w:vAlign w:val="center"/>
                </w:tcPr>
                <w:p w14:paraId="533D41F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rPr>
                    <w:drawing>
                      <wp:inline distT="0" distB="0" distL="114300" distR="114300">
                        <wp:extent cx="1605915" cy="1528445"/>
                        <wp:effectExtent l="0" t="0" r="13335" b="1460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15"/>
                                <a:stretch>
                                  <a:fillRect/>
                                </a:stretch>
                              </pic:blipFill>
                              <pic:spPr>
                                <a:xfrm>
                                  <a:off x="0" y="0"/>
                                  <a:ext cx="1605915" cy="1528445"/>
                                </a:xfrm>
                                <a:prstGeom prst="rect">
                                  <a:avLst/>
                                </a:prstGeom>
                                <a:noFill/>
                                <a:ln>
                                  <a:noFill/>
                                </a:ln>
                              </pic:spPr>
                            </pic:pic>
                          </a:graphicData>
                        </a:graphic>
                      </wp:inline>
                    </w:drawing>
                  </w:r>
                </w:p>
              </w:tc>
            </w:tr>
            <w:tr w14:paraId="619F17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07" w:hRule="atLeast"/>
                <w:jc w:val="center"/>
              </w:trPr>
              <w:tc>
                <w:tcPr>
                  <w:tcW w:w="1061" w:type="dxa"/>
                  <w:tcBorders>
                    <w:tl2br w:val="nil"/>
                    <w:tr2bl w:val="nil"/>
                  </w:tcBorders>
                  <w:noWrap w:val="0"/>
                  <w:vAlign w:val="center"/>
                </w:tcPr>
                <w:p w14:paraId="29548C4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4</w:t>
                  </w:r>
                </w:p>
              </w:tc>
              <w:tc>
                <w:tcPr>
                  <w:tcW w:w="1717" w:type="dxa"/>
                  <w:tcBorders>
                    <w:tl2br w:val="nil"/>
                    <w:tr2bl w:val="nil"/>
                  </w:tcBorders>
                  <w:noWrap w:val="0"/>
                  <w:vAlign w:val="center"/>
                </w:tcPr>
                <w:p w14:paraId="08FBFEA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在线淬火炉</w:t>
                  </w:r>
                </w:p>
              </w:tc>
              <w:tc>
                <w:tcPr>
                  <w:tcW w:w="1314" w:type="dxa"/>
                  <w:tcBorders>
                    <w:tl2br w:val="nil"/>
                    <w:tr2bl w:val="nil"/>
                  </w:tcBorders>
                  <w:noWrap w:val="0"/>
                  <w:vAlign w:val="center"/>
                </w:tcPr>
                <w:p w14:paraId="08AC111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套</w:t>
                  </w:r>
                </w:p>
              </w:tc>
              <w:tc>
                <w:tcPr>
                  <w:tcW w:w="1682" w:type="dxa"/>
                  <w:tcBorders>
                    <w:tl2br w:val="nil"/>
                    <w:tr2bl w:val="nil"/>
                  </w:tcBorders>
                  <w:noWrap w:val="0"/>
                  <w:vAlign w:val="center"/>
                </w:tcPr>
                <w:p w14:paraId="28A75FB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45</w:t>
                  </w:r>
                </w:p>
              </w:tc>
              <w:tc>
                <w:tcPr>
                  <w:tcW w:w="2784" w:type="dxa"/>
                  <w:tcBorders>
                    <w:tl2br w:val="nil"/>
                    <w:tr2bl w:val="nil"/>
                  </w:tcBorders>
                  <w:noWrap w:val="0"/>
                  <w:vAlign w:val="center"/>
                </w:tcPr>
                <w:p w14:paraId="69A558E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INCLUDEPICTURE \d "https://ts1.cn.mm.bing.net/th/id/R-C.5f59ab8b360c76ffc8c603582b6dd4fc?rik=krplZE/ChTIy6Q&amp;riu=http://www.xzkrcl.com/static/upload/image/20220424/1650762378831396.jpg&amp;ehk=0Yog3U69XQAkOKDyMVSYpRFgy74lvOGAHY6Im1XWyAk=&amp;risl=&amp;pid=ImgRaw&amp;r=0" \* MERGEFORMATINET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drawing>
                      <wp:inline distT="0" distB="0" distL="114300" distR="114300">
                        <wp:extent cx="1567180" cy="1325245"/>
                        <wp:effectExtent l="0" t="0" r="13970" b="8255"/>
                        <wp:docPr id="38" name="图片 3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IMG_256"/>
                                <pic:cNvPicPr>
                                  <a:picLocks noChangeAspect="1"/>
                                </pic:cNvPicPr>
                              </pic:nvPicPr>
                              <pic:blipFill>
                                <a:blip r:embed="rId16"/>
                                <a:stretch>
                                  <a:fillRect/>
                                </a:stretch>
                              </pic:blipFill>
                              <pic:spPr>
                                <a:xfrm>
                                  <a:off x="0" y="0"/>
                                  <a:ext cx="1567180" cy="1325245"/>
                                </a:xfrm>
                                <a:prstGeom prst="rect">
                                  <a:avLst/>
                                </a:prstGeom>
                                <a:noFill/>
                                <a:ln>
                                  <a:noFill/>
                                </a:ln>
                              </pic:spPr>
                            </pic:pic>
                          </a:graphicData>
                        </a:graphic>
                      </wp:inline>
                    </w:drawing>
                  </w:r>
                  <w:r>
                    <w:rPr>
                      <w:rFonts w:hint="default" w:ascii="Times New Roman" w:hAnsi="Times New Roman" w:eastAsia="宋体" w:cs="Times New Roman"/>
                      <w:color w:val="auto"/>
                      <w:sz w:val="24"/>
                      <w:szCs w:val="24"/>
                    </w:rPr>
                    <w:fldChar w:fldCharType="end"/>
                  </w:r>
                </w:p>
              </w:tc>
            </w:tr>
            <w:tr w14:paraId="036CB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75" w:hRule="atLeast"/>
                <w:jc w:val="center"/>
              </w:trPr>
              <w:tc>
                <w:tcPr>
                  <w:tcW w:w="1061" w:type="dxa"/>
                  <w:tcBorders>
                    <w:tl2br w:val="nil"/>
                    <w:tr2bl w:val="nil"/>
                  </w:tcBorders>
                  <w:noWrap w:val="0"/>
                  <w:vAlign w:val="center"/>
                </w:tcPr>
                <w:p w14:paraId="7656797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5</w:t>
                  </w:r>
                </w:p>
              </w:tc>
              <w:tc>
                <w:tcPr>
                  <w:tcW w:w="1717" w:type="dxa"/>
                  <w:tcBorders>
                    <w:tl2br w:val="nil"/>
                    <w:tr2bl w:val="nil"/>
                  </w:tcBorders>
                  <w:noWrap w:val="0"/>
                  <w:vAlign w:val="center"/>
                </w:tcPr>
                <w:p w14:paraId="4A7BF87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冷床</w:t>
                  </w:r>
                </w:p>
              </w:tc>
              <w:tc>
                <w:tcPr>
                  <w:tcW w:w="1314" w:type="dxa"/>
                  <w:tcBorders>
                    <w:tl2br w:val="nil"/>
                    <w:tr2bl w:val="nil"/>
                  </w:tcBorders>
                  <w:noWrap w:val="0"/>
                  <w:vAlign w:val="center"/>
                </w:tcPr>
                <w:p w14:paraId="483C2F8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套</w:t>
                  </w:r>
                </w:p>
              </w:tc>
              <w:tc>
                <w:tcPr>
                  <w:tcW w:w="1682" w:type="dxa"/>
                  <w:tcBorders>
                    <w:tl2br w:val="nil"/>
                    <w:tr2bl w:val="nil"/>
                  </w:tcBorders>
                  <w:noWrap w:val="0"/>
                  <w:vAlign w:val="center"/>
                </w:tcPr>
                <w:p w14:paraId="1236C9D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38</w:t>
                  </w:r>
                </w:p>
              </w:tc>
              <w:tc>
                <w:tcPr>
                  <w:tcW w:w="2784" w:type="dxa"/>
                  <w:tcBorders>
                    <w:tl2br w:val="nil"/>
                    <w:tr2bl w:val="nil"/>
                  </w:tcBorders>
                  <w:noWrap w:val="0"/>
                  <w:vAlign w:val="center"/>
                </w:tcPr>
                <w:p w14:paraId="1C55F05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eastAsia="宋体" w:cs="Times New Roman"/>
                      <w:color w:val="auto"/>
                      <w:sz w:val="24"/>
                      <w:szCs w:val="24"/>
                    </w:rPr>
                    <w:fldChar w:fldCharType="begin"/>
                  </w:r>
                  <w:r>
                    <w:rPr>
                      <w:rFonts w:hint="default" w:ascii="Times New Roman" w:hAnsi="Times New Roman" w:eastAsia="宋体" w:cs="Times New Roman"/>
                      <w:color w:val="auto"/>
                      <w:sz w:val="24"/>
                      <w:szCs w:val="24"/>
                    </w:rPr>
                    <w:instrText xml:space="preserve">INCLUDEPICTURE \d "https://ts1.cn.mm.bing.net/th/id/R-C.d1982c3b3d28ff6f62129e36efa7ff1d?rik=Hg2/nY+1TFZKiw&amp;riu=http://www.chinasteelmachine.com/Upload/2020-05/20200512175302792juyou.jpg&amp;ehk=DPoV1f76OfUbKG9mNaKwg4udDW51FZhN4IcNZAZt66o=&amp;risl=&amp;pid=ImgRaw&amp;r=0" \* MERGEFORMATINET </w:instrText>
                  </w:r>
                  <w:r>
                    <w:rPr>
                      <w:rFonts w:hint="default" w:ascii="Times New Roman" w:hAnsi="Times New Roman" w:eastAsia="宋体" w:cs="Times New Roman"/>
                      <w:color w:val="auto"/>
                      <w:sz w:val="24"/>
                      <w:szCs w:val="24"/>
                    </w:rPr>
                    <w:fldChar w:fldCharType="separate"/>
                  </w:r>
                  <w:r>
                    <w:rPr>
                      <w:rFonts w:hint="default" w:ascii="Times New Roman" w:hAnsi="Times New Roman" w:eastAsia="宋体" w:cs="Times New Roman"/>
                      <w:color w:val="auto"/>
                      <w:sz w:val="24"/>
                      <w:szCs w:val="24"/>
                    </w:rPr>
                    <w:drawing>
                      <wp:inline distT="0" distB="0" distL="114300" distR="114300">
                        <wp:extent cx="1642745" cy="1357630"/>
                        <wp:effectExtent l="0" t="0" r="14605" b="13970"/>
                        <wp:docPr id="39" name="图片 3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IMG_256"/>
                                <pic:cNvPicPr>
                                  <a:picLocks noChangeAspect="1"/>
                                </pic:cNvPicPr>
                              </pic:nvPicPr>
                              <pic:blipFill>
                                <a:blip r:embed="rId17"/>
                                <a:stretch>
                                  <a:fillRect/>
                                </a:stretch>
                              </pic:blipFill>
                              <pic:spPr>
                                <a:xfrm>
                                  <a:off x="0" y="0"/>
                                  <a:ext cx="1642745" cy="1357630"/>
                                </a:xfrm>
                                <a:prstGeom prst="rect">
                                  <a:avLst/>
                                </a:prstGeom>
                                <a:noFill/>
                                <a:ln>
                                  <a:noFill/>
                                </a:ln>
                              </pic:spPr>
                            </pic:pic>
                          </a:graphicData>
                        </a:graphic>
                      </wp:inline>
                    </w:drawing>
                  </w:r>
                  <w:r>
                    <w:rPr>
                      <w:rFonts w:hint="default" w:ascii="Times New Roman" w:hAnsi="Times New Roman" w:eastAsia="宋体" w:cs="Times New Roman"/>
                      <w:color w:val="auto"/>
                      <w:sz w:val="24"/>
                      <w:szCs w:val="24"/>
                    </w:rPr>
                    <w:fldChar w:fldCharType="end"/>
                  </w:r>
                </w:p>
              </w:tc>
            </w:tr>
            <w:tr w14:paraId="077BB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82" w:hRule="atLeast"/>
                <w:jc w:val="center"/>
              </w:trPr>
              <w:tc>
                <w:tcPr>
                  <w:tcW w:w="1061" w:type="dxa"/>
                  <w:tcBorders>
                    <w:tl2br w:val="nil"/>
                    <w:tr2bl w:val="nil"/>
                  </w:tcBorders>
                  <w:noWrap w:val="0"/>
                  <w:vAlign w:val="center"/>
                </w:tcPr>
                <w:p w14:paraId="316D7E0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6</w:t>
                  </w:r>
                </w:p>
              </w:tc>
              <w:tc>
                <w:tcPr>
                  <w:tcW w:w="1717" w:type="dxa"/>
                  <w:tcBorders>
                    <w:tl2br w:val="nil"/>
                    <w:tr2bl w:val="nil"/>
                  </w:tcBorders>
                  <w:noWrap w:val="0"/>
                  <w:vAlign w:val="center"/>
                </w:tcPr>
                <w:p w14:paraId="65D026F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牵引机</w:t>
                  </w:r>
                </w:p>
              </w:tc>
              <w:tc>
                <w:tcPr>
                  <w:tcW w:w="1314" w:type="dxa"/>
                  <w:tcBorders>
                    <w:tl2br w:val="nil"/>
                    <w:tr2bl w:val="nil"/>
                  </w:tcBorders>
                  <w:noWrap w:val="0"/>
                  <w:vAlign w:val="center"/>
                </w:tcPr>
                <w:p w14:paraId="28314B6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套</w:t>
                  </w:r>
                </w:p>
              </w:tc>
              <w:tc>
                <w:tcPr>
                  <w:tcW w:w="1682" w:type="dxa"/>
                  <w:tcBorders>
                    <w:tl2br w:val="nil"/>
                    <w:tr2bl w:val="nil"/>
                  </w:tcBorders>
                  <w:noWrap w:val="0"/>
                  <w:vAlign w:val="center"/>
                </w:tcPr>
                <w:p w14:paraId="2230439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32</w:t>
                  </w:r>
                </w:p>
              </w:tc>
              <w:tc>
                <w:tcPr>
                  <w:tcW w:w="2784" w:type="dxa"/>
                  <w:tcBorders>
                    <w:tl2br w:val="nil"/>
                    <w:tr2bl w:val="nil"/>
                  </w:tcBorders>
                  <w:noWrap w:val="0"/>
                  <w:vAlign w:val="center"/>
                </w:tcPr>
                <w:p w14:paraId="26E193A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rPr>
                    <w:drawing>
                      <wp:inline distT="0" distB="0" distL="114300" distR="114300">
                        <wp:extent cx="1664335" cy="1125220"/>
                        <wp:effectExtent l="0" t="0" r="12065" b="1778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18"/>
                                <a:stretch>
                                  <a:fillRect/>
                                </a:stretch>
                              </pic:blipFill>
                              <pic:spPr>
                                <a:xfrm>
                                  <a:off x="0" y="0"/>
                                  <a:ext cx="1664335" cy="1125220"/>
                                </a:xfrm>
                                <a:prstGeom prst="rect">
                                  <a:avLst/>
                                </a:prstGeom>
                                <a:noFill/>
                                <a:ln>
                                  <a:noFill/>
                                </a:ln>
                              </pic:spPr>
                            </pic:pic>
                          </a:graphicData>
                        </a:graphic>
                      </wp:inline>
                    </w:drawing>
                  </w:r>
                </w:p>
              </w:tc>
            </w:tr>
            <w:tr w14:paraId="2E641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1061" w:type="dxa"/>
                  <w:tcBorders>
                    <w:tl2br w:val="nil"/>
                    <w:tr2bl w:val="nil"/>
                  </w:tcBorders>
                  <w:noWrap w:val="0"/>
                  <w:vAlign w:val="center"/>
                </w:tcPr>
                <w:p w14:paraId="43DA2F6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合计</w:t>
                  </w:r>
                </w:p>
              </w:tc>
              <w:tc>
                <w:tcPr>
                  <w:tcW w:w="1717" w:type="dxa"/>
                  <w:tcBorders>
                    <w:tl2br w:val="nil"/>
                    <w:tr2bl w:val="nil"/>
                  </w:tcBorders>
                  <w:noWrap w:val="0"/>
                  <w:vAlign w:val="center"/>
                </w:tcPr>
                <w:p w14:paraId="78D8078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c>
                <w:tcPr>
                  <w:tcW w:w="1314" w:type="dxa"/>
                  <w:tcBorders>
                    <w:tl2br w:val="nil"/>
                    <w:tr2bl w:val="nil"/>
                  </w:tcBorders>
                  <w:noWrap w:val="0"/>
                  <w:vAlign w:val="center"/>
                </w:tcPr>
                <w:p w14:paraId="22CA8D5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c>
                <w:tcPr>
                  <w:tcW w:w="1682" w:type="dxa"/>
                  <w:tcBorders>
                    <w:tl2br w:val="nil"/>
                    <w:tr2bl w:val="nil"/>
                  </w:tcBorders>
                  <w:noWrap w:val="0"/>
                  <w:vAlign w:val="center"/>
                </w:tcPr>
                <w:p w14:paraId="566646E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220</w:t>
                  </w:r>
                </w:p>
              </w:tc>
              <w:tc>
                <w:tcPr>
                  <w:tcW w:w="2784" w:type="dxa"/>
                  <w:tcBorders>
                    <w:tl2br w:val="nil"/>
                    <w:tr2bl w:val="nil"/>
                  </w:tcBorders>
                  <w:noWrap w:val="0"/>
                  <w:vAlign w:val="center"/>
                </w:tcPr>
                <w:p w14:paraId="1D565A8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r>
          </w:tbl>
          <w:p w14:paraId="3CE171CB">
            <w:pPr>
              <w:bidi w:val="0"/>
              <w:spacing w:line="240" w:lineRule="auto"/>
              <w:rPr>
                <w:rFonts w:hint="default"/>
                <w:lang w:val="en-US" w:eastAsia="zh-CN"/>
              </w:rPr>
            </w:pPr>
          </w:p>
          <w:p w14:paraId="0FF69376">
            <w:pPr>
              <w:spacing w:line="360" w:lineRule="auto"/>
              <w:ind w:left="0" w:leftChars="0" w:firstLine="0" w:firstLineChars="0"/>
              <w:rPr>
                <w:rFonts w:hint="default" w:ascii="Times New Roman" w:hAnsi="Times New Roman" w:eastAsia="宋体" w:cs="Times New Roman"/>
                <w:b/>
                <w:color w:val="auto"/>
                <w:sz w:val="24"/>
                <w:lang w:val="en-US" w:eastAsia="zh-CN"/>
              </w:rPr>
            </w:pPr>
            <w:r>
              <w:rPr>
                <w:rFonts w:hint="default" w:ascii="Times New Roman" w:hAnsi="Times New Roman" w:eastAsia="宋体" w:cs="Times New Roman"/>
                <w:b/>
                <w:color w:val="auto"/>
                <w:sz w:val="24"/>
                <w:lang w:val="en-US" w:eastAsia="zh-CN"/>
              </w:rPr>
              <w:t>2.7</w:t>
            </w:r>
            <w:r>
              <w:rPr>
                <w:rFonts w:hint="default" w:ascii="Times New Roman" w:hAnsi="Times New Roman" w:cs="Times New Roman"/>
                <w:b/>
                <w:color w:val="auto"/>
                <w:sz w:val="24"/>
                <w:lang w:val="en-US" w:eastAsia="zh-CN"/>
              </w:rPr>
              <w:t xml:space="preserve"> 水平衡</w:t>
            </w:r>
          </w:p>
          <w:p w14:paraId="52EF0F06">
            <w:pPr>
              <w:bidi w:val="0"/>
              <w:rPr>
                <w:rFonts w:hint="default" w:ascii="Times New Roman" w:hAnsi="Times New Roman" w:cs="Times New Roman"/>
                <w:color w:val="auto"/>
              </w:rPr>
            </w:pPr>
            <w:r>
              <w:rPr>
                <w:rFonts w:hint="default" w:ascii="Times New Roman" w:hAnsi="Times New Roman" w:cs="Times New Roman"/>
                <w:color w:val="auto"/>
              </w:rPr>
              <w:t>本项目不提供住宿，用水主要为生活用水</w:t>
            </w:r>
            <w:r>
              <w:rPr>
                <w:rFonts w:hint="default" w:ascii="Times New Roman" w:hAnsi="Times New Roman" w:cs="Times New Roman"/>
                <w:color w:val="auto"/>
                <w:lang w:eastAsia="zh-CN"/>
              </w:rPr>
              <w:t>、机加工用水</w:t>
            </w:r>
            <w:r>
              <w:rPr>
                <w:rFonts w:hint="eastAsia"/>
                <w:color w:val="auto"/>
                <w:lang w:eastAsia="zh-CN"/>
              </w:rPr>
              <w:t>、</w:t>
            </w:r>
            <w:r>
              <w:rPr>
                <w:rFonts w:hint="default" w:ascii="Times New Roman" w:hAnsi="Times New Roman" w:cs="Times New Roman"/>
                <w:color w:val="auto"/>
              </w:rPr>
              <w:t>喷枪喷头清洗用水</w:t>
            </w:r>
            <w:r>
              <w:rPr>
                <w:rFonts w:hint="eastAsia"/>
                <w:color w:val="auto"/>
                <w:lang w:eastAsia="zh-CN"/>
              </w:rPr>
              <w:t>以及空压系统冷凝水</w:t>
            </w:r>
            <w:r>
              <w:rPr>
                <w:rFonts w:hint="default" w:ascii="Times New Roman" w:hAnsi="Times New Roman" w:cs="Times New Roman"/>
                <w:color w:val="auto"/>
              </w:rPr>
              <w:t>。</w:t>
            </w:r>
          </w:p>
          <w:p w14:paraId="38202D7A">
            <w:pPr>
              <w:ind w:firstLine="420"/>
              <w:rPr>
                <w:rFonts w:hint="default" w:ascii="Times New Roman" w:hAnsi="Times New Roman" w:cs="Times New Roman"/>
                <w:color w:val="auto"/>
                <w:szCs w:val="21"/>
              </w:rPr>
            </w:pPr>
            <w:r>
              <w:rPr>
                <w:rFonts w:hint="default" w:ascii="Times New Roman" w:hAnsi="Times New Roman" w:cs="Times New Roman"/>
                <w:color w:val="auto"/>
                <w:szCs w:val="21"/>
              </w:rPr>
              <w:t>（1）生活用水</w:t>
            </w:r>
          </w:p>
          <w:p w14:paraId="58207515">
            <w:pPr>
              <w:rPr>
                <w:rFonts w:hint="default" w:ascii="Times New Roman" w:hAnsi="Times New Roman" w:cs="Times New Roman"/>
                <w:color w:val="auto"/>
                <w:lang w:val="en-US" w:eastAsia="zh-CN"/>
              </w:rPr>
            </w:pPr>
            <w:r>
              <w:rPr>
                <w:rFonts w:hint="default" w:ascii="Times New Roman" w:hAnsi="Times New Roman" w:cs="Times New Roman"/>
                <w:color w:val="auto"/>
                <w:szCs w:val="21"/>
              </w:rPr>
              <w:t>本项目劳动定员</w:t>
            </w:r>
            <w:r>
              <w:rPr>
                <w:rFonts w:hint="default" w:ascii="Times New Roman" w:hAnsi="Times New Roman" w:cs="Times New Roman"/>
                <w:color w:val="auto"/>
                <w:szCs w:val="21"/>
                <w:lang w:val="en-US" w:eastAsia="zh-CN"/>
              </w:rPr>
              <w:t>20</w:t>
            </w:r>
            <w:r>
              <w:rPr>
                <w:rFonts w:hint="default" w:ascii="Times New Roman" w:hAnsi="Times New Roman" w:cs="Times New Roman"/>
                <w:color w:val="auto"/>
                <w:szCs w:val="21"/>
              </w:rPr>
              <w:t>人，年生产时间为</w:t>
            </w:r>
            <w:r>
              <w:rPr>
                <w:rFonts w:hint="default" w:ascii="Times New Roman" w:hAnsi="Times New Roman" w:cs="Times New Roman"/>
                <w:color w:val="auto"/>
                <w:szCs w:val="21"/>
                <w:lang w:val="en-US" w:eastAsia="zh-CN"/>
              </w:rPr>
              <w:t>33</w:t>
            </w:r>
            <w:r>
              <w:rPr>
                <w:rFonts w:hint="default" w:ascii="Times New Roman" w:hAnsi="Times New Roman" w:cs="Times New Roman"/>
                <w:color w:val="auto"/>
                <w:szCs w:val="21"/>
              </w:rPr>
              <w:t>0天。</w:t>
            </w:r>
            <w:r>
              <w:rPr>
                <w:rFonts w:hint="default" w:ascii="Times New Roman" w:hAnsi="Times New Roman" w:eastAsia="宋体" w:cs="Times New Roman"/>
                <w:color w:val="auto"/>
                <w:kern w:val="2"/>
                <w:sz w:val="24"/>
                <w:szCs w:val="24"/>
                <w:lang w:val="en-US" w:eastAsia="zh-CN" w:bidi="ar-SA"/>
              </w:rPr>
              <w:t>根据《安徽省行业用水定额》（DB34/T679-20</w:t>
            </w:r>
            <w:r>
              <w:rPr>
                <w:rFonts w:hint="default" w:ascii="Times New Roman" w:hAnsi="Times New Roman" w:cs="Times New Roman"/>
                <w:color w:val="auto"/>
                <w:kern w:val="2"/>
                <w:sz w:val="24"/>
                <w:szCs w:val="24"/>
                <w:lang w:val="en-US" w:eastAsia="zh-CN" w:bidi="ar-SA"/>
              </w:rPr>
              <w:t>25</w:t>
            </w:r>
            <w:r>
              <w:rPr>
                <w:rFonts w:hint="default" w:ascii="Times New Roman" w:hAnsi="Times New Roman" w:eastAsia="宋体" w:cs="Times New Roman"/>
                <w:color w:val="auto"/>
                <w:kern w:val="2"/>
                <w:sz w:val="24"/>
                <w:szCs w:val="24"/>
                <w:lang w:val="en-US" w:eastAsia="zh-CN" w:bidi="ar-SA"/>
              </w:rPr>
              <w:t>），</w:t>
            </w:r>
            <w:r>
              <w:rPr>
                <w:rFonts w:hint="default" w:ascii="Times New Roman" w:hAnsi="Times New Roman" w:cs="Times New Roman"/>
                <w:color w:val="auto"/>
                <w:kern w:val="2"/>
                <w:sz w:val="24"/>
                <w:szCs w:val="24"/>
                <w:lang w:val="en-US" w:eastAsia="zh-CN" w:bidi="ar-SA"/>
              </w:rPr>
              <w:t>本项目</w:t>
            </w:r>
            <w:r>
              <w:rPr>
                <w:rFonts w:hint="default" w:ascii="Times New Roman" w:hAnsi="Times New Roman" w:eastAsia="宋体" w:cs="Times New Roman"/>
                <w:color w:val="auto"/>
                <w:kern w:val="2"/>
                <w:sz w:val="24"/>
                <w:szCs w:val="24"/>
                <w:lang w:val="en-US" w:eastAsia="zh-CN" w:bidi="ar-SA"/>
              </w:rPr>
              <w:t>用水定额</w:t>
            </w:r>
            <w:r>
              <w:rPr>
                <w:rFonts w:hint="default" w:ascii="Times New Roman" w:hAnsi="Times New Roman" w:cs="Times New Roman"/>
                <w:color w:val="auto"/>
                <w:kern w:val="2"/>
                <w:sz w:val="24"/>
                <w:szCs w:val="24"/>
                <w:lang w:val="en-US" w:eastAsia="zh-CN" w:bidi="ar-SA"/>
              </w:rPr>
              <w:t>参考S96城镇居民生活用水200L</w:t>
            </w:r>
            <w:r>
              <w:rPr>
                <w:rFonts w:hint="default" w:ascii="Times New Roman" w:hAnsi="Times New Roman" w:eastAsia="宋体" w:cs="Times New Roman"/>
                <w:color w:val="auto"/>
                <w:kern w:val="2"/>
                <w:sz w:val="24"/>
                <w:szCs w:val="24"/>
                <w:lang w:val="en-US" w:eastAsia="zh-CN" w:bidi="ar-SA"/>
              </w:rPr>
              <w:t>/</w:t>
            </w:r>
            <w:r>
              <w:rPr>
                <w:rFonts w:hint="default" w:ascii="Times New Roman" w:hAnsi="Times New Roman"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人</w:t>
            </w:r>
            <w:r>
              <w:rPr>
                <w:rFonts w:hint="default" w:ascii="Times New Roman" w:hAnsi="Times New Roman" w:cs="Times New Roman"/>
                <w:color w:val="auto"/>
                <w:kern w:val="2"/>
                <w:sz w:val="24"/>
                <w:szCs w:val="24"/>
                <w:lang w:val="en-US" w:eastAsia="zh-CN" w:bidi="ar-SA"/>
              </w:rPr>
              <w:t xml:space="preserve"> d）</w:t>
            </w:r>
            <w:r>
              <w:rPr>
                <w:rFonts w:hint="default" w:ascii="Times New Roman" w:hAnsi="Times New Roman" w:eastAsia="宋体" w:cs="Times New Roman"/>
                <w:color w:val="auto"/>
                <w:kern w:val="2"/>
                <w:sz w:val="24"/>
                <w:szCs w:val="24"/>
                <w:lang w:val="en-US" w:eastAsia="zh-CN" w:bidi="ar-SA"/>
              </w:rPr>
              <w:t>，则职工用水量为</w:t>
            </w:r>
            <w:r>
              <w:rPr>
                <w:rFonts w:hint="default" w:ascii="Times New Roman" w:hAnsi="Times New Roman" w:cs="Times New Roman"/>
                <w:color w:val="auto"/>
                <w:kern w:val="2"/>
                <w:sz w:val="24"/>
                <w:szCs w:val="24"/>
                <w:lang w:val="en-US" w:eastAsia="zh-CN" w:bidi="ar-SA"/>
              </w:rPr>
              <w:t>4t</w:t>
            </w:r>
            <w:r>
              <w:rPr>
                <w:rFonts w:hint="default" w:ascii="Times New Roman" w:hAnsi="Times New Roman" w:eastAsia="宋体" w:cs="Times New Roman"/>
                <w:color w:val="auto"/>
                <w:kern w:val="2"/>
                <w:sz w:val="24"/>
                <w:szCs w:val="24"/>
                <w:lang w:val="en-US" w:eastAsia="zh-CN" w:bidi="ar-SA"/>
              </w:rPr>
              <w:t>/d（合</w:t>
            </w:r>
            <w:r>
              <w:rPr>
                <w:rFonts w:hint="default" w:ascii="Times New Roman" w:hAnsi="Times New Roman" w:cs="Times New Roman"/>
                <w:color w:val="auto"/>
                <w:kern w:val="2"/>
                <w:sz w:val="24"/>
                <w:szCs w:val="24"/>
                <w:lang w:val="en-US" w:eastAsia="zh-CN" w:bidi="ar-SA"/>
              </w:rPr>
              <w:t>1320</w:t>
            </w:r>
            <w:r>
              <w:rPr>
                <w:rFonts w:hint="default" w:ascii="Times New Roman" w:hAnsi="Times New Roman" w:eastAsia="宋体" w:cs="Times New Roman"/>
                <w:color w:val="auto"/>
                <w:kern w:val="2"/>
                <w:sz w:val="24"/>
                <w:szCs w:val="24"/>
                <w:lang w:val="en-US" w:eastAsia="zh-CN" w:bidi="ar-SA"/>
              </w:rPr>
              <w:t>t/a），污水排放系数按0.85计，则职工生活污水产生量约为</w:t>
            </w:r>
            <w:r>
              <w:rPr>
                <w:rFonts w:hint="default" w:ascii="Times New Roman" w:hAnsi="Times New Roman" w:cs="Times New Roman"/>
                <w:color w:val="auto"/>
                <w:kern w:val="2"/>
                <w:sz w:val="24"/>
                <w:szCs w:val="24"/>
                <w:lang w:val="en-US" w:eastAsia="zh-CN" w:bidi="ar-SA"/>
              </w:rPr>
              <w:t>3.4</w:t>
            </w:r>
            <w:r>
              <w:rPr>
                <w:rFonts w:hint="default" w:ascii="Times New Roman" w:hAnsi="Times New Roman" w:eastAsia="宋体" w:cs="Times New Roman"/>
                <w:color w:val="auto"/>
                <w:kern w:val="2"/>
                <w:sz w:val="24"/>
                <w:szCs w:val="24"/>
                <w:lang w:val="en-US" w:eastAsia="zh-CN" w:bidi="ar-SA"/>
              </w:rPr>
              <w:t>t/d（合</w:t>
            </w:r>
            <w:r>
              <w:rPr>
                <w:rFonts w:hint="default" w:ascii="Times New Roman" w:hAnsi="Times New Roman" w:cs="Times New Roman"/>
                <w:color w:val="auto"/>
                <w:kern w:val="2"/>
                <w:sz w:val="24"/>
                <w:szCs w:val="24"/>
                <w:lang w:val="en-US" w:eastAsia="zh-CN" w:bidi="ar-SA"/>
              </w:rPr>
              <w:t>1122</w:t>
            </w:r>
            <w:r>
              <w:rPr>
                <w:rFonts w:hint="default" w:ascii="Times New Roman" w:hAnsi="Times New Roman" w:eastAsia="宋体" w:cs="Times New Roman"/>
                <w:color w:val="auto"/>
                <w:kern w:val="2"/>
                <w:sz w:val="24"/>
                <w:szCs w:val="24"/>
                <w:lang w:val="en-US" w:eastAsia="zh-CN" w:bidi="ar-SA"/>
              </w:rPr>
              <w:t>t/a），生活污水</w:t>
            </w:r>
            <w:r>
              <w:rPr>
                <w:rFonts w:hint="default" w:ascii="Times New Roman" w:hAnsi="Times New Roman" w:cs="Times New Roman"/>
                <w:b w:val="0"/>
                <w:bCs w:val="0"/>
                <w:color w:val="auto"/>
                <w:lang w:val="en-US" w:eastAsia="zh-CN"/>
              </w:rPr>
              <w:t>先经化粪池</w:t>
            </w:r>
            <w:r>
              <w:rPr>
                <w:rFonts w:hint="default" w:ascii="Times New Roman" w:hAnsi="Times New Roman" w:cs="Times New Roman"/>
                <w:color w:val="auto"/>
                <w:lang w:val="en-US" w:eastAsia="zh-CN"/>
              </w:rPr>
              <w:t>预处理后通过厂区总排口排入市政污水管网进入青阳县污水处理厂。</w:t>
            </w:r>
          </w:p>
          <w:p w14:paraId="15075F56">
            <w:pPr>
              <w:ind w:firstLine="420"/>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rPr>
              <w:t>（2）</w:t>
            </w:r>
            <w:r>
              <w:rPr>
                <w:rFonts w:hint="default" w:ascii="Times New Roman" w:hAnsi="Times New Roman" w:cs="Times New Roman"/>
                <w:color w:val="auto"/>
                <w:szCs w:val="21"/>
                <w:lang w:eastAsia="zh-CN"/>
              </w:rPr>
              <w:t>机加工用水</w:t>
            </w:r>
          </w:p>
          <w:p w14:paraId="0EBBCEF1">
            <w:pPr>
              <w:ind w:firstLine="420"/>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eastAsia="zh-CN"/>
              </w:rPr>
              <w:t>本项目数控车床、摇臂钻床、铣床等机加工设备为</w:t>
            </w:r>
            <w:r>
              <w:rPr>
                <w:rFonts w:hint="eastAsia" w:cs="Times New Roman"/>
                <w:color w:val="auto"/>
                <w:szCs w:val="21"/>
                <w:lang w:eastAsia="zh-CN"/>
              </w:rPr>
              <w:t>湿法</w:t>
            </w:r>
            <w:r>
              <w:rPr>
                <w:rFonts w:hint="default" w:ascii="Times New Roman" w:hAnsi="Times New Roman" w:cs="Times New Roman"/>
                <w:color w:val="auto"/>
                <w:szCs w:val="21"/>
                <w:lang w:eastAsia="zh-CN"/>
              </w:rPr>
              <w:t>作业，每台设备水槽中的水循环使用</w:t>
            </w:r>
            <w:r>
              <w:rPr>
                <w:rFonts w:hint="eastAsia" w:cs="Times New Roman"/>
                <w:color w:val="auto"/>
                <w:szCs w:val="21"/>
                <w:lang w:eastAsia="zh-CN"/>
              </w:rPr>
              <w:t>，定期更换</w:t>
            </w:r>
            <w:r>
              <w:rPr>
                <w:rFonts w:hint="default" w:ascii="Times New Roman" w:hAnsi="Times New Roman" w:cs="Times New Roman"/>
                <w:color w:val="auto"/>
                <w:szCs w:val="21"/>
                <w:lang w:eastAsia="zh-CN"/>
              </w:rPr>
              <w:t>，机加工过程蒸发损耗的水量每日补充（生产工序按</w:t>
            </w:r>
            <w:r>
              <w:rPr>
                <w:rFonts w:hint="default" w:ascii="Times New Roman" w:hAnsi="Times New Roman" w:cs="Times New Roman"/>
                <w:color w:val="auto"/>
                <w:szCs w:val="21"/>
                <w:lang w:val="en-US" w:eastAsia="zh-CN"/>
              </w:rPr>
              <w:t>330d计</w:t>
            </w:r>
            <w:r>
              <w:rPr>
                <w:rFonts w:hint="default" w:ascii="Times New Roman" w:hAnsi="Times New Roman" w:cs="Times New Roman"/>
                <w:color w:val="auto"/>
                <w:szCs w:val="21"/>
                <w:lang w:eastAsia="zh-CN"/>
              </w:rPr>
              <w:t>），</w:t>
            </w:r>
            <w:r>
              <w:rPr>
                <w:rFonts w:hint="eastAsia" w:cs="Times New Roman"/>
                <w:color w:val="auto"/>
                <w:szCs w:val="21"/>
                <w:lang w:eastAsia="zh-CN"/>
              </w:rPr>
              <w:t>定期更换（每半年更换一次，一年更换两次），</w:t>
            </w:r>
            <w:r>
              <w:rPr>
                <w:rFonts w:hint="default" w:ascii="Times New Roman" w:hAnsi="Times New Roman" w:cs="Times New Roman"/>
                <w:color w:val="auto"/>
                <w:szCs w:val="21"/>
                <w:lang w:eastAsia="zh-CN"/>
              </w:rPr>
              <w:t>具体水平衡见下表：</w:t>
            </w:r>
          </w:p>
          <w:p w14:paraId="53956FB7">
            <w:pPr>
              <w:pStyle w:val="38"/>
              <w:keepNext/>
              <w:keepLines w:val="0"/>
              <w:pageBreakBefore w:val="0"/>
              <w:widowControl/>
              <w:kinsoku/>
              <w:wordWrap/>
              <w:overflowPunct/>
              <w:topLinePunct w:val="0"/>
              <w:autoSpaceDE/>
              <w:autoSpaceDN/>
              <w:bidi w:val="0"/>
              <w:adjustRightInd/>
              <w:snapToGrid w:val="0"/>
              <w:spacing w:before="0" w:after="0"/>
              <w:textAlignment w:val="auto"/>
              <w:rPr>
                <w:rFonts w:hint="default" w:ascii="Times New Roman" w:hAnsi="Times New Roman" w:eastAsia="宋体" w:cs="Times New Roman"/>
                <w:color w:val="auto"/>
                <w:lang w:val="en-US" w:eastAsia="zh-CN"/>
              </w:rPr>
            </w:pPr>
            <w:r>
              <w:rPr>
                <w:rFonts w:hint="default" w:ascii="Times New Roman" w:hAnsi="Times New Roman" w:cs="Times New Roman"/>
                <w:color w:val="auto"/>
              </w:rPr>
              <w:t>表</w:t>
            </w:r>
            <w:r>
              <w:rPr>
                <w:rFonts w:hint="default" w:ascii="Times New Roman" w:hAnsi="Times New Roman" w:cs="Times New Roman"/>
                <w:color w:val="auto"/>
                <w:lang w:val="en-US" w:eastAsia="zh-CN"/>
              </w:rPr>
              <w:t>2-8  机加工设备用水核算一览</w:t>
            </w:r>
            <w:r>
              <w:rPr>
                <w:rFonts w:hint="default" w:ascii="Times New Roman" w:hAnsi="Times New Roman" w:cs="Times New Roman"/>
                <w:color w:val="auto"/>
              </w:rPr>
              <w:t>表</w:t>
            </w:r>
          </w:p>
          <w:tbl>
            <w:tblPr>
              <w:tblStyle w:val="32"/>
              <w:tblW w:w="856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317"/>
              <w:gridCol w:w="958"/>
              <w:gridCol w:w="1154"/>
              <w:gridCol w:w="1384"/>
              <w:gridCol w:w="1097"/>
              <w:gridCol w:w="1304"/>
              <w:gridCol w:w="1349"/>
            </w:tblGrid>
            <w:tr w14:paraId="6B7C2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6" w:hRule="atLeast"/>
                <w:jc w:val="center"/>
              </w:trPr>
              <w:tc>
                <w:tcPr>
                  <w:tcW w:w="1317" w:type="dxa"/>
                  <w:vMerge w:val="restart"/>
                  <w:tcBorders>
                    <w:tl2br w:val="nil"/>
                    <w:tr2bl w:val="nil"/>
                  </w:tcBorders>
                  <w:noWrap w:val="0"/>
                  <w:vAlign w:val="center"/>
                </w:tcPr>
                <w:p w14:paraId="729BDB4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bCs/>
                      <w:color w:val="auto"/>
                      <w:lang w:val="en-US" w:eastAsia="zh-CN"/>
                    </w:rPr>
                    <w:t>机加工设备</w:t>
                  </w:r>
                </w:p>
              </w:tc>
              <w:tc>
                <w:tcPr>
                  <w:tcW w:w="958" w:type="dxa"/>
                  <w:vMerge w:val="restart"/>
                  <w:tcBorders>
                    <w:tl2br w:val="nil"/>
                    <w:tr2bl w:val="nil"/>
                  </w:tcBorders>
                  <w:noWrap w:val="0"/>
                  <w:vAlign w:val="center"/>
                </w:tcPr>
                <w:p w14:paraId="3A84182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bCs/>
                      <w:color w:val="auto"/>
                      <w:lang w:val="en-US" w:eastAsia="zh-CN"/>
                    </w:rPr>
                    <w:t>设备数量/台</w:t>
                  </w:r>
                </w:p>
              </w:tc>
              <w:tc>
                <w:tcPr>
                  <w:tcW w:w="1154" w:type="dxa"/>
                  <w:vMerge w:val="restart"/>
                  <w:tcBorders>
                    <w:tl2br w:val="nil"/>
                    <w:tr2bl w:val="nil"/>
                  </w:tcBorders>
                  <w:noWrap w:val="0"/>
                  <w:vAlign w:val="center"/>
                </w:tcPr>
                <w:p w14:paraId="0123C48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bCs/>
                      <w:color w:val="auto"/>
                      <w:lang w:val="en-US" w:eastAsia="zh-CN"/>
                    </w:rPr>
                    <w:t>水槽容积/L</w:t>
                  </w:r>
                </w:p>
              </w:tc>
              <w:tc>
                <w:tcPr>
                  <w:tcW w:w="2481" w:type="dxa"/>
                  <w:gridSpan w:val="2"/>
                  <w:tcBorders>
                    <w:tl2br w:val="nil"/>
                    <w:tr2bl w:val="nil"/>
                  </w:tcBorders>
                  <w:noWrap w:val="0"/>
                  <w:vAlign w:val="center"/>
                </w:tcPr>
                <w:p w14:paraId="27C9EEE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补充水量</w:t>
                  </w:r>
                  <w:r>
                    <w:rPr>
                      <w:rFonts w:hint="default" w:ascii="Times New Roman" w:hAnsi="Times New Roman" w:cs="Times New Roman"/>
                      <w:b/>
                      <w:bCs/>
                      <w:color w:val="auto"/>
                      <w:lang w:val="en-US" w:eastAsia="zh-CN"/>
                    </w:rPr>
                    <w:t>/L</w:t>
                  </w:r>
                </w:p>
              </w:tc>
              <w:tc>
                <w:tcPr>
                  <w:tcW w:w="2653" w:type="dxa"/>
                  <w:gridSpan w:val="2"/>
                  <w:tcBorders>
                    <w:tl2br w:val="nil"/>
                    <w:tr2bl w:val="nil"/>
                  </w:tcBorders>
                  <w:noWrap w:val="0"/>
                  <w:vAlign w:val="center"/>
                </w:tcPr>
                <w:p w14:paraId="4E9BA56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更换水量</w:t>
                  </w:r>
                  <w:r>
                    <w:rPr>
                      <w:rFonts w:hint="default" w:ascii="Times New Roman" w:hAnsi="Times New Roman" w:cs="Times New Roman"/>
                      <w:b/>
                      <w:bCs/>
                      <w:color w:val="auto"/>
                      <w:lang w:val="en-US" w:eastAsia="zh-CN"/>
                    </w:rPr>
                    <w:t>/L</w:t>
                  </w:r>
                </w:p>
              </w:tc>
            </w:tr>
            <w:tr w14:paraId="471B5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17" w:type="dxa"/>
                  <w:vMerge w:val="continue"/>
                  <w:tcBorders>
                    <w:tl2br w:val="nil"/>
                    <w:tr2bl w:val="nil"/>
                  </w:tcBorders>
                  <w:noWrap w:val="0"/>
                  <w:vAlign w:val="center"/>
                </w:tcPr>
                <w:p w14:paraId="3647C0D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color w:val="auto"/>
                    </w:rPr>
                  </w:pPr>
                </w:p>
              </w:tc>
              <w:tc>
                <w:tcPr>
                  <w:tcW w:w="958" w:type="dxa"/>
                  <w:vMerge w:val="continue"/>
                  <w:tcBorders>
                    <w:tl2br w:val="nil"/>
                    <w:tr2bl w:val="nil"/>
                  </w:tcBorders>
                  <w:noWrap w:val="0"/>
                  <w:vAlign w:val="center"/>
                </w:tcPr>
                <w:p w14:paraId="22936F3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color w:val="auto"/>
                    </w:rPr>
                  </w:pPr>
                </w:p>
              </w:tc>
              <w:tc>
                <w:tcPr>
                  <w:tcW w:w="1154" w:type="dxa"/>
                  <w:vMerge w:val="continue"/>
                  <w:tcBorders>
                    <w:tl2br w:val="nil"/>
                    <w:tr2bl w:val="nil"/>
                  </w:tcBorders>
                  <w:noWrap w:val="0"/>
                  <w:vAlign w:val="center"/>
                </w:tcPr>
                <w:p w14:paraId="7CB2F81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color w:val="auto"/>
                    </w:rPr>
                  </w:pPr>
                </w:p>
              </w:tc>
              <w:tc>
                <w:tcPr>
                  <w:tcW w:w="1384" w:type="dxa"/>
                  <w:tcBorders>
                    <w:tl2br w:val="nil"/>
                    <w:tr2bl w:val="nil"/>
                  </w:tcBorders>
                  <w:noWrap w:val="0"/>
                  <w:vAlign w:val="center"/>
                </w:tcPr>
                <w:p w14:paraId="5654ED7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单</w:t>
                  </w:r>
                  <w:r>
                    <w:rPr>
                      <w:rFonts w:hint="default" w:ascii="Times New Roman" w:hAnsi="Times New Roman" w:cs="Times New Roman"/>
                      <w:b/>
                      <w:bCs/>
                      <w:color w:val="auto"/>
                      <w:lang w:val="en-US" w:eastAsia="zh-CN"/>
                    </w:rPr>
                    <w:t>台</w:t>
                  </w:r>
                  <w:r>
                    <w:rPr>
                      <w:rFonts w:hint="eastAsia" w:ascii="Times New Roman" w:hAnsi="Times New Roman" w:cs="Times New Roman"/>
                      <w:b/>
                      <w:bCs/>
                      <w:color w:val="auto"/>
                      <w:lang w:val="en-US" w:eastAsia="zh-CN"/>
                    </w:rPr>
                    <w:t>单</w:t>
                  </w:r>
                  <w:r>
                    <w:rPr>
                      <w:rFonts w:hint="default" w:ascii="Times New Roman" w:hAnsi="Times New Roman" w:cs="Times New Roman"/>
                      <w:b/>
                      <w:bCs/>
                      <w:color w:val="auto"/>
                      <w:lang w:val="en-US" w:eastAsia="zh-CN"/>
                    </w:rPr>
                    <w:t>日补充水量/L</w:t>
                  </w:r>
                </w:p>
              </w:tc>
              <w:tc>
                <w:tcPr>
                  <w:tcW w:w="1097" w:type="dxa"/>
                  <w:tcBorders>
                    <w:tl2br w:val="nil"/>
                    <w:tr2bl w:val="nil"/>
                  </w:tcBorders>
                  <w:noWrap w:val="0"/>
                  <w:vAlign w:val="center"/>
                </w:tcPr>
                <w:p w14:paraId="34CA32B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每日补充水量/L</w:t>
                  </w:r>
                </w:p>
              </w:tc>
              <w:tc>
                <w:tcPr>
                  <w:tcW w:w="1304" w:type="dxa"/>
                  <w:tcBorders>
                    <w:tl2br w:val="nil"/>
                    <w:tr2bl w:val="nil"/>
                  </w:tcBorders>
                  <w:noWrap w:val="0"/>
                  <w:vAlign w:val="center"/>
                </w:tcPr>
                <w:p w14:paraId="7F83D77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单台单次更换水量</w:t>
                  </w:r>
                  <w:r>
                    <w:rPr>
                      <w:rFonts w:hint="default" w:ascii="Times New Roman" w:hAnsi="Times New Roman" w:cs="Times New Roman"/>
                      <w:b/>
                      <w:bCs/>
                      <w:color w:val="auto"/>
                      <w:lang w:val="en-US" w:eastAsia="zh-CN"/>
                    </w:rPr>
                    <w:t>/L</w:t>
                  </w:r>
                </w:p>
              </w:tc>
              <w:tc>
                <w:tcPr>
                  <w:tcW w:w="1349" w:type="dxa"/>
                  <w:tcBorders>
                    <w:tl2br w:val="nil"/>
                    <w:tr2bl w:val="nil"/>
                  </w:tcBorders>
                  <w:noWrap w:val="0"/>
                  <w:vAlign w:val="center"/>
                </w:tcPr>
                <w:p w14:paraId="2602898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每年更换水量</w:t>
                  </w:r>
                  <w:r>
                    <w:rPr>
                      <w:rFonts w:hint="default" w:ascii="Times New Roman" w:hAnsi="Times New Roman" w:cs="Times New Roman"/>
                      <w:b/>
                      <w:bCs/>
                      <w:color w:val="auto"/>
                      <w:lang w:val="en-US" w:eastAsia="zh-CN"/>
                    </w:rPr>
                    <w:t>/L</w:t>
                  </w:r>
                </w:p>
              </w:tc>
            </w:tr>
            <w:tr w14:paraId="2C8FD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 w:hRule="atLeast"/>
                <w:jc w:val="center"/>
              </w:trPr>
              <w:tc>
                <w:tcPr>
                  <w:tcW w:w="1317" w:type="dxa"/>
                  <w:tcBorders>
                    <w:tl2br w:val="nil"/>
                    <w:tr2bl w:val="nil"/>
                  </w:tcBorders>
                  <w:noWrap w:val="0"/>
                  <w:vAlign w:val="center"/>
                </w:tcPr>
                <w:p w14:paraId="16992DF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eastAsia="zh-CN"/>
                    </w:rPr>
                    <w:t>数控车床</w:t>
                  </w:r>
                </w:p>
              </w:tc>
              <w:tc>
                <w:tcPr>
                  <w:tcW w:w="958" w:type="dxa"/>
                  <w:tcBorders>
                    <w:tl2br w:val="nil"/>
                    <w:tr2bl w:val="nil"/>
                  </w:tcBorders>
                  <w:noWrap w:val="0"/>
                  <w:vAlign w:val="center"/>
                </w:tcPr>
                <w:p w14:paraId="45B153A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w:t>
                  </w:r>
                </w:p>
              </w:tc>
              <w:tc>
                <w:tcPr>
                  <w:tcW w:w="1154" w:type="dxa"/>
                  <w:tcBorders>
                    <w:tl2br w:val="nil"/>
                    <w:tr2bl w:val="nil"/>
                  </w:tcBorders>
                  <w:noWrap w:val="0"/>
                  <w:vAlign w:val="center"/>
                </w:tcPr>
                <w:p w14:paraId="3B6D065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60</w:t>
                  </w:r>
                </w:p>
              </w:tc>
              <w:tc>
                <w:tcPr>
                  <w:tcW w:w="1384" w:type="dxa"/>
                  <w:tcBorders>
                    <w:tl2br w:val="nil"/>
                    <w:tr2bl w:val="nil"/>
                  </w:tcBorders>
                  <w:noWrap w:val="0"/>
                  <w:vAlign w:val="center"/>
                </w:tcPr>
                <w:p w14:paraId="47FFFE7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20</w:t>
                  </w:r>
                </w:p>
              </w:tc>
              <w:tc>
                <w:tcPr>
                  <w:tcW w:w="1097" w:type="dxa"/>
                  <w:tcBorders>
                    <w:tl2br w:val="nil"/>
                    <w:tr2bl w:val="nil"/>
                  </w:tcBorders>
                  <w:noWrap w:val="0"/>
                  <w:vAlign w:val="center"/>
                </w:tcPr>
                <w:p w14:paraId="0C8007D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40</w:t>
                  </w:r>
                </w:p>
              </w:tc>
              <w:tc>
                <w:tcPr>
                  <w:tcW w:w="1304" w:type="dxa"/>
                  <w:tcBorders>
                    <w:tl2br w:val="nil"/>
                    <w:tr2bl w:val="nil"/>
                  </w:tcBorders>
                  <w:noWrap w:val="0"/>
                  <w:vAlign w:val="center"/>
                </w:tcPr>
                <w:p w14:paraId="7A00A3A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60</w:t>
                  </w:r>
                </w:p>
              </w:tc>
              <w:tc>
                <w:tcPr>
                  <w:tcW w:w="1349" w:type="dxa"/>
                  <w:tcBorders>
                    <w:tl2br w:val="nil"/>
                    <w:tr2bl w:val="nil"/>
                  </w:tcBorders>
                  <w:noWrap w:val="0"/>
                  <w:vAlign w:val="center"/>
                </w:tcPr>
                <w:p w14:paraId="6EB3D7E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240</w:t>
                  </w:r>
                </w:p>
              </w:tc>
            </w:tr>
            <w:tr w14:paraId="4067C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 w:hRule="atLeast"/>
                <w:jc w:val="center"/>
              </w:trPr>
              <w:tc>
                <w:tcPr>
                  <w:tcW w:w="1317" w:type="dxa"/>
                  <w:tcBorders>
                    <w:tl2br w:val="nil"/>
                    <w:tr2bl w:val="nil"/>
                  </w:tcBorders>
                  <w:noWrap w:val="0"/>
                  <w:vAlign w:val="center"/>
                </w:tcPr>
                <w:p w14:paraId="2B4118B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摇臂钻床</w:t>
                  </w:r>
                </w:p>
              </w:tc>
              <w:tc>
                <w:tcPr>
                  <w:tcW w:w="958" w:type="dxa"/>
                  <w:tcBorders>
                    <w:tl2br w:val="nil"/>
                    <w:tr2bl w:val="nil"/>
                  </w:tcBorders>
                  <w:noWrap w:val="0"/>
                  <w:vAlign w:val="center"/>
                </w:tcPr>
                <w:p w14:paraId="5781020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w:t>
                  </w:r>
                </w:p>
              </w:tc>
              <w:tc>
                <w:tcPr>
                  <w:tcW w:w="1154" w:type="dxa"/>
                  <w:tcBorders>
                    <w:tl2br w:val="nil"/>
                    <w:tr2bl w:val="nil"/>
                  </w:tcBorders>
                  <w:noWrap w:val="0"/>
                  <w:vAlign w:val="center"/>
                </w:tcPr>
                <w:p w14:paraId="2E747D8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20</w:t>
                  </w:r>
                </w:p>
              </w:tc>
              <w:tc>
                <w:tcPr>
                  <w:tcW w:w="1384" w:type="dxa"/>
                  <w:tcBorders>
                    <w:tl2br w:val="nil"/>
                    <w:tr2bl w:val="nil"/>
                  </w:tcBorders>
                  <w:noWrap w:val="0"/>
                  <w:vAlign w:val="center"/>
                </w:tcPr>
                <w:p w14:paraId="1C224BE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1</w:t>
                  </w:r>
                </w:p>
              </w:tc>
              <w:tc>
                <w:tcPr>
                  <w:tcW w:w="1097" w:type="dxa"/>
                  <w:tcBorders>
                    <w:tl2br w:val="nil"/>
                    <w:tr2bl w:val="nil"/>
                  </w:tcBorders>
                  <w:noWrap w:val="0"/>
                  <w:vAlign w:val="center"/>
                </w:tcPr>
                <w:p w14:paraId="2AB1EDE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w:t>
                  </w:r>
                </w:p>
              </w:tc>
              <w:tc>
                <w:tcPr>
                  <w:tcW w:w="1304" w:type="dxa"/>
                  <w:tcBorders>
                    <w:tl2br w:val="nil"/>
                    <w:tr2bl w:val="nil"/>
                  </w:tcBorders>
                  <w:noWrap w:val="0"/>
                  <w:vAlign w:val="center"/>
                </w:tcPr>
                <w:p w14:paraId="325FFD8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20</w:t>
                  </w:r>
                </w:p>
              </w:tc>
              <w:tc>
                <w:tcPr>
                  <w:tcW w:w="1349" w:type="dxa"/>
                  <w:tcBorders>
                    <w:tl2br w:val="nil"/>
                    <w:tr2bl w:val="nil"/>
                  </w:tcBorders>
                  <w:noWrap w:val="0"/>
                  <w:vAlign w:val="center"/>
                </w:tcPr>
                <w:p w14:paraId="77A942A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80</w:t>
                  </w:r>
                </w:p>
              </w:tc>
            </w:tr>
            <w:tr w14:paraId="4EF65C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 w:hRule="atLeast"/>
                <w:jc w:val="center"/>
              </w:trPr>
              <w:tc>
                <w:tcPr>
                  <w:tcW w:w="1317" w:type="dxa"/>
                  <w:tcBorders>
                    <w:tl2br w:val="nil"/>
                    <w:tr2bl w:val="nil"/>
                  </w:tcBorders>
                  <w:noWrap w:val="0"/>
                  <w:vAlign w:val="center"/>
                </w:tcPr>
                <w:p w14:paraId="3CA4380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铣床</w:t>
                  </w:r>
                </w:p>
              </w:tc>
              <w:tc>
                <w:tcPr>
                  <w:tcW w:w="958" w:type="dxa"/>
                  <w:tcBorders>
                    <w:tl2br w:val="nil"/>
                    <w:tr2bl w:val="nil"/>
                  </w:tcBorders>
                  <w:noWrap w:val="0"/>
                  <w:vAlign w:val="center"/>
                </w:tcPr>
                <w:p w14:paraId="13E4AFF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w:t>
                  </w:r>
                </w:p>
              </w:tc>
              <w:tc>
                <w:tcPr>
                  <w:tcW w:w="1154" w:type="dxa"/>
                  <w:tcBorders>
                    <w:tl2br w:val="nil"/>
                    <w:tr2bl w:val="nil"/>
                  </w:tcBorders>
                  <w:noWrap w:val="0"/>
                  <w:vAlign w:val="center"/>
                </w:tcPr>
                <w:p w14:paraId="66C84C9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20</w:t>
                  </w:r>
                </w:p>
              </w:tc>
              <w:tc>
                <w:tcPr>
                  <w:tcW w:w="1384" w:type="dxa"/>
                  <w:tcBorders>
                    <w:tl2br w:val="nil"/>
                    <w:tr2bl w:val="nil"/>
                  </w:tcBorders>
                  <w:noWrap w:val="0"/>
                  <w:vAlign w:val="center"/>
                </w:tcPr>
                <w:p w14:paraId="3814CC0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w:t>
                  </w:r>
                </w:p>
              </w:tc>
              <w:tc>
                <w:tcPr>
                  <w:tcW w:w="1097" w:type="dxa"/>
                  <w:tcBorders>
                    <w:tl2br w:val="nil"/>
                    <w:tr2bl w:val="nil"/>
                  </w:tcBorders>
                  <w:noWrap w:val="0"/>
                  <w:vAlign w:val="center"/>
                </w:tcPr>
                <w:p w14:paraId="542A727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4</w:t>
                  </w:r>
                </w:p>
              </w:tc>
              <w:tc>
                <w:tcPr>
                  <w:tcW w:w="1304" w:type="dxa"/>
                  <w:tcBorders>
                    <w:tl2br w:val="nil"/>
                    <w:tr2bl w:val="nil"/>
                  </w:tcBorders>
                  <w:noWrap w:val="0"/>
                  <w:vAlign w:val="center"/>
                </w:tcPr>
                <w:p w14:paraId="47A1E78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20</w:t>
                  </w:r>
                </w:p>
              </w:tc>
              <w:tc>
                <w:tcPr>
                  <w:tcW w:w="1349" w:type="dxa"/>
                  <w:tcBorders>
                    <w:tl2br w:val="nil"/>
                    <w:tr2bl w:val="nil"/>
                  </w:tcBorders>
                  <w:noWrap w:val="0"/>
                  <w:vAlign w:val="center"/>
                </w:tcPr>
                <w:p w14:paraId="03AE617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80</w:t>
                  </w:r>
                </w:p>
              </w:tc>
            </w:tr>
            <w:tr w14:paraId="71161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1" w:hRule="atLeast"/>
                <w:jc w:val="center"/>
              </w:trPr>
              <w:tc>
                <w:tcPr>
                  <w:tcW w:w="1317" w:type="dxa"/>
                  <w:tcBorders>
                    <w:tl2br w:val="nil"/>
                    <w:tr2bl w:val="nil"/>
                  </w:tcBorders>
                  <w:noWrap w:val="0"/>
                  <w:vAlign w:val="center"/>
                </w:tcPr>
                <w:p w14:paraId="10740DC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合计</w:t>
                  </w:r>
                </w:p>
              </w:tc>
              <w:tc>
                <w:tcPr>
                  <w:tcW w:w="958" w:type="dxa"/>
                  <w:tcBorders>
                    <w:tl2br w:val="nil"/>
                    <w:tr2bl w:val="nil"/>
                  </w:tcBorders>
                  <w:noWrap w:val="0"/>
                  <w:vAlign w:val="center"/>
                </w:tcPr>
                <w:p w14:paraId="266F23C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w:t>
                  </w:r>
                </w:p>
              </w:tc>
              <w:tc>
                <w:tcPr>
                  <w:tcW w:w="1154" w:type="dxa"/>
                  <w:tcBorders>
                    <w:tl2br w:val="nil"/>
                    <w:tr2bl w:val="nil"/>
                  </w:tcBorders>
                  <w:noWrap w:val="0"/>
                  <w:vAlign w:val="center"/>
                </w:tcPr>
                <w:p w14:paraId="47FE2D0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w:t>
                  </w:r>
                </w:p>
              </w:tc>
              <w:tc>
                <w:tcPr>
                  <w:tcW w:w="1384" w:type="dxa"/>
                  <w:tcBorders>
                    <w:tl2br w:val="nil"/>
                    <w:tr2bl w:val="nil"/>
                  </w:tcBorders>
                  <w:noWrap w:val="0"/>
                  <w:vAlign w:val="center"/>
                </w:tcPr>
                <w:p w14:paraId="416F76D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23</w:t>
                  </w:r>
                </w:p>
              </w:tc>
              <w:tc>
                <w:tcPr>
                  <w:tcW w:w="1097" w:type="dxa"/>
                  <w:tcBorders>
                    <w:tl2br w:val="nil"/>
                    <w:tr2bl w:val="nil"/>
                  </w:tcBorders>
                  <w:noWrap w:val="0"/>
                  <w:vAlign w:val="center"/>
                </w:tcPr>
                <w:p w14:paraId="4E0CA54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46</w:t>
                  </w:r>
                </w:p>
              </w:tc>
              <w:tc>
                <w:tcPr>
                  <w:tcW w:w="1304" w:type="dxa"/>
                  <w:tcBorders>
                    <w:tl2br w:val="nil"/>
                    <w:tr2bl w:val="nil"/>
                  </w:tcBorders>
                  <w:noWrap w:val="0"/>
                  <w:vAlign w:val="center"/>
                </w:tcPr>
                <w:p w14:paraId="28AC41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100</w:t>
                  </w:r>
                </w:p>
              </w:tc>
              <w:tc>
                <w:tcPr>
                  <w:tcW w:w="1349" w:type="dxa"/>
                  <w:tcBorders>
                    <w:tl2br w:val="nil"/>
                    <w:tr2bl w:val="nil"/>
                  </w:tcBorders>
                  <w:noWrap w:val="0"/>
                  <w:vAlign w:val="center"/>
                </w:tcPr>
                <w:p w14:paraId="098C636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400</w:t>
                  </w:r>
                </w:p>
              </w:tc>
            </w:tr>
          </w:tbl>
          <w:p w14:paraId="4E16158A">
            <w:pPr>
              <w:bidi w:val="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综上，上述生产设备用水补充水量为0.046t/d（15.18t/a）</w:t>
            </w:r>
            <w:r>
              <w:rPr>
                <w:rFonts w:hint="eastAsia" w:cs="Times New Roman"/>
                <w:color w:val="auto"/>
                <w:lang w:val="en-US" w:eastAsia="zh-CN"/>
              </w:rPr>
              <w:t>，更换水量为</w:t>
            </w:r>
            <w:r>
              <w:rPr>
                <w:rFonts w:hint="default" w:ascii="Times New Roman" w:hAnsi="Times New Roman" w:cs="Times New Roman"/>
                <w:color w:val="auto"/>
                <w:lang w:val="en-US" w:eastAsia="zh-CN"/>
              </w:rPr>
              <w:t>0.</w:t>
            </w:r>
            <w:r>
              <w:rPr>
                <w:rFonts w:hint="eastAsia" w:cs="Times New Roman"/>
                <w:color w:val="auto"/>
                <w:lang w:val="en-US" w:eastAsia="zh-CN"/>
              </w:rPr>
              <w:t>0012</w:t>
            </w:r>
            <w:r>
              <w:rPr>
                <w:rFonts w:hint="default" w:ascii="Times New Roman" w:hAnsi="Times New Roman" w:cs="Times New Roman"/>
                <w:color w:val="auto"/>
                <w:lang w:val="en-US" w:eastAsia="zh-CN"/>
              </w:rPr>
              <w:t>t/d（</w:t>
            </w:r>
            <w:r>
              <w:rPr>
                <w:rFonts w:hint="eastAsia" w:cs="Times New Roman"/>
                <w:color w:val="auto"/>
                <w:lang w:val="en-US" w:eastAsia="zh-CN"/>
              </w:rPr>
              <w:t>0.4</w:t>
            </w:r>
            <w:r>
              <w:rPr>
                <w:rFonts w:hint="default" w:ascii="Times New Roman" w:hAnsi="Times New Roman" w:cs="Times New Roman"/>
                <w:color w:val="auto"/>
                <w:lang w:val="en-US" w:eastAsia="zh-CN"/>
              </w:rPr>
              <w:t>t/a）。</w:t>
            </w:r>
          </w:p>
          <w:p w14:paraId="57C6B79F">
            <w:pPr>
              <w:ind w:firstLine="420"/>
              <w:rPr>
                <w:rFonts w:hint="default" w:ascii="Times New Roman" w:hAnsi="Times New Roman" w:cs="Times New Roman"/>
                <w:color w:val="auto"/>
                <w:szCs w:val="21"/>
              </w:rPr>
            </w:pPr>
            <w:r>
              <w:rPr>
                <w:rFonts w:hint="default" w:ascii="Times New Roman" w:hAnsi="Times New Roman" w:cs="Times New Roman"/>
                <w:color w:val="auto"/>
                <w:szCs w:val="21"/>
                <w:lang w:eastAsia="zh-CN"/>
              </w:rPr>
              <w:t>（</w:t>
            </w:r>
            <w:r>
              <w:rPr>
                <w:rFonts w:hint="default" w:ascii="Times New Roman" w:hAnsi="Times New Roman" w:cs="Times New Roman"/>
                <w:color w:val="auto"/>
                <w:szCs w:val="21"/>
                <w:lang w:val="en-US" w:eastAsia="zh-CN"/>
              </w:rPr>
              <w:t>3</w:t>
            </w:r>
            <w:r>
              <w:rPr>
                <w:rFonts w:hint="default" w:ascii="Times New Roman" w:hAnsi="Times New Roman" w:cs="Times New Roman"/>
                <w:color w:val="auto"/>
                <w:szCs w:val="21"/>
                <w:lang w:eastAsia="zh-CN"/>
              </w:rPr>
              <w:t>）</w:t>
            </w:r>
            <w:r>
              <w:rPr>
                <w:rFonts w:hint="default" w:ascii="Times New Roman" w:hAnsi="Times New Roman" w:cs="Times New Roman"/>
                <w:color w:val="auto"/>
                <w:szCs w:val="21"/>
              </w:rPr>
              <w:t>喷枪喷头清洗</w:t>
            </w:r>
          </w:p>
          <w:p w14:paraId="7D7F455F">
            <w:pPr>
              <w:ind w:firstLine="420"/>
              <w:rPr>
                <w:rFonts w:hint="default" w:ascii="Times New Roman" w:hAnsi="Times New Roman" w:cs="Times New Roman"/>
                <w:color w:val="auto"/>
              </w:rPr>
            </w:pPr>
            <w:r>
              <w:rPr>
                <w:rFonts w:hint="default" w:ascii="Times New Roman" w:hAnsi="Times New Roman" w:cs="Times New Roman"/>
                <w:color w:val="auto"/>
              </w:rPr>
              <w:t>本项目使用的面漆为</w:t>
            </w:r>
            <w:r>
              <w:rPr>
                <w:rFonts w:hint="eastAsia" w:cs="Times New Roman"/>
                <w:color w:val="auto"/>
                <w:lang w:eastAsia="zh-CN"/>
              </w:rPr>
              <w:t>水性丙烯酸面漆</w:t>
            </w:r>
            <w:r>
              <w:rPr>
                <w:rFonts w:hint="default" w:ascii="Times New Roman" w:hAnsi="Times New Roman" w:cs="Times New Roman"/>
                <w:color w:val="auto"/>
              </w:rPr>
              <w:t>，溶于水，使用后喷头在喷漆房内用自来水清洗，由于喷头残留量极少，仅需在自来水中浸泡半小时后即可溶解，</w:t>
            </w:r>
            <w:r>
              <w:rPr>
                <w:rFonts w:hint="eastAsia" w:cs="Times New Roman"/>
                <w:color w:val="auto"/>
                <w:lang w:eastAsia="zh-CN"/>
              </w:rPr>
              <w:t>考虑喷涂不同颜色的面漆，</w:t>
            </w:r>
            <w:r>
              <w:rPr>
                <w:rFonts w:hint="default" w:ascii="Times New Roman" w:hAnsi="Times New Roman" w:cs="Times New Roman"/>
                <w:color w:val="auto"/>
              </w:rPr>
              <w:t>喷枪喷头</w:t>
            </w:r>
            <w:r>
              <w:rPr>
                <w:rFonts w:hint="eastAsia" w:cs="Times New Roman"/>
                <w:color w:val="auto"/>
                <w:lang w:eastAsia="zh-CN"/>
              </w:rPr>
              <w:t>按</w:t>
            </w:r>
            <w:r>
              <w:rPr>
                <w:rFonts w:hint="default" w:ascii="Times New Roman" w:hAnsi="Times New Roman" w:cs="Times New Roman"/>
                <w:color w:val="auto"/>
              </w:rPr>
              <w:t>每日浸泡</w:t>
            </w:r>
            <w:r>
              <w:rPr>
                <w:rFonts w:hint="eastAsia" w:cs="Times New Roman"/>
                <w:color w:val="auto"/>
                <w:lang w:eastAsia="zh-CN"/>
              </w:rPr>
              <w:t>清洗</w:t>
            </w:r>
            <w:r>
              <w:rPr>
                <w:rFonts w:hint="default" w:ascii="Times New Roman" w:hAnsi="Times New Roman" w:cs="Times New Roman"/>
                <w:color w:val="auto"/>
              </w:rPr>
              <w:t>2次，</w:t>
            </w:r>
            <w:r>
              <w:rPr>
                <w:rFonts w:hint="default" w:ascii="Times New Roman" w:hAnsi="Times New Roman" w:cs="Times New Roman"/>
                <w:color w:val="auto"/>
                <w:szCs w:val="21"/>
              </w:rPr>
              <w:t>喷枪喷头每</w:t>
            </w:r>
            <w:r>
              <w:rPr>
                <w:rFonts w:hint="default" w:ascii="Times New Roman" w:hAnsi="Times New Roman" w:cs="Times New Roman"/>
                <w:color w:val="auto"/>
                <w:szCs w:val="21"/>
                <w:lang w:eastAsia="zh-CN"/>
              </w:rPr>
              <w:t>日浸泡水量为</w:t>
            </w:r>
            <w:r>
              <w:rPr>
                <w:rFonts w:hint="default" w:ascii="Times New Roman" w:hAnsi="Times New Roman" w:cs="Times New Roman"/>
                <w:color w:val="auto"/>
                <w:szCs w:val="21"/>
                <w:lang w:val="en-US" w:eastAsia="zh-CN"/>
              </w:rPr>
              <w:t>5.0kg，</w:t>
            </w:r>
            <w:r>
              <w:rPr>
                <w:rFonts w:hint="default" w:ascii="Times New Roman" w:hAnsi="Times New Roman" w:cs="Times New Roman"/>
                <w:color w:val="auto"/>
                <w:szCs w:val="21"/>
                <w:lang w:eastAsia="zh-CN"/>
              </w:rPr>
              <w:t>根据企业提供数据，喷漆年工作日为</w:t>
            </w:r>
            <w:r>
              <w:rPr>
                <w:rFonts w:hint="default" w:ascii="Times New Roman" w:hAnsi="Times New Roman" w:cs="Times New Roman"/>
                <w:color w:val="auto"/>
                <w:szCs w:val="21"/>
                <w:lang w:val="en-US" w:eastAsia="zh-CN"/>
              </w:rPr>
              <w:t>150d，则清洗用水为0.75t/a（2.273</w:t>
            </w:r>
            <w:r>
              <w:rPr>
                <w:rFonts w:hint="default" w:ascii="Times New Roman" w:hAnsi="Times New Roman" w:cs="Times New Roman"/>
                <w:color w:val="auto"/>
                <w:lang w:val="en-US" w:eastAsia="zh-CN"/>
              </w:rPr>
              <w:t>×10</w:t>
            </w:r>
            <w:r>
              <w:rPr>
                <w:rFonts w:hint="default" w:ascii="Times New Roman" w:hAnsi="Times New Roman" w:cs="Times New Roman"/>
                <w:color w:val="auto"/>
                <w:vertAlign w:val="superscript"/>
                <w:lang w:val="en-US" w:eastAsia="zh-CN"/>
              </w:rPr>
              <w:t>-3</w:t>
            </w:r>
            <w:r>
              <w:rPr>
                <w:rFonts w:hint="default" w:ascii="Times New Roman" w:hAnsi="Times New Roman" w:cs="Times New Roman"/>
                <w:color w:val="auto"/>
                <w:szCs w:val="21"/>
                <w:lang w:val="en-US" w:eastAsia="zh-CN"/>
              </w:rPr>
              <w:t>t/d），</w:t>
            </w:r>
            <w:r>
              <w:rPr>
                <w:rFonts w:hint="eastAsia" w:cs="Times New Roman"/>
                <w:color w:val="auto"/>
                <w:lang w:eastAsia="zh-CN"/>
              </w:rPr>
              <w:t>产生的</w:t>
            </w:r>
            <w:r>
              <w:rPr>
                <w:rFonts w:hint="default" w:ascii="Times New Roman" w:hAnsi="Times New Roman" w:cs="Times New Roman"/>
                <w:color w:val="auto"/>
              </w:rPr>
              <w:t>清洗水</w:t>
            </w:r>
            <w:r>
              <w:rPr>
                <w:rFonts w:hint="eastAsia" w:cs="Times New Roman"/>
                <w:color w:val="auto"/>
                <w:lang w:val="en-US" w:eastAsia="zh-CN"/>
              </w:rPr>
              <w:t>作为危废，暂存危废暂存间，定期交有资质单位处理</w:t>
            </w:r>
            <w:r>
              <w:rPr>
                <w:rFonts w:hint="default" w:ascii="Times New Roman" w:hAnsi="Times New Roman" w:cs="Times New Roman"/>
                <w:color w:val="auto"/>
              </w:rPr>
              <w:t>。</w:t>
            </w:r>
          </w:p>
          <w:p w14:paraId="1427C5BD">
            <w:pPr>
              <w:ind w:firstLine="420"/>
              <w:rPr>
                <w:rFonts w:hint="eastAsia" w:cs="Times New Roman"/>
                <w:color w:val="auto"/>
                <w:lang w:eastAsia="zh-CN"/>
              </w:rPr>
            </w:pPr>
            <w:r>
              <w:rPr>
                <w:rFonts w:hint="eastAsia" w:cs="Times New Roman"/>
                <w:color w:val="auto"/>
                <w:lang w:eastAsia="zh-CN"/>
              </w:rPr>
              <w:t>（</w:t>
            </w:r>
            <w:r>
              <w:rPr>
                <w:rFonts w:hint="eastAsia" w:cs="Times New Roman"/>
                <w:color w:val="auto"/>
                <w:lang w:val="en-US" w:eastAsia="zh-CN"/>
              </w:rPr>
              <w:t>4</w:t>
            </w:r>
            <w:r>
              <w:rPr>
                <w:rFonts w:hint="eastAsia" w:cs="Times New Roman"/>
                <w:color w:val="auto"/>
                <w:lang w:eastAsia="zh-CN"/>
              </w:rPr>
              <w:t>）空压系统冷凝水</w:t>
            </w:r>
          </w:p>
          <w:p w14:paraId="43CCAD1B">
            <w:pPr>
              <w:ind w:firstLine="420"/>
              <w:rPr>
                <w:rFonts w:hint="eastAsia" w:cs="Times New Roman"/>
                <w:color w:val="auto"/>
                <w:lang w:val="en-US" w:eastAsia="zh-CN"/>
              </w:rPr>
            </w:pPr>
            <w:r>
              <w:rPr>
                <w:rFonts w:hint="eastAsia" w:cs="Times New Roman"/>
                <w:color w:val="auto"/>
                <w:lang w:val="en-US" w:eastAsia="zh-CN"/>
              </w:rPr>
              <w:t>空压机在压缩空气时，由于机械功转化为内能，压缩后的空气温度会显著升高当空压机在压缩空气时，机房内高湿度的空气会使得水汽凝结成液体。</w:t>
            </w:r>
          </w:p>
          <w:p w14:paraId="46F98CA6">
            <w:pPr>
              <w:ind w:firstLine="420"/>
              <w:rPr>
                <w:rFonts w:hint="eastAsia" w:cs="Times New Roman"/>
                <w:color w:val="auto"/>
                <w:lang w:val="en-US" w:eastAsia="zh-CN"/>
              </w:rPr>
            </w:pPr>
            <w:r>
              <w:rPr>
                <w:rFonts w:hint="eastAsia" w:cs="Times New Roman"/>
                <w:color w:val="auto"/>
                <w:lang w:val="en-US" w:eastAsia="zh-CN"/>
              </w:rPr>
              <w:t>空压机产生的冷凝水量主要取决于压缩空气的处理量、温度、湿度以及压力等参数。计算方法通常基于空气含湿量的变化，计算公式和关键参数如下：</w:t>
            </w:r>
          </w:p>
          <w:p w14:paraId="6F6E9BE0">
            <w:pPr>
              <w:ind w:firstLine="420"/>
              <w:rPr>
                <w:rFonts w:hint="eastAsia" w:cs="Times New Roman"/>
                <w:color w:val="auto"/>
                <w:lang w:val="en-US" w:eastAsia="zh-CN"/>
              </w:rPr>
            </w:pPr>
            <w:r>
              <w:rPr>
                <w:rFonts w:hint="eastAsia" w:cs="Times New Roman"/>
                <w:color w:val="auto"/>
                <w:lang w:val="en-US" w:eastAsia="zh-CN"/>
              </w:rPr>
              <w:t>计算公式：空压机冷凝水量的计算公式为Q=m×（d1-d2）×</w:t>
            </w:r>
            <w:r>
              <w:rPr>
                <w:rFonts w:hint="eastAsia" w:ascii="微软雅黑" w:hAnsi="微软雅黑" w:eastAsia="微软雅黑" w:cs="微软雅黑"/>
                <w:color w:val="auto"/>
                <w:lang w:val="en-US" w:eastAsia="zh-CN"/>
              </w:rPr>
              <w:t>φ</w:t>
            </w:r>
            <w:r>
              <w:rPr>
                <w:rFonts w:hint="eastAsia" w:cs="Times New Roman"/>
                <w:color w:val="auto"/>
                <w:lang w:val="en-US" w:eastAsia="zh-CN"/>
              </w:rPr>
              <w:t>×60，</w:t>
            </w:r>
          </w:p>
          <w:p w14:paraId="5E3E68F0">
            <w:pPr>
              <w:ind w:firstLine="420"/>
              <w:rPr>
                <w:rFonts w:hint="eastAsia" w:cs="Times New Roman"/>
                <w:color w:val="auto"/>
                <w:lang w:val="en-US" w:eastAsia="zh-CN"/>
              </w:rPr>
            </w:pPr>
            <w:r>
              <w:rPr>
                <w:rFonts w:hint="eastAsia" w:cs="Times New Roman"/>
                <w:color w:val="auto"/>
                <w:lang w:val="en-US" w:eastAsia="zh-CN"/>
              </w:rPr>
              <w:t>其中：</w:t>
            </w:r>
          </w:p>
          <w:p w14:paraId="6A841403">
            <w:pPr>
              <w:ind w:firstLine="420"/>
              <w:rPr>
                <w:rFonts w:hint="eastAsia" w:cs="Times New Roman"/>
                <w:color w:val="auto"/>
                <w:lang w:val="en-US" w:eastAsia="zh-CN"/>
              </w:rPr>
            </w:pPr>
            <w:r>
              <w:rPr>
                <w:rFonts w:hint="eastAsia" w:cs="Times New Roman"/>
                <w:color w:val="auto"/>
                <w:lang w:val="en-US" w:eastAsia="zh-CN"/>
              </w:rPr>
              <w:t>Q为凝结水水量，单位g/h；</w:t>
            </w:r>
          </w:p>
          <w:p w14:paraId="77AA2F9A">
            <w:pPr>
              <w:ind w:firstLine="420"/>
              <w:rPr>
                <w:rFonts w:hint="eastAsia" w:cs="Times New Roman"/>
                <w:color w:val="auto"/>
                <w:lang w:val="en-US" w:eastAsia="zh-CN"/>
              </w:rPr>
            </w:pPr>
            <w:r>
              <w:rPr>
                <w:rFonts w:hint="eastAsia" w:cs="Times New Roman"/>
                <w:color w:val="auto"/>
                <w:lang w:val="en-US" w:eastAsia="zh-CN"/>
              </w:rPr>
              <w:t>m为空压机的处理气量，单位Nm</w:t>
            </w:r>
            <w:r>
              <w:rPr>
                <w:rFonts w:hint="eastAsia" w:cs="Times New Roman"/>
                <w:color w:val="auto"/>
                <w:vertAlign w:val="superscript"/>
                <w:lang w:val="en-US" w:eastAsia="zh-CN"/>
              </w:rPr>
              <w:t>3</w:t>
            </w:r>
            <w:r>
              <w:rPr>
                <w:rFonts w:hint="eastAsia" w:cs="Times New Roman"/>
                <w:color w:val="auto"/>
                <w:lang w:val="en-US" w:eastAsia="zh-CN"/>
              </w:rPr>
              <w:t>/min（标准立方米每分钟）；</w:t>
            </w:r>
          </w:p>
          <w:p w14:paraId="491B1660">
            <w:pPr>
              <w:ind w:firstLine="420"/>
              <w:rPr>
                <w:rFonts w:hint="default" w:cs="Times New Roman"/>
                <w:color w:val="auto"/>
                <w:vertAlign w:val="baseline"/>
                <w:lang w:val="en-US" w:eastAsia="zh-CN"/>
              </w:rPr>
            </w:pPr>
            <w:r>
              <w:rPr>
                <w:rFonts w:hint="eastAsia" w:cs="Times New Roman"/>
                <w:color w:val="auto"/>
                <w:lang w:val="en-US" w:eastAsia="zh-CN"/>
              </w:rPr>
              <w:t>d1为压缩空气在进入蒸发器或预冷器时温度下的饱和含水量，单位g/m</w:t>
            </w:r>
            <w:r>
              <w:rPr>
                <w:rFonts w:hint="eastAsia" w:cs="Times New Roman"/>
                <w:color w:val="auto"/>
                <w:vertAlign w:val="superscript"/>
                <w:lang w:val="en-US" w:eastAsia="zh-CN"/>
              </w:rPr>
              <w:t>3</w:t>
            </w:r>
            <w:r>
              <w:rPr>
                <w:rFonts w:hint="eastAsia" w:cs="Times New Roman"/>
                <w:color w:val="auto"/>
                <w:vertAlign w:val="baseline"/>
                <w:lang w:val="en-US" w:eastAsia="zh-CN"/>
              </w:rPr>
              <w:t>；</w:t>
            </w:r>
          </w:p>
          <w:p w14:paraId="586CB960">
            <w:pPr>
              <w:ind w:firstLine="420"/>
              <w:rPr>
                <w:rFonts w:hint="eastAsia" w:cs="Times New Roman"/>
                <w:color w:val="auto"/>
                <w:lang w:val="en-US" w:eastAsia="zh-CN"/>
              </w:rPr>
            </w:pPr>
            <w:r>
              <w:rPr>
                <w:rFonts w:hint="eastAsia" w:cs="Times New Roman"/>
                <w:color w:val="auto"/>
                <w:lang w:val="en-US" w:eastAsia="zh-CN"/>
              </w:rPr>
              <w:t>d2为压缩空气在离开设备时温度下的饱和含水量，单位g/m</w:t>
            </w:r>
            <w:r>
              <w:rPr>
                <w:rFonts w:hint="eastAsia" w:cs="Times New Roman"/>
                <w:color w:val="auto"/>
                <w:vertAlign w:val="superscript"/>
                <w:lang w:val="en-US" w:eastAsia="zh-CN"/>
              </w:rPr>
              <w:t>3</w:t>
            </w:r>
            <w:r>
              <w:rPr>
                <w:rFonts w:hint="eastAsia" w:cs="Times New Roman"/>
                <w:color w:val="auto"/>
                <w:lang w:val="en-US" w:eastAsia="zh-CN"/>
              </w:rPr>
              <w:t>；</w:t>
            </w:r>
          </w:p>
          <w:p w14:paraId="45BD2503">
            <w:pPr>
              <w:ind w:firstLine="420"/>
              <w:rPr>
                <w:rFonts w:hint="eastAsia" w:cs="Times New Roman"/>
                <w:color w:val="auto"/>
                <w:lang w:val="en-US" w:eastAsia="zh-CN"/>
              </w:rPr>
            </w:pPr>
            <w:r>
              <w:rPr>
                <w:rFonts w:hint="eastAsia" w:ascii="微软雅黑" w:hAnsi="微软雅黑" w:eastAsia="微软雅黑" w:cs="微软雅黑"/>
                <w:color w:val="auto"/>
                <w:lang w:val="en-US" w:eastAsia="zh-CN"/>
              </w:rPr>
              <w:t>φ</w:t>
            </w:r>
            <w:r>
              <w:rPr>
                <w:rFonts w:hint="eastAsia" w:cs="Times New Roman"/>
                <w:color w:val="auto"/>
                <w:lang w:val="en-US" w:eastAsia="zh-CN"/>
              </w:rPr>
              <w:t>为空压机吸气环境下的相对湿度，一般可按100%计算；</w:t>
            </w:r>
          </w:p>
          <w:p w14:paraId="58CF468E">
            <w:pPr>
              <w:bidi w:val="0"/>
              <w:rPr>
                <w:rFonts w:hint="eastAsia"/>
                <w:color w:val="auto"/>
                <w:lang w:val="en-US" w:eastAsia="zh-CN"/>
              </w:rPr>
            </w:pPr>
            <w:r>
              <w:rPr>
                <w:rFonts w:hint="eastAsia" w:cs="Times New Roman"/>
                <w:color w:val="auto"/>
                <w:lang w:val="en-US" w:eastAsia="zh-CN"/>
              </w:rPr>
              <w:t>公式中</w:t>
            </w:r>
            <w:r>
              <w:rPr>
                <w:rFonts w:hint="eastAsia"/>
                <w:color w:val="auto"/>
                <w:lang w:val="en-US" w:eastAsia="zh-CN"/>
              </w:rPr>
              <w:t>的60用于将分钟单位转换为小时单位。</w:t>
            </w:r>
          </w:p>
          <w:p w14:paraId="5209C1DC">
            <w:pPr>
              <w:bidi w:val="0"/>
              <w:rPr>
                <w:rFonts w:hint="eastAsia"/>
                <w:color w:val="auto"/>
                <w:lang w:val="en-US" w:eastAsia="zh-CN"/>
              </w:rPr>
            </w:pPr>
            <w:r>
              <w:rPr>
                <w:rFonts w:hint="eastAsia"/>
                <w:color w:val="auto"/>
                <w:lang w:val="en-US" w:eastAsia="zh-CN"/>
              </w:rPr>
              <w:t>关键参数说明：饱和含水量d1和d2需根据空气温度从饱和水蒸气表或焓湿图中查得；处理气量m</w:t>
            </w:r>
            <w:r>
              <w:rPr>
                <w:rFonts w:hint="eastAsia"/>
                <w:color w:val="auto"/>
                <w:vertAlign w:val="superscript"/>
                <w:lang w:val="en-US" w:eastAsia="zh-CN"/>
              </w:rPr>
              <w:t>3</w:t>
            </w:r>
            <w:r>
              <w:rPr>
                <w:rFonts w:hint="eastAsia"/>
                <w:color w:val="auto"/>
                <w:lang w:val="en-US" w:eastAsia="zh-CN"/>
              </w:rPr>
              <w:t>通常由空压机型号决定，相对湿度在实际计算中可根据环境条件调整，但若无具体数据可默认为100%。</w:t>
            </w:r>
          </w:p>
          <w:p w14:paraId="7E810792">
            <w:pPr>
              <w:bidi w:val="0"/>
              <w:rPr>
                <w:rFonts w:hint="eastAsia"/>
                <w:color w:val="auto"/>
                <w:lang w:val="en-US" w:eastAsia="zh-CN"/>
              </w:rPr>
            </w:pPr>
            <w:r>
              <w:rPr>
                <w:rFonts w:hint="eastAsia"/>
                <w:color w:val="auto"/>
                <w:lang w:val="en-US" w:eastAsia="zh-CN"/>
              </w:rPr>
              <w:t>本项目使用的空压机单台处理气量约为3Nm</w:t>
            </w:r>
            <w:r>
              <w:rPr>
                <w:rFonts w:hint="eastAsia"/>
                <w:color w:val="auto"/>
                <w:vertAlign w:val="superscript"/>
                <w:lang w:val="en-US" w:eastAsia="zh-CN"/>
              </w:rPr>
              <w:t>3</w:t>
            </w:r>
            <w:r>
              <w:rPr>
                <w:rFonts w:hint="eastAsia"/>
                <w:color w:val="auto"/>
                <w:lang w:val="en-US" w:eastAsia="zh-CN"/>
              </w:rPr>
              <w:t>/min，压缩空气在进入蒸发器或预冷器时温度约为40℃，查表得饱和含水量d1为51.1</w:t>
            </w:r>
            <w:r>
              <w:rPr>
                <w:rFonts w:hint="eastAsia" w:cs="Times New Roman"/>
                <w:color w:val="auto"/>
                <w:lang w:val="en-US" w:eastAsia="zh-CN"/>
              </w:rPr>
              <w:t>g/m</w:t>
            </w:r>
            <w:r>
              <w:rPr>
                <w:rFonts w:hint="eastAsia" w:cs="Times New Roman"/>
                <w:color w:val="auto"/>
                <w:vertAlign w:val="superscript"/>
                <w:lang w:val="en-US" w:eastAsia="zh-CN"/>
              </w:rPr>
              <w:t>3</w:t>
            </w:r>
            <w:r>
              <w:rPr>
                <w:rFonts w:hint="eastAsia"/>
                <w:color w:val="auto"/>
                <w:lang w:val="en-US" w:eastAsia="zh-CN"/>
              </w:rPr>
              <w:t>，压缩空气在离开设备时温度约为80℃，查表得饱和含水量d2为290.4</w:t>
            </w:r>
            <w:r>
              <w:rPr>
                <w:rFonts w:hint="eastAsia" w:cs="Times New Roman"/>
                <w:color w:val="auto"/>
                <w:lang w:val="en-US" w:eastAsia="zh-CN"/>
              </w:rPr>
              <w:t>g/m</w:t>
            </w:r>
            <w:r>
              <w:rPr>
                <w:rFonts w:hint="eastAsia" w:cs="Times New Roman"/>
                <w:color w:val="auto"/>
                <w:vertAlign w:val="superscript"/>
                <w:lang w:val="en-US" w:eastAsia="zh-CN"/>
              </w:rPr>
              <w:t>3</w:t>
            </w:r>
            <w:r>
              <w:rPr>
                <w:rFonts w:hint="eastAsia"/>
                <w:color w:val="auto"/>
                <w:lang w:val="en-US" w:eastAsia="zh-CN"/>
              </w:rPr>
              <w:t>，池州市年均环境空气相对湿度φ约为71%。</w:t>
            </w:r>
          </w:p>
          <w:p w14:paraId="0B6B3FCC">
            <w:pPr>
              <w:bidi w:val="0"/>
              <w:rPr>
                <w:rFonts w:hint="default"/>
                <w:color w:val="auto"/>
                <w:lang w:val="en-US" w:eastAsia="zh-CN"/>
              </w:rPr>
            </w:pPr>
            <w:r>
              <w:rPr>
                <w:rFonts w:hint="eastAsia"/>
                <w:color w:val="auto"/>
                <w:lang w:val="en-US" w:eastAsia="zh-CN"/>
              </w:rPr>
              <w:t>综上，根据上述公式，本项目单台空压机冷凝水量为30582.54g/h，本项目2台空压机，每台年工作150d，每天工作8h，则空压机冷凝水量为73.398t/a（0.2224t/d）。</w:t>
            </w:r>
            <w:r>
              <w:rPr>
                <w:rFonts w:hint="default" w:ascii="Times New Roman" w:hAnsi="Times New Roman" w:cs="Times New Roman"/>
                <w:color w:val="auto"/>
                <w:lang w:val="en-US" w:eastAsia="zh-CN"/>
              </w:rPr>
              <w:t>通过厂区总排口排入市政污水管网进入青阳县污水处理厂。</w:t>
            </w:r>
          </w:p>
          <w:p w14:paraId="28BA8F7E">
            <w:pPr>
              <w:pStyle w:val="38"/>
              <w:keepNext w:val="0"/>
              <w:keepLines w:val="0"/>
              <w:pageBreakBefore w:val="0"/>
              <w:widowControl/>
              <w:kinsoku/>
              <w:wordWrap/>
              <w:overflowPunct/>
              <w:topLinePunct w:val="0"/>
              <w:autoSpaceDE/>
              <w:autoSpaceDN/>
              <w:bidi w:val="0"/>
              <w:adjustRightInd w:val="0"/>
              <w:snapToGrid w:val="0"/>
              <w:spacing w:before="0" w:after="0"/>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表2-9  本项目</w:t>
            </w:r>
            <w:r>
              <w:rPr>
                <w:rFonts w:hint="default" w:ascii="Times New Roman" w:hAnsi="Times New Roman" w:cs="Times New Roman"/>
                <w:color w:val="auto"/>
              </w:rPr>
              <w:t>用水、排水情况</w:t>
            </w:r>
            <w:r>
              <w:rPr>
                <w:rFonts w:hint="default" w:ascii="Times New Roman" w:hAnsi="Times New Roman" w:cs="Times New Roman"/>
                <w:color w:val="auto"/>
                <w:lang w:eastAsia="zh-CN"/>
              </w:rPr>
              <w:t>一览表</w:t>
            </w:r>
          </w:p>
          <w:tbl>
            <w:tblPr>
              <w:tblStyle w:val="32"/>
              <w:tblW w:w="86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92"/>
              <w:gridCol w:w="1922"/>
              <w:gridCol w:w="1237"/>
              <w:gridCol w:w="1238"/>
              <w:gridCol w:w="1134"/>
              <w:gridCol w:w="2631"/>
            </w:tblGrid>
            <w:tr w14:paraId="32B66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2" w:hRule="atLeast"/>
                <w:tblHeader/>
                <w:jc w:val="center"/>
              </w:trPr>
              <w:tc>
                <w:tcPr>
                  <w:tcW w:w="492" w:type="dxa"/>
                  <w:tcBorders>
                    <w:tl2br w:val="nil"/>
                    <w:tr2bl w:val="nil"/>
                  </w:tcBorders>
                  <w:vAlign w:val="center"/>
                </w:tcPr>
                <w:p w14:paraId="0C03F2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lang w:eastAsia="zh-CN"/>
                    </w:rPr>
                  </w:pPr>
                  <w:r>
                    <w:rPr>
                      <w:rFonts w:hint="default" w:ascii="Times New Roman" w:hAnsi="Times New Roman" w:cs="Times New Roman"/>
                      <w:b/>
                      <w:bCs/>
                      <w:color w:val="auto"/>
                      <w:lang w:eastAsia="zh-CN"/>
                    </w:rPr>
                    <w:t>序号</w:t>
                  </w:r>
                </w:p>
              </w:tc>
              <w:tc>
                <w:tcPr>
                  <w:tcW w:w="1922" w:type="dxa"/>
                  <w:tcBorders>
                    <w:tl2br w:val="nil"/>
                    <w:tr2bl w:val="nil"/>
                  </w:tcBorders>
                  <w:vAlign w:val="center"/>
                </w:tcPr>
                <w:p w14:paraId="53FF1F7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lang w:eastAsia="zh-CN"/>
                    </w:rPr>
                  </w:pPr>
                  <w:r>
                    <w:rPr>
                      <w:rFonts w:hint="default" w:ascii="Times New Roman" w:hAnsi="Times New Roman" w:cs="Times New Roman"/>
                      <w:b/>
                      <w:bCs/>
                      <w:color w:val="auto"/>
                      <w:lang w:eastAsia="zh-CN"/>
                    </w:rPr>
                    <w:t>用水类别</w:t>
                  </w:r>
                </w:p>
              </w:tc>
              <w:tc>
                <w:tcPr>
                  <w:tcW w:w="1237" w:type="dxa"/>
                  <w:tcBorders>
                    <w:tl2br w:val="nil"/>
                    <w:tr2bl w:val="nil"/>
                  </w:tcBorders>
                  <w:vAlign w:val="center"/>
                </w:tcPr>
                <w:p w14:paraId="2927463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lang w:eastAsia="zh-CN"/>
                    </w:rPr>
                  </w:pPr>
                  <w:r>
                    <w:rPr>
                      <w:rFonts w:hint="default" w:ascii="Times New Roman" w:hAnsi="Times New Roman" w:cs="Times New Roman"/>
                      <w:b/>
                      <w:bCs/>
                      <w:color w:val="auto"/>
                      <w:lang w:eastAsia="zh-CN"/>
                    </w:rPr>
                    <w:t>新鲜水用量</w:t>
                  </w:r>
                  <w:r>
                    <w:rPr>
                      <w:rFonts w:hint="default" w:ascii="Times New Roman" w:hAnsi="Times New Roman" w:cs="Times New Roman"/>
                      <w:b/>
                      <w:bCs/>
                      <w:color w:val="auto"/>
                      <w:lang w:val="en-US" w:eastAsia="zh-CN"/>
                    </w:rPr>
                    <w:t>t/d</w:t>
                  </w:r>
                </w:p>
              </w:tc>
              <w:tc>
                <w:tcPr>
                  <w:tcW w:w="1238" w:type="dxa"/>
                  <w:tcBorders>
                    <w:tl2br w:val="nil"/>
                    <w:tr2bl w:val="nil"/>
                  </w:tcBorders>
                  <w:vAlign w:val="center"/>
                </w:tcPr>
                <w:p w14:paraId="2B1F988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eastAsia="zh-CN"/>
                    </w:rPr>
                  </w:pPr>
                  <w:r>
                    <w:rPr>
                      <w:rFonts w:hint="default" w:ascii="Times New Roman" w:hAnsi="Times New Roman" w:cs="Times New Roman"/>
                      <w:b/>
                      <w:bCs/>
                      <w:color w:val="auto"/>
                      <w:lang w:eastAsia="zh-CN"/>
                    </w:rPr>
                    <w:t>损耗量</w:t>
                  </w:r>
                  <w:r>
                    <w:rPr>
                      <w:rFonts w:hint="default" w:ascii="Times New Roman" w:hAnsi="Times New Roman" w:cs="Times New Roman"/>
                      <w:b/>
                      <w:bCs/>
                      <w:color w:val="auto"/>
                      <w:lang w:val="en-US" w:eastAsia="zh-CN"/>
                    </w:rPr>
                    <w:t>t/d</w:t>
                  </w:r>
                </w:p>
              </w:tc>
              <w:tc>
                <w:tcPr>
                  <w:tcW w:w="1134" w:type="dxa"/>
                  <w:tcBorders>
                    <w:tl2br w:val="nil"/>
                    <w:tr2bl w:val="nil"/>
                  </w:tcBorders>
                  <w:vAlign w:val="center"/>
                </w:tcPr>
                <w:p w14:paraId="6FD790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lang w:eastAsia="zh-CN"/>
                    </w:rPr>
                  </w:pPr>
                  <w:r>
                    <w:rPr>
                      <w:rFonts w:hint="default" w:ascii="Times New Roman" w:hAnsi="Times New Roman" w:cs="Times New Roman"/>
                      <w:b/>
                      <w:bCs/>
                      <w:color w:val="auto"/>
                      <w:lang w:eastAsia="zh-CN"/>
                    </w:rPr>
                    <w:t>废水产生量</w:t>
                  </w:r>
                  <w:r>
                    <w:rPr>
                      <w:rFonts w:hint="default" w:ascii="Times New Roman" w:hAnsi="Times New Roman" w:cs="Times New Roman"/>
                      <w:b/>
                      <w:bCs/>
                      <w:color w:val="auto"/>
                      <w:lang w:val="en-US" w:eastAsia="zh-CN"/>
                    </w:rPr>
                    <w:t>t/d</w:t>
                  </w:r>
                </w:p>
              </w:tc>
              <w:tc>
                <w:tcPr>
                  <w:tcW w:w="2631" w:type="dxa"/>
                  <w:tcBorders>
                    <w:tl2br w:val="nil"/>
                    <w:tr2bl w:val="nil"/>
                  </w:tcBorders>
                  <w:vAlign w:val="center"/>
                </w:tcPr>
                <w:p w14:paraId="38E9250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lang w:eastAsia="zh-CN"/>
                    </w:rPr>
                  </w:pPr>
                  <w:r>
                    <w:rPr>
                      <w:rFonts w:hint="default" w:ascii="Times New Roman" w:hAnsi="Times New Roman" w:cs="Times New Roman"/>
                      <w:b/>
                      <w:bCs/>
                      <w:color w:val="auto"/>
                      <w:lang w:eastAsia="zh-CN"/>
                    </w:rPr>
                    <w:t>备注</w:t>
                  </w:r>
                </w:p>
              </w:tc>
            </w:tr>
            <w:tr w14:paraId="35B7F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5" w:hRule="atLeast"/>
                <w:jc w:val="center"/>
              </w:trPr>
              <w:tc>
                <w:tcPr>
                  <w:tcW w:w="492" w:type="dxa"/>
                  <w:tcBorders>
                    <w:tl2br w:val="nil"/>
                    <w:tr2bl w:val="nil"/>
                  </w:tcBorders>
                  <w:vAlign w:val="center"/>
                </w:tcPr>
                <w:p w14:paraId="65CB190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lang w:val="en-US" w:eastAsia="zh-CN"/>
                    </w:rPr>
                  </w:pPr>
                  <w:r>
                    <w:rPr>
                      <w:rFonts w:hint="default" w:ascii="Times New Roman" w:hAnsi="Times New Roman" w:cs="Times New Roman"/>
                      <w:b w:val="0"/>
                      <w:bCs/>
                      <w:color w:val="auto"/>
                      <w:lang w:val="en-US" w:eastAsia="zh-CN"/>
                    </w:rPr>
                    <w:t>1</w:t>
                  </w:r>
                </w:p>
              </w:tc>
              <w:tc>
                <w:tcPr>
                  <w:tcW w:w="1922" w:type="dxa"/>
                  <w:tcBorders>
                    <w:tl2br w:val="nil"/>
                    <w:tr2bl w:val="nil"/>
                  </w:tcBorders>
                  <w:vAlign w:val="center"/>
                </w:tcPr>
                <w:p w14:paraId="3D636F8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rPr>
                  </w:pPr>
                  <w:r>
                    <w:rPr>
                      <w:rFonts w:hint="default" w:ascii="Times New Roman" w:hAnsi="Times New Roman" w:cs="Times New Roman"/>
                      <w:b w:val="0"/>
                      <w:bCs/>
                      <w:color w:val="auto"/>
                      <w:lang w:val="en-US" w:eastAsia="zh-CN"/>
                    </w:rPr>
                    <w:t>机加工用水</w:t>
                  </w:r>
                </w:p>
              </w:tc>
              <w:tc>
                <w:tcPr>
                  <w:tcW w:w="1237" w:type="dxa"/>
                  <w:tcBorders>
                    <w:tl2br w:val="nil"/>
                    <w:tr2bl w:val="nil"/>
                  </w:tcBorders>
                  <w:vAlign w:val="center"/>
                </w:tcPr>
                <w:p w14:paraId="02BE017B">
                  <w:pPr>
                    <w:pStyle w:val="37"/>
                    <w:keepNext w:val="0"/>
                    <w:keepLines w:val="0"/>
                    <w:pageBreakBefore w:val="0"/>
                    <w:widowControl w:val="0"/>
                    <w:kinsoku/>
                    <w:wordWrap/>
                    <w:overflowPunct w:val="0"/>
                    <w:topLinePunct w:val="0"/>
                    <w:autoSpaceDE/>
                    <w:autoSpaceDN/>
                    <w:bidi w:val="0"/>
                    <w:adjustRightInd w:val="0"/>
                    <w:snapToGrid w:val="0"/>
                    <w:spacing w:after="0"/>
                    <w:ind w:left="0" w:leftChars="0" w:right="0" w:rightChars="0" w:firstLine="0" w:firstLineChars="0"/>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0.04</w:t>
                  </w:r>
                  <w:r>
                    <w:rPr>
                      <w:rFonts w:hint="eastAsia" w:ascii="Times New Roman" w:hAnsi="Times New Roman" w:cs="Times New Roman"/>
                      <w:b w:val="0"/>
                      <w:bCs w:val="0"/>
                      <w:color w:val="auto"/>
                      <w:lang w:val="en-US" w:eastAsia="zh-CN"/>
                    </w:rPr>
                    <w:t>72</w:t>
                  </w:r>
                </w:p>
              </w:tc>
              <w:tc>
                <w:tcPr>
                  <w:tcW w:w="1238" w:type="dxa"/>
                  <w:tcBorders>
                    <w:tl2br w:val="nil"/>
                    <w:tr2bl w:val="nil"/>
                  </w:tcBorders>
                  <w:vAlign w:val="center"/>
                </w:tcPr>
                <w:p w14:paraId="598D287A">
                  <w:pPr>
                    <w:pStyle w:val="37"/>
                    <w:keepNext w:val="0"/>
                    <w:keepLines w:val="0"/>
                    <w:pageBreakBefore w:val="0"/>
                    <w:widowControl w:val="0"/>
                    <w:kinsoku/>
                    <w:wordWrap/>
                    <w:overflowPunct w:val="0"/>
                    <w:topLinePunct w:val="0"/>
                    <w:autoSpaceDE/>
                    <w:autoSpaceDN/>
                    <w:bidi w:val="0"/>
                    <w:adjustRightInd w:val="0"/>
                    <w:snapToGrid w:val="0"/>
                    <w:spacing w:after="0"/>
                    <w:ind w:left="0" w:leftChars="0" w:right="0" w:rightChars="0" w:firstLine="0" w:firstLineChars="0"/>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0.046</w:t>
                  </w:r>
                </w:p>
              </w:tc>
              <w:tc>
                <w:tcPr>
                  <w:tcW w:w="1134" w:type="dxa"/>
                  <w:tcBorders>
                    <w:tl2br w:val="nil"/>
                    <w:tr2bl w:val="nil"/>
                  </w:tcBorders>
                  <w:vAlign w:val="center"/>
                </w:tcPr>
                <w:p w14:paraId="66DE0649">
                  <w:pPr>
                    <w:pStyle w:val="37"/>
                    <w:keepNext w:val="0"/>
                    <w:keepLines w:val="0"/>
                    <w:pageBreakBefore w:val="0"/>
                    <w:widowControl w:val="0"/>
                    <w:kinsoku/>
                    <w:wordWrap/>
                    <w:overflowPunct w:val="0"/>
                    <w:topLinePunct w:val="0"/>
                    <w:autoSpaceDE/>
                    <w:autoSpaceDN/>
                    <w:bidi w:val="0"/>
                    <w:adjustRightInd w:val="0"/>
                    <w:snapToGrid w:val="0"/>
                    <w:spacing w:after="0"/>
                    <w:ind w:left="0" w:leftChars="0" w:right="0" w:rightChars="0" w:firstLine="0" w:firstLineChars="0"/>
                    <w:textAlignment w:val="baseline"/>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0.0012</w:t>
                  </w:r>
                </w:p>
              </w:tc>
              <w:tc>
                <w:tcPr>
                  <w:tcW w:w="2631" w:type="dxa"/>
                  <w:tcBorders>
                    <w:tl2br w:val="nil"/>
                    <w:tr2bl w:val="nil"/>
                  </w:tcBorders>
                  <w:vAlign w:val="center"/>
                </w:tcPr>
                <w:p w14:paraId="4920D8A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每日补充损耗</w:t>
                  </w:r>
                  <w:r>
                    <w:rPr>
                      <w:rFonts w:hint="eastAsia" w:ascii="Times New Roman" w:hAnsi="Times New Roman" w:cs="Times New Roman"/>
                      <w:b w:val="0"/>
                      <w:bCs w:val="0"/>
                      <w:color w:val="auto"/>
                      <w:lang w:val="en-US" w:eastAsia="zh-CN"/>
                    </w:rPr>
                    <w:t>，定期更换废水作为危废</w:t>
                  </w:r>
                </w:p>
              </w:tc>
            </w:tr>
            <w:tr w14:paraId="3CC76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5" w:hRule="atLeast"/>
                <w:jc w:val="center"/>
              </w:trPr>
              <w:tc>
                <w:tcPr>
                  <w:tcW w:w="492" w:type="dxa"/>
                  <w:tcBorders>
                    <w:tl2br w:val="nil"/>
                    <w:tr2bl w:val="nil"/>
                  </w:tcBorders>
                  <w:vAlign w:val="center"/>
                </w:tcPr>
                <w:p w14:paraId="6E5147A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w:t>
                  </w:r>
                </w:p>
              </w:tc>
              <w:tc>
                <w:tcPr>
                  <w:tcW w:w="1922" w:type="dxa"/>
                  <w:tcBorders>
                    <w:tl2br w:val="nil"/>
                    <w:tr2bl w:val="nil"/>
                  </w:tcBorders>
                  <w:vAlign w:val="center"/>
                </w:tcPr>
                <w:p w14:paraId="65A2ACE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喷枪喷头清洗用水</w:t>
                  </w:r>
                </w:p>
              </w:tc>
              <w:tc>
                <w:tcPr>
                  <w:tcW w:w="1237" w:type="dxa"/>
                  <w:tcBorders>
                    <w:tl2br w:val="nil"/>
                    <w:tr2bl w:val="nil"/>
                  </w:tcBorders>
                  <w:vAlign w:val="center"/>
                </w:tcPr>
                <w:p w14:paraId="7BC3FCE7">
                  <w:pPr>
                    <w:pStyle w:val="37"/>
                    <w:keepNext w:val="0"/>
                    <w:keepLines w:val="0"/>
                    <w:pageBreakBefore w:val="0"/>
                    <w:widowControl w:val="0"/>
                    <w:kinsoku/>
                    <w:wordWrap/>
                    <w:overflowPunct w:val="0"/>
                    <w:topLinePunct w:val="0"/>
                    <w:autoSpaceDE/>
                    <w:autoSpaceDN/>
                    <w:bidi w:val="0"/>
                    <w:adjustRightInd w:val="0"/>
                    <w:snapToGrid w:val="0"/>
                    <w:spacing w:after="0"/>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2.273×10</w:t>
                  </w:r>
                  <w:r>
                    <w:rPr>
                      <w:rFonts w:hint="default" w:ascii="Times New Roman" w:hAnsi="Times New Roman" w:cs="Times New Roman"/>
                      <w:b w:val="0"/>
                      <w:bCs w:val="0"/>
                      <w:color w:val="auto"/>
                      <w:vertAlign w:val="superscript"/>
                      <w:lang w:val="en-US" w:eastAsia="zh-CN"/>
                    </w:rPr>
                    <w:t>-3</w:t>
                  </w:r>
                </w:p>
              </w:tc>
              <w:tc>
                <w:tcPr>
                  <w:tcW w:w="1238" w:type="dxa"/>
                  <w:tcBorders>
                    <w:tl2br w:val="nil"/>
                    <w:tr2bl w:val="nil"/>
                  </w:tcBorders>
                  <w:vAlign w:val="center"/>
                </w:tcPr>
                <w:p w14:paraId="51E08180">
                  <w:pPr>
                    <w:pStyle w:val="37"/>
                    <w:keepNext w:val="0"/>
                    <w:keepLines w:val="0"/>
                    <w:pageBreakBefore w:val="0"/>
                    <w:widowControl w:val="0"/>
                    <w:kinsoku/>
                    <w:wordWrap/>
                    <w:overflowPunct w:val="0"/>
                    <w:topLinePunct w:val="0"/>
                    <w:autoSpaceDE/>
                    <w:autoSpaceDN/>
                    <w:bidi w:val="0"/>
                    <w:adjustRightInd w:val="0"/>
                    <w:snapToGrid w:val="0"/>
                    <w:spacing w:after="0"/>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w:t>
                  </w:r>
                </w:p>
              </w:tc>
              <w:tc>
                <w:tcPr>
                  <w:tcW w:w="1134" w:type="dxa"/>
                  <w:tcBorders>
                    <w:tl2br w:val="nil"/>
                    <w:tr2bl w:val="nil"/>
                  </w:tcBorders>
                  <w:vAlign w:val="center"/>
                </w:tcPr>
                <w:p w14:paraId="21375249">
                  <w:pPr>
                    <w:pStyle w:val="37"/>
                    <w:keepNext w:val="0"/>
                    <w:keepLines w:val="0"/>
                    <w:pageBreakBefore w:val="0"/>
                    <w:widowControl w:val="0"/>
                    <w:kinsoku/>
                    <w:wordWrap/>
                    <w:overflowPunct w:val="0"/>
                    <w:topLinePunct w:val="0"/>
                    <w:autoSpaceDE/>
                    <w:autoSpaceDN/>
                    <w:bidi w:val="0"/>
                    <w:adjustRightInd w:val="0"/>
                    <w:snapToGrid w:val="0"/>
                    <w:spacing w:after="0"/>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2.273×10</w:t>
                  </w:r>
                  <w:r>
                    <w:rPr>
                      <w:rFonts w:hint="default" w:ascii="Times New Roman" w:hAnsi="Times New Roman" w:cs="Times New Roman"/>
                      <w:b w:val="0"/>
                      <w:bCs w:val="0"/>
                      <w:color w:val="auto"/>
                      <w:vertAlign w:val="superscript"/>
                      <w:lang w:val="en-US" w:eastAsia="zh-CN"/>
                    </w:rPr>
                    <w:t>-3</w:t>
                  </w:r>
                </w:p>
              </w:tc>
              <w:tc>
                <w:tcPr>
                  <w:tcW w:w="2631" w:type="dxa"/>
                  <w:tcBorders>
                    <w:tl2br w:val="nil"/>
                    <w:tr2bl w:val="nil"/>
                  </w:tcBorders>
                  <w:vAlign w:val="center"/>
                </w:tcPr>
                <w:p w14:paraId="21C9EEE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作为危废</w:t>
                  </w:r>
                </w:p>
              </w:tc>
            </w:tr>
            <w:tr w14:paraId="6A7038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5" w:hRule="atLeast"/>
                <w:jc w:val="center"/>
              </w:trPr>
              <w:tc>
                <w:tcPr>
                  <w:tcW w:w="492" w:type="dxa"/>
                  <w:tcBorders>
                    <w:tl2br w:val="nil"/>
                    <w:tr2bl w:val="nil"/>
                  </w:tcBorders>
                  <w:vAlign w:val="center"/>
                </w:tcPr>
                <w:p w14:paraId="7135A05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w:t>
                  </w:r>
                </w:p>
              </w:tc>
              <w:tc>
                <w:tcPr>
                  <w:tcW w:w="1922" w:type="dxa"/>
                  <w:tcBorders>
                    <w:tl2br w:val="nil"/>
                    <w:tr2bl w:val="nil"/>
                  </w:tcBorders>
                  <w:vAlign w:val="center"/>
                </w:tcPr>
                <w:p w14:paraId="1D4A0C8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空压系统冷凝水</w:t>
                  </w:r>
                </w:p>
              </w:tc>
              <w:tc>
                <w:tcPr>
                  <w:tcW w:w="1237" w:type="dxa"/>
                  <w:tcBorders>
                    <w:tl2br w:val="nil"/>
                    <w:tr2bl w:val="nil"/>
                  </w:tcBorders>
                  <w:vAlign w:val="center"/>
                </w:tcPr>
                <w:p w14:paraId="48D5E38B">
                  <w:pPr>
                    <w:pStyle w:val="37"/>
                    <w:keepNext w:val="0"/>
                    <w:keepLines w:val="0"/>
                    <w:pageBreakBefore w:val="0"/>
                    <w:widowControl w:val="0"/>
                    <w:kinsoku/>
                    <w:wordWrap/>
                    <w:overflowPunct w:val="0"/>
                    <w:topLinePunct w:val="0"/>
                    <w:autoSpaceDE/>
                    <w:autoSpaceDN/>
                    <w:bidi w:val="0"/>
                    <w:adjustRightInd w:val="0"/>
                    <w:snapToGrid w:val="0"/>
                    <w:spacing w:after="0"/>
                    <w:textAlignment w:val="baseline"/>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w:t>
                  </w:r>
                </w:p>
              </w:tc>
              <w:tc>
                <w:tcPr>
                  <w:tcW w:w="1238" w:type="dxa"/>
                  <w:tcBorders>
                    <w:tl2br w:val="nil"/>
                    <w:tr2bl w:val="nil"/>
                  </w:tcBorders>
                  <w:vAlign w:val="center"/>
                </w:tcPr>
                <w:p w14:paraId="1B03F5A4">
                  <w:pPr>
                    <w:pStyle w:val="37"/>
                    <w:keepNext w:val="0"/>
                    <w:keepLines w:val="0"/>
                    <w:pageBreakBefore w:val="0"/>
                    <w:widowControl w:val="0"/>
                    <w:kinsoku/>
                    <w:wordWrap/>
                    <w:overflowPunct w:val="0"/>
                    <w:topLinePunct w:val="0"/>
                    <w:autoSpaceDE/>
                    <w:autoSpaceDN/>
                    <w:bidi w:val="0"/>
                    <w:adjustRightInd w:val="0"/>
                    <w:snapToGrid w:val="0"/>
                    <w:spacing w:after="0"/>
                    <w:textAlignment w:val="baseline"/>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w:t>
                  </w:r>
                </w:p>
              </w:tc>
              <w:tc>
                <w:tcPr>
                  <w:tcW w:w="1134" w:type="dxa"/>
                  <w:tcBorders>
                    <w:tl2br w:val="nil"/>
                    <w:tr2bl w:val="nil"/>
                  </w:tcBorders>
                  <w:vAlign w:val="center"/>
                </w:tcPr>
                <w:p w14:paraId="33571C71">
                  <w:pPr>
                    <w:pStyle w:val="37"/>
                    <w:keepNext w:val="0"/>
                    <w:keepLines w:val="0"/>
                    <w:pageBreakBefore w:val="0"/>
                    <w:widowControl w:val="0"/>
                    <w:kinsoku/>
                    <w:wordWrap/>
                    <w:overflowPunct w:val="0"/>
                    <w:topLinePunct w:val="0"/>
                    <w:autoSpaceDE/>
                    <w:autoSpaceDN/>
                    <w:bidi w:val="0"/>
                    <w:adjustRightInd w:val="0"/>
                    <w:snapToGrid w:val="0"/>
                    <w:spacing w:after="0"/>
                    <w:textAlignment w:val="baseline"/>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0.2224</w:t>
                  </w:r>
                </w:p>
              </w:tc>
              <w:tc>
                <w:tcPr>
                  <w:tcW w:w="2631" w:type="dxa"/>
                  <w:tcBorders>
                    <w:tl2br w:val="nil"/>
                    <w:tr2bl w:val="nil"/>
                  </w:tcBorders>
                  <w:vAlign w:val="center"/>
                </w:tcPr>
                <w:p w14:paraId="1E12FB8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冷凝水主要由高温压缩后的空气中水分凝结而成。</w:t>
                  </w:r>
                </w:p>
              </w:tc>
            </w:tr>
            <w:tr w14:paraId="52978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1" w:hRule="atLeast"/>
                <w:jc w:val="center"/>
              </w:trPr>
              <w:tc>
                <w:tcPr>
                  <w:tcW w:w="492" w:type="dxa"/>
                  <w:tcBorders>
                    <w:tl2br w:val="nil"/>
                    <w:tr2bl w:val="nil"/>
                  </w:tcBorders>
                  <w:vAlign w:val="center"/>
                </w:tcPr>
                <w:p w14:paraId="3010F60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4</w:t>
                  </w:r>
                </w:p>
              </w:tc>
              <w:tc>
                <w:tcPr>
                  <w:tcW w:w="1922" w:type="dxa"/>
                  <w:tcBorders>
                    <w:tl2br w:val="nil"/>
                    <w:tr2bl w:val="nil"/>
                  </w:tcBorders>
                  <w:vAlign w:val="center"/>
                </w:tcPr>
                <w:p w14:paraId="0927369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生活用水</w:t>
                  </w:r>
                </w:p>
              </w:tc>
              <w:tc>
                <w:tcPr>
                  <w:tcW w:w="1237" w:type="dxa"/>
                  <w:tcBorders>
                    <w:tl2br w:val="nil"/>
                    <w:tr2bl w:val="nil"/>
                  </w:tcBorders>
                  <w:vAlign w:val="center"/>
                </w:tcPr>
                <w:p w14:paraId="7276632C">
                  <w:pPr>
                    <w:pStyle w:val="37"/>
                    <w:keepNext w:val="0"/>
                    <w:keepLines w:val="0"/>
                    <w:pageBreakBefore w:val="0"/>
                    <w:widowControl w:val="0"/>
                    <w:kinsoku/>
                    <w:wordWrap/>
                    <w:overflowPunct w:val="0"/>
                    <w:topLinePunct w:val="0"/>
                    <w:autoSpaceDE/>
                    <w:autoSpaceDN/>
                    <w:bidi w:val="0"/>
                    <w:adjustRightInd w:val="0"/>
                    <w:snapToGrid w:val="0"/>
                    <w:spacing w:after="0"/>
                    <w:ind w:left="0" w:leftChars="0" w:right="0" w:rightChars="0" w:firstLine="0" w:firstLineChars="0"/>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4.0</w:t>
                  </w:r>
                </w:p>
              </w:tc>
              <w:tc>
                <w:tcPr>
                  <w:tcW w:w="1238" w:type="dxa"/>
                  <w:tcBorders>
                    <w:tl2br w:val="nil"/>
                    <w:tr2bl w:val="nil"/>
                  </w:tcBorders>
                  <w:vAlign w:val="center"/>
                </w:tcPr>
                <w:p w14:paraId="072BC43F">
                  <w:pPr>
                    <w:pStyle w:val="37"/>
                    <w:keepNext w:val="0"/>
                    <w:keepLines w:val="0"/>
                    <w:pageBreakBefore w:val="0"/>
                    <w:widowControl w:val="0"/>
                    <w:kinsoku/>
                    <w:wordWrap/>
                    <w:overflowPunct w:val="0"/>
                    <w:topLinePunct w:val="0"/>
                    <w:autoSpaceDE/>
                    <w:autoSpaceDN/>
                    <w:bidi w:val="0"/>
                    <w:adjustRightInd w:val="0"/>
                    <w:snapToGrid w:val="0"/>
                    <w:spacing w:after="0"/>
                    <w:ind w:left="0" w:leftChars="0" w:right="0" w:rightChars="0" w:firstLine="0" w:firstLineChars="0"/>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0.6</w:t>
                  </w:r>
                </w:p>
              </w:tc>
              <w:tc>
                <w:tcPr>
                  <w:tcW w:w="1134" w:type="dxa"/>
                  <w:tcBorders>
                    <w:tl2br w:val="nil"/>
                    <w:tr2bl w:val="nil"/>
                  </w:tcBorders>
                  <w:vAlign w:val="center"/>
                </w:tcPr>
                <w:p w14:paraId="4AE25B93">
                  <w:pPr>
                    <w:pStyle w:val="37"/>
                    <w:keepNext w:val="0"/>
                    <w:keepLines w:val="0"/>
                    <w:pageBreakBefore w:val="0"/>
                    <w:widowControl w:val="0"/>
                    <w:kinsoku/>
                    <w:wordWrap/>
                    <w:overflowPunct w:val="0"/>
                    <w:topLinePunct w:val="0"/>
                    <w:autoSpaceDE/>
                    <w:autoSpaceDN/>
                    <w:bidi w:val="0"/>
                    <w:adjustRightInd w:val="0"/>
                    <w:snapToGrid w:val="0"/>
                    <w:spacing w:after="0"/>
                    <w:ind w:left="0" w:leftChars="0" w:right="0" w:rightChars="0" w:firstLine="0" w:firstLineChars="0"/>
                    <w:textAlignment w:val="baseline"/>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3.4</w:t>
                  </w:r>
                </w:p>
              </w:tc>
              <w:tc>
                <w:tcPr>
                  <w:tcW w:w="2631" w:type="dxa"/>
                  <w:tcBorders>
                    <w:tl2br w:val="nil"/>
                    <w:tr2bl w:val="nil"/>
                  </w:tcBorders>
                  <w:vAlign w:val="center"/>
                </w:tcPr>
                <w:p w14:paraId="16FEFCF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color w:val="auto"/>
                      <w:lang w:val="en-US" w:eastAsia="zh-CN"/>
                    </w:rPr>
                    <w:t>进入化粪池处理。</w:t>
                  </w:r>
                </w:p>
              </w:tc>
            </w:tr>
            <w:tr w14:paraId="65286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2414" w:type="dxa"/>
                  <w:gridSpan w:val="2"/>
                  <w:tcBorders>
                    <w:tl2br w:val="nil"/>
                    <w:tr2bl w:val="nil"/>
                  </w:tcBorders>
                  <w:vAlign w:val="center"/>
                </w:tcPr>
                <w:p w14:paraId="1203819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eastAsia="zh-CN"/>
                    </w:rPr>
                    <w:t>合计</w:t>
                  </w:r>
                </w:p>
              </w:tc>
              <w:tc>
                <w:tcPr>
                  <w:tcW w:w="1237" w:type="dxa"/>
                  <w:tcBorders>
                    <w:tl2br w:val="nil"/>
                    <w:tr2bl w:val="nil"/>
                  </w:tcBorders>
                  <w:vAlign w:val="center"/>
                </w:tcPr>
                <w:p w14:paraId="30E015C2">
                  <w:pPr>
                    <w:pStyle w:val="37"/>
                    <w:keepNext w:val="0"/>
                    <w:keepLines w:val="0"/>
                    <w:pageBreakBefore w:val="0"/>
                    <w:widowControl w:val="0"/>
                    <w:kinsoku/>
                    <w:wordWrap/>
                    <w:overflowPunct w:val="0"/>
                    <w:topLinePunct w:val="0"/>
                    <w:autoSpaceDE w:val="0"/>
                    <w:autoSpaceDN w:val="0"/>
                    <w:bidi w:val="0"/>
                    <w:adjustRightInd w:val="0"/>
                    <w:snapToGrid w:val="0"/>
                    <w:spacing w:after="0"/>
                    <w:textAlignment w:val="baseline"/>
                    <w:rPr>
                      <w:rFonts w:hint="default"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4.0495</w:t>
                  </w:r>
                </w:p>
              </w:tc>
              <w:tc>
                <w:tcPr>
                  <w:tcW w:w="1238" w:type="dxa"/>
                  <w:tcBorders>
                    <w:tl2br w:val="nil"/>
                    <w:tr2bl w:val="nil"/>
                  </w:tcBorders>
                  <w:vAlign w:val="center"/>
                </w:tcPr>
                <w:p w14:paraId="5C107007">
                  <w:pPr>
                    <w:pStyle w:val="37"/>
                    <w:keepNext w:val="0"/>
                    <w:keepLines w:val="0"/>
                    <w:pageBreakBefore w:val="0"/>
                    <w:widowControl w:val="0"/>
                    <w:kinsoku/>
                    <w:wordWrap/>
                    <w:overflowPunct w:val="0"/>
                    <w:topLinePunct w:val="0"/>
                    <w:autoSpaceDE w:val="0"/>
                    <w:autoSpaceDN w:val="0"/>
                    <w:bidi w:val="0"/>
                    <w:adjustRightInd w:val="0"/>
                    <w:snapToGrid w:val="0"/>
                    <w:spacing w:after="0"/>
                    <w:textAlignment w:val="baseline"/>
                    <w:rPr>
                      <w:rFonts w:hint="default"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0.646</w:t>
                  </w:r>
                </w:p>
              </w:tc>
              <w:tc>
                <w:tcPr>
                  <w:tcW w:w="1134" w:type="dxa"/>
                  <w:tcBorders>
                    <w:tl2br w:val="nil"/>
                    <w:tr2bl w:val="nil"/>
                  </w:tcBorders>
                  <w:vAlign w:val="center"/>
                </w:tcPr>
                <w:p w14:paraId="0A877D49">
                  <w:pPr>
                    <w:pStyle w:val="37"/>
                    <w:keepNext w:val="0"/>
                    <w:keepLines w:val="0"/>
                    <w:pageBreakBefore w:val="0"/>
                    <w:widowControl w:val="0"/>
                    <w:kinsoku/>
                    <w:wordWrap/>
                    <w:overflowPunct w:val="0"/>
                    <w:topLinePunct w:val="0"/>
                    <w:autoSpaceDE w:val="0"/>
                    <w:autoSpaceDN w:val="0"/>
                    <w:bidi w:val="0"/>
                    <w:adjustRightInd w:val="0"/>
                    <w:snapToGrid w:val="0"/>
                    <w:spacing w:after="0"/>
                    <w:textAlignment w:val="baseline"/>
                    <w:rPr>
                      <w:rFonts w:hint="default" w:ascii="Times New Roman" w:hAnsi="Times New Roman" w:eastAsia="仿宋_GB2312" w:cs="Times New Roman"/>
                      <w:color w:val="auto"/>
                      <w:lang w:val="en-US" w:eastAsia="zh-CN"/>
                    </w:rPr>
                  </w:pPr>
                  <w:r>
                    <w:rPr>
                      <w:rFonts w:hint="eastAsia" w:ascii="Times New Roman" w:hAnsi="Times New Roman" w:eastAsia="仿宋_GB2312" w:cs="Times New Roman"/>
                      <w:color w:val="auto"/>
                      <w:lang w:val="en-US" w:eastAsia="zh-CN"/>
                    </w:rPr>
                    <w:t>3.6259</w:t>
                  </w:r>
                </w:p>
              </w:tc>
              <w:tc>
                <w:tcPr>
                  <w:tcW w:w="2631" w:type="dxa"/>
                  <w:tcBorders>
                    <w:tl2br w:val="nil"/>
                    <w:tr2bl w:val="nil"/>
                  </w:tcBorders>
                  <w:vAlign w:val="center"/>
                </w:tcPr>
                <w:p w14:paraId="3996A5F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r>
          </w:tbl>
          <w:p w14:paraId="1D6F787D">
            <w:pPr>
              <w:bidi w:val="0"/>
              <w:rPr>
                <w:rFonts w:hint="default" w:ascii="Times New Roman" w:hAnsi="Times New Roman" w:cs="Times New Roman"/>
                <w:color w:val="auto"/>
              </w:rPr>
            </w:pPr>
            <w:r>
              <w:rPr>
                <w:rFonts w:hint="default" w:ascii="Times New Roman" w:hAnsi="Times New Roman" w:cs="Times New Roman"/>
                <w:color w:val="auto"/>
                <w:lang w:val="en-US" w:eastAsia="zh-CN"/>
              </w:rPr>
              <w:t>综上，本项目新鲜水用量为4.0</w:t>
            </w:r>
            <w:r>
              <w:rPr>
                <w:rFonts w:hint="eastAsia" w:cs="Times New Roman"/>
                <w:color w:val="auto"/>
                <w:lang w:val="en-US" w:eastAsia="zh-CN"/>
              </w:rPr>
              <w:t>495</w:t>
            </w:r>
            <w:r>
              <w:rPr>
                <w:rFonts w:hint="default" w:ascii="Times New Roman" w:hAnsi="Times New Roman" w:cs="Times New Roman"/>
                <w:color w:val="auto"/>
                <w:lang w:val="en-US" w:eastAsia="zh-CN"/>
              </w:rPr>
              <w:t>t/d（133</w:t>
            </w:r>
            <w:r>
              <w:rPr>
                <w:rFonts w:hint="eastAsia" w:cs="Times New Roman"/>
                <w:color w:val="auto"/>
                <w:lang w:val="en-US" w:eastAsia="zh-CN"/>
              </w:rPr>
              <w:t>6</w:t>
            </w:r>
            <w:r>
              <w:rPr>
                <w:rFonts w:hint="default" w:ascii="Times New Roman" w:hAnsi="Times New Roman" w:cs="Times New Roman"/>
                <w:color w:val="auto"/>
                <w:lang w:val="en-US" w:eastAsia="zh-CN"/>
              </w:rPr>
              <w:t>.</w:t>
            </w:r>
            <w:r>
              <w:rPr>
                <w:rFonts w:hint="eastAsia" w:cs="Times New Roman"/>
                <w:color w:val="auto"/>
                <w:lang w:val="en-US" w:eastAsia="zh-CN"/>
              </w:rPr>
              <w:t>33</w:t>
            </w:r>
            <w:r>
              <w:rPr>
                <w:rFonts w:hint="default" w:ascii="Times New Roman" w:hAnsi="Times New Roman" w:cs="Times New Roman"/>
                <w:color w:val="auto"/>
                <w:lang w:val="en-US" w:eastAsia="zh-CN"/>
              </w:rPr>
              <w:t>t/a）</w:t>
            </w:r>
            <w:r>
              <w:rPr>
                <w:rFonts w:hint="default" w:ascii="Times New Roman" w:hAnsi="Times New Roman" w:cs="Times New Roman"/>
                <w:color w:val="auto"/>
                <w:sz w:val="24"/>
                <w:szCs w:val="24"/>
                <w:lang w:val="en-US" w:eastAsia="zh-CN"/>
              </w:rPr>
              <w:t>。</w:t>
            </w:r>
          </w:p>
          <w:p w14:paraId="42CD6436">
            <w:pPr>
              <w:ind w:firstLine="420"/>
              <w:rPr>
                <w:rFonts w:hint="default" w:ascii="Times New Roman" w:hAnsi="Times New Roman" w:cs="Times New Roman"/>
                <w:color w:val="auto"/>
                <w:szCs w:val="21"/>
              </w:rPr>
            </w:pPr>
            <w:r>
              <w:rPr>
                <w:rFonts w:hint="default" w:ascii="Times New Roman" w:hAnsi="Times New Roman" w:cs="Times New Roman"/>
                <w:color w:val="auto"/>
                <w:szCs w:val="21"/>
                <w:lang w:eastAsia="zh-CN"/>
              </w:rPr>
              <w:t>全厂</w:t>
            </w:r>
            <w:r>
              <w:rPr>
                <w:rFonts w:hint="default" w:ascii="Times New Roman" w:hAnsi="Times New Roman" w:cs="Times New Roman"/>
                <w:color w:val="auto"/>
                <w:szCs w:val="21"/>
              </w:rPr>
              <w:t>水平衡图见下图：</w:t>
            </w:r>
          </w:p>
          <w:p w14:paraId="5C8A4C0C">
            <w:pPr>
              <w:spacing w:line="240" w:lineRule="auto"/>
              <w:ind w:firstLine="0" w:firstLineChars="0"/>
              <w:jc w:val="center"/>
              <w:rPr>
                <w:rFonts w:hint="default" w:ascii="Times New Roman" w:hAnsi="Times New Roman" w:cs="Times New Roman"/>
                <w:color w:val="auto"/>
                <w:szCs w:val="21"/>
              </w:rPr>
            </w:pPr>
            <w:r>
              <w:rPr>
                <w:rFonts w:hint="default" w:ascii="Times New Roman" w:hAnsi="Times New Roman" w:cs="Times New Roman"/>
                <w:color w:val="auto"/>
                <w:lang w:eastAsia="zh-CN"/>
              </w:rPr>
              <w:object>
                <v:shape id="_x0000_i1025" o:spt="75" type="#_x0000_t75" style="height:222.2pt;width:426.5pt;" o:ole="t" filled="f" o:preferrelative="t" stroked="f" coordsize="21600,21600">
                  <v:path/>
                  <v:fill on="f" focussize="0,0"/>
                  <v:stroke on="f"/>
                  <v:imagedata r:id="rId20" o:title=""/>
                  <o:lock v:ext="edit" aspectratio="f"/>
                  <w10:wrap type="none"/>
                  <w10:anchorlock/>
                </v:shape>
                <o:OLEObject Type="Embed" ProgID="Visio.Drawing.11" ShapeID="_x0000_i1025" DrawAspect="Content" ObjectID="_1468075725" r:id="rId19">
                  <o:LockedField>false</o:LockedField>
                </o:OLEObject>
              </w:object>
            </w:r>
          </w:p>
          <w:p w14:paraId="5C994804">
            <w:pPr>
              <w:pStyle w:val="38"/>
              <w:bidi w:val="0"/>
              <w:rPr>
                <w:rFonts w:hint="default" w:ascii="Times New Roman" w:hAnsi="Times New Roman" w:cs="Times New Roman"/>
                <w:color w:val="auto"/>
                <w:szCs w:val="21"/>
                <w:lang w:val="en-US" w:eastAsia="zh-CN"/>
              </w:rPr>
            </w:pPr>
            <w:r>
              <w:rPr>
                <w:rFonts w:hint="default" w:ascii="Times New Roman" w:hAnsi="Times New Roman" w:cs="Times New Roman"/>
                <w:bCs/>
                <w:color w:val="auto"/>
                <w:szCs w:val="21"/>
              </w:rPr>
              <w:t>图2-</w:t>
            </w:r>
            <w:r>
              <w:rPr>
                <w:rFonts w:hint="default" w:ascii="Times New Roman" w:hAnsi="Times New Roman" w:cs="Times New Roman"/>
                <w:bCs/>
                <w:color w:val="auto"/>
                <w:szCs w:val="21"/>
                <w:lang w:val="en-US" w:eastAsia="zh-CN"/>
              </w:rPr>
              <w:t>1</w:t>
            </w:r>
            <w:r>
              <w:rPr>
                <w:rFonts w:hint="default" w:ascii="Times New Roman" w:hAnsi="Times New Roman" w:cs="Times New Roman"/>
                <w:bCs/>
                <w:color w:val="auto"/>
                <w:szCs w:val="21"/>
              </w:rPr>
              <w:t xml:space="preserve">  </w:t>
            </w:r>
            <w:r>
              <w:rPr>
                <w:rFonts w:hint="default" w:ascii="Times New Roman" w:hAnsi="Times New Roman" w:cs="Times New Roman"/>
                <w:bCs/>
                <w:color w:val="auto"/>
                <w:szCs w:val="21"/>
                <w:lang w:eastAsia="zh-CN"/>
              </w:rPr>
              <w:t>全厂</w:t>
            </w:r>
            <w:r>
              <w:rPr>
                <w:rFonts w:hint="default" w:ascii="Times New Roman" w:hAnsi="Times New Roman" w:cs="Times New Roman"/>
                <w:bCs/>
                <w:color w:val="auto"/>
                <w:szCs w:val="21"/>
              </w:rPr>
              <w:t>水平衡图（m</w:t>
            </w:r>
            <w:r>
              <w:rPr>
                <w:rFonts w:hint="default" w:ascii="Times New Roman" w:hAnsi="Times New Roman" w:cs="Times New Roman"/>
                <w:bCs/>
                <w:color w:val="auto"/>
                <w:szCs w:val="21"/>
                <w:vertAlign w:val="superscript"/>
              </w:rPr>
              <w:t>3</w:t>
            </w:r>
            <w:r>
              <w:rPr>
                <w:rFonts w:hint="default" w:ascii="Times New Roman" w:hAnsi="Times New Roman" w:cs="Times New Roman"/>
                <w:bCs/>
                <w:color w:val="auto"/>
                <w:szCs w:val="21"/>
              </w:rPr>
              <w:t>/d）</w:t>
            </w:r>
          </w:p>
          <w:p w14:paraId="4E6E559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eastAsia="宋体" w:cs="Times New Roman"/>
                <w:b/>
                <w:bCs/>
                <w:color w:val="auto"/>
                <w:kern w:val="0"/>
                <w:sz w:val="24"/>
                <w:szCs w:val="16"/>
                <w:lang w:val="en-US" w:eastAsia="zh-CN" w:bidi="ar-SA"/>
              </w:rPr>
            </w:pPr>
            <w:r>
              <w:rPr>
                <w:rFonts w:hint="default" w:ascii="Times New Roman" w:hAnsi="Times New Roman" w:eastAsia="宋体" w:cs="Times New Roman"/>
                <w:b/>
                <w:bCs/>
                <w:color w:val="auto"/>
                <w:kern w:val="0"/>
                <w:sz w:val="24"/>
                <w:szCs w:val="16"/>
                <w:lang w:val="en-US" w:eastAsia="zh-CN" w:bidi="ar-SA"/>
              </w:rPr>
              <w:t>2.8 物料平衡</w:t>
            </w:r>
          </w:p>
          <w:p w14:paraId="5CE62E83">
            <w:pPr>
              <w:ind w:firstLine="420"/>
              <w:textAlignment w:val="baseline"/>
              <w:rPr>
                <w:rFonts w:hint="default" w:ascii="Times New Roman" w:hAnsi="Times New Roman" w:cs="Times New Roman"/>
                <w:color w:val="auto"/>
                <w:szCs w:val="21"/>
                <w:lang w:val="en-US" w:eastAsia="zh-CN"/>
              </w:rPr>
            </w:pPr>
            <w:r>
              <w:rPr>
                <w:rFonts w:hint="default" w:ascii="Times New Roman" w:hAnsi="Times New Roman" w:cs="Times New Roman"/>
                <w:bCs/>
                <w:color w:val="auto"/>
                <w:szCs w:val="21"/>
              </w:rPr>
              <w:t>本评价</w:t>
            </w:r>
            <w:r>
              <w:rPr>
                <w:rFonts w:hint="default" w:ascii="Times New Roman" w:hAnsi="Times New Roman" w:cs="Times New Roman"/>
                <w:bCs/>
                <w:color w:val="auto"/>
                <w:szCs w:val="21"/>
                <w:lang w:eastAsia="zh-CN"/>
              </w:rPr>
              <w:t>水性丙烯酸面漆</w:t>
            </w:r>
            <w:r>
              <w:rPr>
                <w:rFonts w:hint="default" w:ascii="Times New Roman" w:hAnsi="Times New Roman" w:cs="Times New Roman"/>
                <w:bCs/>
                <w:color w:val="auto"/>
                <w:szCs w:val="21"/>
              </w:rPr>
              <w:t>MSDS成分信息为区间范围</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lang w:val="en-US" w:eastAsia="zh-CN"/>
              </w:rPr>
              <w:t>其中水性树脂（含量65-75%）、醇酯十二（含量3~4%）、色粉（含量8~10%）、防锈填料（含量2~5%）、水（含量6~10%）、水性助剂（含量3~5%）。</w:t>
            </w:r>
            <w:r>
              <w:rPr>
                <w:rFonts w:hint="default" w:ascii="Times New Roman" w:hAnsi="Times New Roman" w:cs="Times New Roman"/>
                <w:bCs/>
                <w:color w:val="auto"/>
                <w:szCs w:val="21"/>
                <w:lang w:eastAsia="zh-CN"/>
              </w:rPr>
              <w:t>根据水性丙烯酸面漆</w:t>
            </w:r>
            <w:r>
              <w:rPr>
                <w:rFonts w:hint="default" w:ascii="Times New Roman" w:hAnsi="Times New Roman" w:cs="Times New Roman"/>
                <w:bCs/>
                <w:color w:val="auto"/>
                <w:szCs w:val="21"/>
                <w:lang w:val="en-US" w:eastAsia="zh-CN"/>
              </w:rPr>
              <w:t>VOC检测报告，</w:t>
            </w:r>
            <w:r>
              <w:rPr>
                <w:rFonts w:hint="default" w:ascii="Times New Roman" w:hAnsi="Times New Roman" w:cs="Times New Roman"/>
                <w:bCs/>
                <w:color w:val="auto"/>
                <w:szCs w:val="21"/>
              </w:rPr>
              <w:t>挥发性有机物</w:t>
            </w:r>
            <w:r>
              <w:rPr>
                <w:rFonts w:hint="default" w:ascii="Times New Roman" w:hAnsi="Times New Roman" w:cs="Times New Roman"/>
                <w:bCs/>
                <w:color w:val="auto"/>
                <w:szCs w:val="21"/>
                <w:lang w:eastAsia="zh-CN"/>
              </w:rPr>
              <w:t>含量为</w:t>
            </w:r>
            <w:r>
              <w:rPr>
                <w:rFonts w:hint="default" w:ascii="Times New Roman" w:hAnsi="Times New Roman" w:cs="Times New Roman"/>
                <w:bCs/>
                <w:color w:val="auto"/>
                <w:szCs w:val="21"/>
                <w:lang w:val="en-US" w:eastAsia="zh-CN"/>
              </w:rPr>
              <w:t>31g/L，结合</w:t>
            </w:r>
            <w:r>
              <w:rPr>
                <w:rFonts w:hint="default" w:ascii="Times New Roman" w:hAnsi="Times New Roman" w:cs="Times New Roman"/>
                <w:bCs/>
                <w:color w:val="auto"/>
                <w:szCs w:val="21"/>
                <w:lang w:eastAsia="zh-CN"/>
              </w:rPr>
              <w:t>水性丙烯酸面漆的</w:t>
            </w:r>
            <w:r>
              <w:rPr>
                <w:rFonts w:hint="default" w:ascii="Times New Roman" w:hAnsi="Times New Roman" w:cs="Times New Roman"/>
                <w:color w:val="auto"/>
                <w:szCs w:val="21"/>
              </w:rPr>
              <w:t>相对密度</w:t>
            </w:r>
            <w:r>
              <w:rPr>
                <w:rFonts w:hint="default" w:ascii="Times New Roman" w:hAnsi="Times New Roman" w:cs="Times New Roman"/>
                <w:color w:val="auto"/>
                <w:szCs w:val="21"/>
                <w:lang w:eastAsia="zh-CN"/>
              </w:rPr>
              <w:t>为</w:t>
            </w:r>
            <w:r>
              <w:rPr>
                <w:rFonts w:hint="default" w:ascii="Times New Roman" w:hAnsi="Times New Roman" w:cs="Times New Roman"/>
                <w:color w:val="auto"/>
                <w:szCs w:val="21"/>
                <w:lang w:val="en-US" w:eastAsia="zh-CN"/>
              </w:rPr>
              <w:t>1.02~1.05</w:t>
            </w:r>
            <w:r>
              <w:rPr>
                <w:rFonts w:hint="default" w:ascii="Times New Roman" w:hAnsi="Times New Roman" w:cs="Times New Roman"/>
                <w:color w:val="auto"/>
                <w:szCs w:val="21"/>
              </w:rPr>
              <w:t>g/cm</w:t>
            </w:r>
            <w:r>
              <w:rPr>
                <w:rFonts w:hint="default" w:ascii="Times New Roman" w:hAnsi="Times New Roman" w:cs="Times New Roman"/>
                <w:color w:val="auto"/>
                <w:szCs w:val="21"/>
                <w:vertAlign w:val="superscript"/>
              </w:rPr>
              <w:t>3</w:t>
            </w:r>
            <w:r>
              <w:rPr>
                <w:rFonts w:hint="default" w:ascii="Times New Roman" w:hAnsi="Times New Roman" w:cs="Times New Roman"/>
                <w:bCs/>
                <w:color w:val="auto"/>
                <w:szCs w:val="21"/>
                <w:lang w:eastAsia="zh-CN"/>
              </w:rPr>
              <w:t>，</w:t>
            </w:r>
            <w:r>
              <w:rPr>
                <w:rFonts w:hint="default" w:ascii="Times New Roman" w:hAnsi="Times New Roman" w:cs="Times New Roman"/>
                <w:color w:val="auto"/>
                <w:szCs w:val="21"/>
                <w:lang w:eastAsia="zh-CN"/>
              </w:rPr>
              <w:t>则挥发分占比为</w:t>
            </w:r>
            <w:r>
              <w:rPr>
                <w:rFonts w:hint="default" w:ascii="Times New Roman" w:hAnsi="Times New Roman" w:cs="Times New Roman"/>
                <w:color w:val="auto"/>
                <w:szCs w:val="21"/>
                <w:lang w:val="en-US" w:eastAsia="zh-CN"/>
              </w:rPr>
              <w:t>2.95~3.04%</w:t>
            </w:r>
            <w:r>
              <w:rPr>
                <w:rFonts w:hint="default" w:ascii="Times New Roman" w:hAnsi="Times New Roman" w:cs="Times New Roman"/>
                <w:bCs/>
                <w:color w:val="auto"/>
                <w:szCs w:val="21"/>
              </w:rPr>
              <w:t>。</w:t>
            </w:r>
            <w:r>
              <w:rPr>
                <w:rFonts w:hint="default" w:ascii="Times New Roman" w:hAnsi="Times New Roman" w:cs="Times New Roman"/>
                <w:bCs/>
                <w:color w:val="auto"/>
                <w:szCs w:val="21"/>
                <w:lang w:val="en-US" w:eastAsia="zh-CN"/>
              </w:rPr>
              <w:t>本报告按最</w:t>
            </w:r>
            <w:r>
              <w:rPr>
                <w:rFonts w:hint="eastAsia" w:cs="Times New Roman"/>
                <w:bCs/>
                <w:color w:val="auto"/>
                <w:szCs w:val="21"/>
                <w:lang w:val="en-US" w:eastAsia="zh-CN"/>
              </w:rPr>
              <w:t>考虑，</w:t>
            </w:r>
            <w:r>
              <w:rPr>
                <w:rFonts w:hint="default" w:ascii="Times New Roman" w:hAnsi="Times New Roman" w:cs="Times New Roman"/>
                <w:bCs/>
                <w:color w:val="auto"/>
                <w:szCs w:val="21"/>
                <w:lang w:val="en-US" w:eastAsia="zh-CN"/>
              </w:rPr>
              <w:t>密度</w:t>
            </w:r>
            <w:r>
              <w:rPr>
                <w:rFonts w:hint="eastAsia" w:cs="Times New Roman"/>
                <w:bCs/>
                <w:color w:val="auto"/>
                <w:szCs w:val="21"/>
                <w:lang w:val="en-US" w:eastAsia="zh-CN"/>
              </w:rPr>
              <w:t>取</w:t>
            </w:r>
            <w:r>
              <w:rPr>
                <w:rFonts w:hint="default" w:ascii="Times New Roman" w:hAnsi="Times New Roman" w:cs="Times New Roman"/>
                <w:color w:val="auto"/>
                <w:szCs w:val="21"/>
                <w:lang w:val="en-US" w:eastAsia="zh-CN"/>
              </w:rPr>
              <w:t>1.02</w:t>
            </w:r>
            <w:r>
              <w:rPr>
                <w:rFonts w:hint="default" w:ascii="Times New Roman" w:hAnsi="Times New Roman" w:cs="Times New Roman"/>
                <w:color w:val="auto"/>
                <w:szCs w:val="21"/>
              </w:rPr>
              <w:t>g/cm</w:t>
            </w:r>
            <w:r>
              <w:rPr>
                <w:rFonts w:hint="default" w:ascii="Times New Roman" w:hAnsi="Times New Roman" w:cs="Times New Roman"/>
                <w:color w:val="auto"/>
                <w:szCs w:val="21"/>
                <w:vertAlign w:val="superscript"/>
              </w:rPr>
              <w:t>3</w:t>
            </w:r>
            <w:r>
              <w:rPr>
                <w:rFonts w:hint="default" w:ascii="Times New Roman" w:hAnsi="Times New Roman" w:cs="Times New Roman"/>
                <w:color w:val="auto"/>
                <w:szCs w:val="21"/>
                <w:vertAlign w:val="baseline"/>
                <w:lang w:eastAsia="zh-CN"/>
              </w:rPr>
              <w:t>，</w:t>
            </w:r>
            <w:r>
              <w:rPr>
                <w:rFonts w:hint="default" w:ascii="Times New Roman" w:hAnsi="Times New Roman" w:cs="Times New Roman"/>
                <w:color w:val="auto"/>
                <w:szCs w:val="21"/>
                <w:lang w:eastAsia="zh-CN"/>
              </w:rPr>
              <w:t>挥发分占比</w:t>
            </w:r>
            <w:r>
              <w:rPr>
                <w:rFonts w:hint="default" w:ascii="Times New Roman" w:hAnsi="Times New Roman" w:cs="Times New Roman"/>
                <w:color w:val="auto"/>
                <w:szCs w:val="21"/>
                <w:lang w:val="en-US" w:eastAsia="zh-CN"/>
              </w:rPr>
              <w:t>3.04%计；根据</w:t>
            </w:r>
            <w:r>
              <w:rPr>
                <w:rFonts w:hint="default" w:ascii="Times New Roman" w:hAnsi="Times New Roman" w:cs="Times New Roman"/>
                <w:bCs/>
                <w:color w:val="auto"/>
                <w:szCs w:val="21"/>
                <w:lang w:eastAsia="zh-CN"/>
              </w:rPr>
              <w:t>水性丙烯酸面漆</w:t>
            </w:r>
            <w:r>
              <w:rPr>
                <w:rFonts w:hint="default" w:ascii="Times New Roman" w:hAnsi="Times New Roman" w:cs="Times New Roman"/>
                <w:bCs/>
                <w:color w:val="auto"/>
                <w:szCs w:val="21"/>
                <w:lang w:val="en-US" w:eastAsia="zh-CN"/>
              </w:rPr>
              <w:t>MSDS水含量在6~10%，本报告折中取值为8%，则余下为固体份，占比88.96%</w:t>
            </w:r>
            <w:r>
              <w:rPr>
                <w:rFonts w:hint="eastAsia" w:cs="Times New Roman"/>
                <w:bCs/>
                <w:color w:val="auto"/>
                <w:szCs w:val="21"/>
                <w:lang w:val="en-US" w:eastAsia="zh-CN"/>
              </w:rPr>
              <w:t>。</w:t>
            </w:r>
          </w:p>
          <w:p w14:paraId="56EC97AC">
            <w:pPr>
              <w:ind w:firstLine="420"/>
              <w:textAlignment w:val="baseline"/>
              <w:rPr>
                <w:rFonts w:hint="default" w:ascii="Times New Roman" w:hAnsi="Times New Roman" w:cs="Times New Roman"/>
                <w:bCs/>
                <w:color w:val="auto"/>
                <w:szCs w:val="21"/>
              </w:rPr>
            </w:pPr>
            <w:r>
              <w:rPr>
                <w:rFonts w:hint="default" w:ascii="Times New Roman" w:hAnsi="Times New Roman" w:cs="Times New Roman"/>
                <w:color w:val="auto"/>
                <w:szCs w:val="21"/>
                <w:lang w:val="en-US" w:eastAsia="zh-CN"/>
              </w:rPr>
              <w:t>面漆各成分</w:t>
            </w:r>
            <w:r>
              <w:rPr>
                <w:rFonts w:hint="default" w:ascii="Times New Roman" w:hAnsi="Times New Roman" w:cs="Times New Roman"/>
                <w:color w:val="auto"/>
                <w:szCs w:val="21"/>
              </w:rPr>
              <w:t>具体见下表。</w:t>
            </w:r>
          </w:p>
          <w:p w14:paraId="06CC8E9B">
            <w:pPr>
              <w:pStyle w:val="38"/>
              <w:bidi w:val="0"/>
              <w:rPr>
                <w:rFonts w:hint="default" w:ascii="Times New Roman" w:hAnsi="Times New Roman" w:eastAsia="宋体" w:cs="Times New Roman"/>
                <w:color w:val="auto"/>
                <w:lang w:val="en-US" w:eastAsia="zh-CN"/>
              </w:rPr>
            </w:pPr>
            <w:r>
              <w:rPr>
                <w:rFonts w:hint="default" w:ascii="Times New Roman" w:hAnsi="Times New Roman" w:cs="Times New Roman"/>
                <w:color w:val="auto"/>
              </w:rPr>
              <w:t>表2-</w:t>
            </w:r>
            <w:r>
              <w:rPr>
                <w:rFonts w:hint="default" w:ascii="Times New Roman" w:hAnsi="Times New Roman" w:cs="Times New Roman"/>
                <w:color w:val="auto"/>
                <w:lang w:val="en-US" w:eastAsia="zh-CN"/>
              </w:rPr>
              <w:t>10</w:t>
            </w:r>
            <w:r>
              <w:rPr>
                <w:rFonts w:hint="default" w:ascii="Times New Roman" w:hAnsi="Times New Roman" w:cs="Times New Roman"/>
                <w:color w:val="auto"/>
              </w:rPr>
              <w:t xml:space="preserve">  </w:t>
            </w:r>
            <w:r>
              <w:rPr>
                <w:rFonts w:hint="default" w:ascii="Times New Roman" w:hAnsi="Times New Roman" w:cs="Times New Roman"/>
                <w:color w:val="auto"/>
                <w:lang w:eastAsia="zh-CN"/>
              </w:rPr>
              <w:t>水性丙烯酸面漆</w:t>
            </w:r>
            <w:r>
              <w:rPr>
                <w:rFonts w:hint="default" w:ascii="Times New Roman" w:hAnsi="Times New Roman" w:cs="Times New Roman"/>
                <w:color w:val="auto"/>
                <w:lang w:val="en-US" w:eastAsia="zh-CN"/>
              </w:rPr>
              <w:t>各成分占比</w:t>
            </w:r>
          </w:p>
          <w:tbl>
            <w:tblPr>
              <w:tblStyle w:val="31"/>
              <w:tblW w:w="863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26"/>
              <w:gridCol w:w="3000"/>
              <w:gridCol w:w="1294"/>
              <w:gridCol w:w="2318"/>
            </w:tblGrid>
            <w:tr w14:paraId="63F14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7" w:hRule="atLeast"/>
                <w:jc w:val="center"/>
              </w:trPr>
              <w:tc>
                <w:tcPr>
                  <w:tcW w:w="2026" w:type="dxa"/>
                  <w:tcBorders>
                    <w:tl2br w:val="nil"/>
                    <w:tr2bl w:val="nil"/>
                  </w:tcBorders>
                  <w:vAlign w:val="center"/>
                </w:tcPr>
                <w:p w14:paraId="4B457AF2">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成分</w:t>
                  </w:r>
                </w:p>
              </w:tc>
              <w:tc>
                <w:tcPr>
                  <w:tcW w:w="3000" w:type="dxa"/>
                  <w:tcBorders>
                    <w:tl2br w:val="nil"/>
                    <w:tr2bl w:val="nil"/>
                  </w:tcBorders>
                  <w:vAlign w:val="center"/>
                </w:tcPr>
                <w:p w14:paraId="02AE8B7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bCs/>
                      <w:color w:val="auto"/>
                      <w:szCs w:val="21"/>
                      <w:lang w:eastAsia="zh-CN"/>
                    </w:rPr>
                  </w:pPr>
                  <w:r>
                    <w:rPr>
                      <w:rFonts w:hint="default" w:ascii="Times New Roman" w:hAnsi="Times New Roman" w:cs="Times New Roman"/>
                      <w:b/>
                      <w:bCs/>
                      <w:color w:val="auto"/>
                      <w:szCs w:val="21"/>
                      <w:lang w:val="en-US" w:eastAsia="zh-CN"/>
                    </w:rPr>
                    <w:t>含量</w:t>
                  </w:r>
                </w:p>
              </w:tc>
              <w:tc>
                <w:tcPr>
                  <w:tcW w:w="1294" w:type="dxa"/>
                  <w:tcBorders>
                    <w:tl2br w:val="nil"/>
                    <w:tr2bl w:val="nil"/>
                  </w:tcBorders>
                  <w:vAlign w:val="center"/>
                </w:tcPr>
                <w:p w14:paraId="27A9B87E">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密度</w:t>
                  </w:r>
                </w:p>
              </w:tc>
              <w:tc>
                <w:tcPr>
                  <w:tcW w:w="2318" w:type="dxa"/>
                  <w:tcBorders>
                    <w:tl2br w:val="nil"/>
                    <w:tr2bl w:val="nil"/>
                  </w:tcBorders>
                  <w:vAlign w:val="center"/>
                </w:tcPr>
                <w:p w14:paraId="35178FB8">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VOCs含量</w:t>
                  </w:r>
                </w:p>
              </w:tc>
            </w:tr>
            <w:tr w14:paraId="6D001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026" w:type="dxa"/>
                  <w:tcBorders>
                    <w:tl2br w:val="nil"/>
                    <w:tr2bl w:val="nil"/>
                  </w:tcBorders>
                  <w:vAlign w:val="center"/>
                </w:tcPr>
                <w:p w14:paraId="6934E42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rPr>
                    <w:t>固体份</w:t>
                  </w:r>
                </w:p>
              </w:tc>
              <w:tc>
                <w:tcPr>
                  <w:tcW w:w="3000" w:type="dxa"/>
                  <w:tcBorders>
                    <w:tl2br w:val="nil"/>
                    <w:tr2bl w:val="nil"/>
                  </w:tcBorders>
                  <w:vAlign w:val="center"/>
                </w:tcPr>
                <w:p w14:paraId="2D52408C">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88.96%</w:t>
                  </w:r>
                </w:p>
              </w:tc>
              <w:tc>
                <w:tcPr>
                  <w:tcW w:w="1294" w:type="dxa"/>
                  <w:vMerge w:val="restart"/>
                  <w:tcBorders>
                    <w:tl2br w:val="nil"/>
                    <w:tr2bl w:val="nil"/>
                  </w:tcBorders>
                  <w:vAlign w:val="center"/>
                </w:tcPr>
                <w:p w14:paraId="2B4BFBFF">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val="en-US" w:eastAsia="zh-CN"/>
                    </w:rPr>
                    <w:t>1.02</w:t>
                  </w:r>
                  <w:r>
                    <w:rPr>
                      <w:rFonts w:hint="default" w:ascii="Times New Roman" w:hAnsi="Times New Roman" w:cs="Times New Roman"/>
                      <w:b w:val="0"/>
                      <w:bCs/>
                      <w:color w:val="auto"/>
                      <w:szCs w:val="21"/>
                    </w:rPr>
                    <w:t>g/cm</w:t>
                  </w:r>
                  <w:r>
                    <w:rPr>
                      <w:rFonts w:hint="default" w:ascii="Times New Roman" w:hAnsi="Times New Roman" w:cs="Times New Roman"/>
                      <w:b w:val="0"/>
                      <w:bCs/>
                      <w:color w:val="auto"/>
                      <w:szCs w:val="21"/>
                      <w:vertAlign w:val="superscript"/>
                    </w:rPr>
                    <w:t>3</w:t>
                  </w:r>
                </w:p>
              </w:tc>
              <w:tc>
                <w:tcPr>
                  <w:tcW w:w="2318" w:type="dxa"/>
                  <w:vMerge w:val="restart"/>
                  <w:tcBorders>
                    <w:tl2br w:val="nil"/>
                    <w:tr2bl w:val="nil"/>
                  </w:tcBorders>
                  <w:vAlign w:val="center"/>
                </w:tcPr>
                <w:p w14:paraId="1D0F3F6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i w:val="0"/>
                      <w:iCs w:val="0"/>
                      <w:color w:val="auto"/>
                      <w:szCs w:val="21"/>
                    </w:rPr>
                  </w:pPr>
                  <w:r>
                    <w:rPr>
                      <w:rFonts w:hint="default" w:ascii="Times New Roman" w:hAnsi="Times New Roman" w:cs="Times New Roman"/>
                      <w:b w:val="0"/>
                      <w:bCs/>
                      <w:i w:val="0"/>
                      <w:iCs w:val="0"/>
                      <w:color w:val="auto"/>
                      <w:szCs w:val="21"/>
                      <w:lang w:val="en-US" w:eastAsia="zh-CN"/>
                    </w:rPr>
                    <w:t>31</w:t>
                  </w:r>
                  <w:r>
                    <w:rPr>
                      <w:rFonts w:hint="default" w:ascii="Times New Roman" w:hAnsi="Times New Roman" w:cs="Times New Roman"/>
                      <w:b w:val="0"/>
                      <w:bCs/>
                      <w:i w:val="0"/>
                      <w:iCs w:val="0"/>
                      <w:color w:val="auto"/>
                      <w:szCs w:val="21"/>
                    </w:rPr>
                    <w:t>g/L</w:t>
                  </w:r>
                </w:p>
              </w:tc>
            </w:tr>
            <w:tr w14:paraId="06372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026" w:type="dxa"/>
                  <w:tcBorders>
                    <w:tl2br w:val="nil"/>
                    <w:tr2bl w:val="nil"/>
                  </w:tcBorders>
                  <w:vAlign w:val="center"/>
                </w:tcPr>
                <w:p w14:paraId="46E111B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auto"/>
                      <w:szCs w:val="21"/>
                      <w:lang w:val="en-US" w:eastAsia="zh-CN"/>
                    </w:rPr>
                  </w:pPr>
                  <w:r>
                    <w:rPr>
                      <w:rFonts w:hint="eastAsia" w:ascii="Times New Roman" w:hAnsi="Times New Roman" w:cs="Times New Roman"/>
                      <w:b w:val="0"/>
                      <w:bCs w:val="0"/>
                      <w:color w:val="auto"/>
                      <w:szCs w:val="21"/>
                      <w:lang w:val="en-US" w:eastAsia="zh-CN"/>
                    </w:rPr>
                    <w:t>水分</w:t>
                  </w:r>
                </w:p>
              </w:tc>
              <w:tc>
                <w:tcPr>
                  <w:tcW w:w="3000" w:type="dxa"/>
                  <w:tcBorders>
                    <w:tl2br w:val="nil"/>
                    <w:tr2bl w:val="nil"/>
                  </w:tcBorders>
                  <w:vAlign w:val="center"/>
                </w:tcPr>
                <w:p w14:paraId="2439DE5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auto"/>
                      <w:szCs w:val="21"/>
                      <w:lang w:val="en-US" w:eastAsia="zh-CN"/>
                    </w:rPr>
                  </w:pPr>
                  <w:r>
                    <w:rPr>
                      <w:rFonts w:hint="eastAsia" w:ascii="Times New Roman" w:hAnsi="Times New Roman" w:cs="Times New Roman"/>
                      <w:b w:val="0"/>
                      <w:bCs w:val="0"/>
                      <w:color w:val="auto"/>
                      <w:lang w:val="en-US" w:eastAsia="zh-CN"/>
                    </w:rPr>
                    <w:t>8.00</w:t>
                  </w:r>
                  <w:r>
                    <w:rPr>
                      <w:rFonts w:hint="default" w:ascii="Times New Roman" w:hAnsi="Times New Roman" w:cs="Times New Roman"/>
                      <w:b w:val="0"/>
                      <w:bCs w:val="0"/>
                      <w:color w:val="auto"/>
                      <w:lang w:val="en-US" w:eastAsia="zh-CN"/>
                    </w:rPr>
                    <w:t>%</w:t>
                  </w:r>
                </w:p>
              </w:tc>
              <w:tc>
                <w:tcPr>
                  <w:tcW w:w="1294" w:type="dxa"/>
                  <w:vMerge w:val="continue"/>
                  <w:tcBorders>
                    <w:tl2br w:val="nil"/>
                    <w:tr2bl w:val="nil"/>
                  </w:tcBorders>
                  <w:vAlign w:val="center"/>
                </w:tcPr>
                <w:p w14:paraId="0E18F59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szCs w:val="21"/>
                    </w:rPr>
                  </w:pPr>
                </w:p>
              </w:tc>
              <w:tc>
                <w:tcPr>
                  <w:tcW w:w="2318" w:type="dxa"/>
                  <w:vMerge w:val="continue"/>
                  <w:tcBorders>
                    <w:tl2br w:val="nil"/>
                    <w:tr2bl w:val="nil"/>
                  </w:tcBorders>
                  <w:vAlign w:val="center"/>
                </w:tcPr>
                <w:p w14:paraId="3D46BC6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i w:val="0"/>
                      <w:iCs w:val="0"/>
                      <w:color w:val="auto"/>
                      <w:szCs w:val="21"/>
                    </w:rPr>
                  </w:pPr>
                </w:p>
              </w:tc>
            </w:tr>
            <w:tr w14:paraId="4F65E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026" w:type="dxa"/>
                  <w:tcBorders>
                    <w:tl2br w:val="nil"/>
                    <w:tr2bl w:val="nil"/>
                  </w:tcBorders>
                  <w:vAlign w:val="center"/>
                </w:tcPr>
                <w:p w14:paraId="12ADF536">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auto"/>
                      <w:szCs w:val="21"/>
                      <w:lang w:eastAsia="zh-CN"/>
                    </w:rPr>
                  </w:pPr>
                  <w:r>
                    <w:rPr>
                      <w:rFonts w:hint="default" w:ascii="Times New Roman" w:hAnsi="Times New Roman" w:cs="Times New Roman"/>
                      <w:b w:val="0"/>
                      <w:bCs w:val="0"/>
                      <w:color w:val="auto"/>
                      <w:szCs w:val="21"/>
                    </w:rPr>
                    <w:t>挥发份</w:t>
                  </w:r>
                </w:p>
              </w:tc>
              <w:tc>
                <w:tcPr>
                  <w:tcW w:w="3000" w:type="dxa"/>
                  <w:tcBorders>
                    <w:tl2br w:val="nil"/>
                    <w:tr2bl w:val="nil"/>
                  </w:tcBorders>
                  <w:vAlign w:val="center"/>
                </w:tcPr>
                <w:p w14:paraId="36A4DAC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lang w:val="en-US" w:eastAsia="zh-CN"/>
                    </w:rPr>
                    <w:t>3.04%</w:t>
                  </w:r>
                </w:p>
              </w:tc>
              <w:tc>
                <w:tcPr>
                  <w:tcW w:w="1294" w:type="dxa"/>
                  <w:vMerge w:val="continue"/>
                  <w:tcBorders>
                    <w:tl2br w:val="nil"/>
                    <w:tr2bl w:val="nil"/>
                  </w:tcBorders>
                  <w:vAlign w:val="center"/>
                </w:tcPr>
                <w:p w14:paraId="6D245A7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szCs w:val="21"/>
                    </w:rPr>
                  </w:pPr>
                </w:p>
              </w:tc>
              <w:tc>
                <w:tcPr>
                  <w:tcW w:w="2318" w:type="dxa"/>
                  <w:vMerge w:val="continue"/>
                  <w:tcBorders>
                    <w:tl2br w:val="nil"/>
                    <w:tr2bl w:val="nil"/>
                  </w:tcBorders>
                  <w:vAlign w:val="center"/>
                </w:tcPr>
                <w:p w14:paraId="26B02AC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i w:val="0"/>
                      <w:iCs w:val="0"/>
                      <w:color w:val="auto"/>
                      <w:szCs w:val="21"/>
                    </w:rPr>
                  </w:pPr>
                </w:p>
              </w:tc>
            </w:tr>
          </w:tbl>
          <w:p w14:paraId="2C9E3E96">
            <w:pPr>
              <w:ind w:firstLine="420"/>
              <w:textAlignment w:val="baseline"/>
              <w:rPr>
                <w:rFonts w:hint="default" w:ascii="Times New Roman" w:hAnsi="Times New Roman" w:cs="Times New Roman"/>
                <w:color w:val="auto"/>
                <w:szCs w:val="21"/>
              </w:rPr>
            </w:pPr>
            <w:r>
              <w:rPr>
                <w:rFonts w:hint="default" w:ascii="Times New Roman" w:hAnsi="Times New Roman" w:cs="Times New Roman"/>
                <w:color w:val="auto"/>
                <w:szCs w:val="21"/>
              </w:rPr>
              <w:t>根据企业提供资料，金属外壳采用</w:t>
            </w:r>
            <w:r>
              <w:rPr>
                <w:rFonts w:hint="default" w:ascii="Times New Roman" w:hAnsi="Times New Roman" w:cs="Times New Roman"/>
                <w:color w:val="auto"/>
                <w:szCs w:val="21"/>
                <w:lang w:val="en-US" w:eastAsia="zh-CN"/>
              </w:rPr>
              <w:t>喷枪喷涂</w:t>
            </w:r>
            <w:r>
              <w:rPr>
                <w:rFonts w:hint="default" w:ascii="Times New Roman" w:hAnsi="Times New Roman" w:cs="Times New Roman"/>
                <w:color w:val="auto"/>
                <w:szCs w:val="21"/>
              </w:rPr>
              <w:t>，根据《涂装技术使用手册》（叶扬详主编，机械工业出版社出版）油漆用量计算公式：</w:t>
            </w:r>
          </w:p>
          <w:p w14:paraId="4DD3D336">
            <w:pPr>
              <w:ind w:firstLine="420"/>
              <w:textAlignment w:val="baseline"/>
              <w:rPr>
                <w:rFonts w:hint="default" w:ascii="Times New Roman" w:hAnsi="Times New Roman" w:cs="Times New Roman"/>
                <w:color w:val="auto"/>
                <w:szCs w:val="21"/>
              </w:rPr>
            </w:pPr>
            <w:r>
              <w:rPr>
                <w:rFonts w:hint="default" w:ascii="Times New Roman" w:hAnsi="Times New Roman" w:cs="Times New Roman"/>
                <w:color w:val="auto"/>
                <w:szCs w:val="21"/>
              </w:rPr>
              <w:t>m=ρδs×10</w:t>
            </w:r>
            <w:r>
              <w:rPr>
                <w:rFonts w:hint="default" w:ascii="Times New Roman" w:hAnsi="Times New Roman" w:cs="Times New Roman"/>
                <w:color w:val="auto"/>
                <w:szCs w:val="21"/>
                <w:vertAlign w:val="superscript"/>
              </w:rPr>
              <w:t>-6</w:t>
            </w:r>
            <w:r>
              <w:rPr>
                <w:rFonts w:hint="default" w:ascii="Times New Roman" w:hAnsi="Times New Roman" w:cs="Times New Roman"/>
                <w:color w:val="auto"/>
                <w:szCs w:val="21"/>
              </w:rPr>
              <w:t>/（NV•ε）</w:t>
            </w:r>
          </w:p>
          <w:p w14:paraId="525AACD6">
            <w:pPr>
              <w:ind w:firstLine="420"/>
              <w:textAlignment w:val="baseline"/>
              <w:rPr>
                <w:rFonts w:hint="default" w:ascii="Times New Roman" w:hAnsi="Times New Roman" w:cs="Times New Roman"/>
                <w:color w:val="auto"/>
                <w:szCs w:val="21"/>
              </w:rPr>
            </w:pPr>
            <w:r>
              <w:rPr>
                <w:rFonts w:hint="default" w:ascii="Times New Roman" w:hAnsi="Times New Roman" w:cs="Times New Roman"/>
                <w:color w:val="auto"/>
                <w:szCs w:val="21"/>
              </w:rPr>
              <w:t>其中：m—油漆用量（t/a）；</w:t>
            </w:r>
          </w:p>
          <w:p w14:paraId="7BA56EFF">
            <w:pPr>
              <w:ind w:firstLine="420"/>
              <w:textAlignment w:val="baseline"/>
              <w:rPr>
                <w:rFonts w:hint="default" w:ascii="Times New Roman" w:hAnsi="Times New Roman" w:cs="Times New Roman"/>
                <w:color w:val="auto"/>
                <w:szCs w:val="21"/>
              </w:rPr>
            </w:pPr>
            <w:r>
              <w:rPr>
                <w:rFonts w:hint="default" w:ascii="Times New Roman" w:hAnsi="Times New Roman" w:cs="Times New Roman"/>
                <w:color w:val="auto"/>
                <w:szCs w:val="21"/>
              </w:rPr>
              <w:t>ρ—该油漆密度（g/cm</w:t>
            </w:r>
            <w:r>
              <w:rPr>
                <w:rFonts w:hint="default" w:ascii="Times New Roman" w:hAnsi="Times New Roman" w:cs="Times New Roman"/>
                <w:color w:val="auto"/>
                <w:szCs w:val="21"/>
                <w:vertAlign w:val="superscript"/>
              </w:rPr>
              <w:t>3</w:t>
            </w:r>
            <w:r>
              <w:rPr>
                <w:rFonts w:hint="default" w:ascii="Times New Roman" w:hAnsi="Times New Roman" w:cs="Times New Roman"/>
                <w:color w:val="auto"/>
                <w:szCs w:val="21"/>
              </w:rPr>
              <w:t>）；</w:t>
            </w:r>
          </w:p>
          <w:p w14:paraId="14A02400">
            <w:pPr>
              <w:ind w:firstLine="420"/>
              <w:textAlignment w:val="baseline"/>
              <w:rPr>
                <w:rFonts w:hint="default" w:ascii="Times New Roman" w:hAnsi="Times New Roman" w:cs="Times New Roman"/>
                <w:color w:val="auto"/>
                <w:szCs w:val="21"/>
              </w:rPr>
            </w:pPr>
            <w:r>
              <w:rPr>
                <w:rFonts w:hint="default" w:ascii="Times New Roman" w:hAnsi="Times New Roman" w:cs="Times New Roman"/>
                <w:color w:val="auto"/>
                <w:szCs w:val="21"/>
              </w:rPr>
              <w:t>δ—涂层厚度（μm）；</w:t>
            </w:r>
          </w:p>
          <w:p w14:paraId="5E91D51C">
            <w:pPr>
              <w:ind w:firstLine="420"/>
              <w:textAlignment w:val="baseline"/>
              <w:rPr>
                <w:rFonts w:hint="default" w:ascii="Times New Roman" w:hAnsi="Times New Roman" w:cs="Times New Roman"/>
                <w:color w:val="auto"/>
                <w:szCs w:val="21"/>
              </w:rPr>
            </w:pPr>
            <w:r>
              <w:rPr>
                <w:rFonts w:hint="default" w:ascii="Times New Roman" w:hAnsi="Times New Roman" w:cs="Times New Roman"/>
                <w:color w:val="auto"/>
                <w:szCs w:val="21"/>
              </w:rPr>
              <w:t>s—涂装面积（m</w:t>
            </w:r>
            <w:r>
              <w:rPr>
                <w:rFonts w:hint="default" w:ascii="Times New Roman" w:hAnsi="Times New Roman" w:cs="Times New Roman"/>
                <w:color w:val="auto"/>
                <w:szCs w:val="21"/>
                <w:vertAlign w:val="superscript"/>
              </w:rPr>
              <w:t>2</w:t>
            </w:r>
            <w:r>
              <w:rPr>
                <w:rFonts w:hint="default" w:ascii="Times New Roman" w:hAnsi="Times New Roman" w:cs="Times New Roman"/>
                <w:color w:val="auto"/>
                <w:szCs w:val="21"/>
              </w:rPr>
              <w:t>/a）；</w:t>
            </w:r>
          </w:p>
          <w:p w14:paraId="1BA98D75">
            <w:pPr>
              <w:ind w:firstLine="420"/>
              <w:textAlignment w:val="baseline"/>
              <w:rPr>
                <w:rFonts w:hint="default" w:ascii="Times New Roman" w:hAnsi="Times New Roman" w:cs="Times New Roman"/>
                <w:color w:val="auto"/>
                <w:szCs w:val="21"/>
              </w:rPr>
            </w:pPr>
            <w:r>
              <w:rPr>
                <w:rFonts w:hint="default" w:ascii="Times New Roman" w:hAnsi="Times New Roman" w:cs="Times New Roman"/>
                <w:color w:val="auto"/>
                <w:szCs w:val="21"/>
              </w:rPr>
              <w:t>NV—油漆中的体积固体份（%）；</w:t>
            </w:r>
          </w:p>
          <w:p w14:paraId="52A485C3">
            <w:pPr>
              <w:ind w:firstLine="420"/>
              <w:textAlignment w:val="baseline"/>
              <w:rPr>
                <w:rFonts w:hint="default" w:ascii="Times New Roman" w:hAnsi="Times New Roman" w:cs="Times New Roman"/>
                <w:color w:val="auto"/>
                <w:szCs w:val="21"/>
              </w:rPr>
            </w:pPr>
            <w:r>
              <w:rPr>
                <w:rFonts w:hint="default" w:ascii="Times New Roman" w:hAnsi="Times New Roman" w:cs="Times New Roman"/>
                <w:color w:val="auto"/>
                <w:szCs w:val="21"/>
              </w:rPr>
              <w:t>ε—上漆率。</w:t>
            </w:r>
          </w:p>
          <w:p w14:paraId="4F335C75">
            <w:pPr>
              <w:ind w:firstLine="420"/>
              <w:textAlignment w:val="baseline"/>
              <w:rPr>
                <w:rFonts w:hint="default" w:ascii="Times New Roman" w:hAnsi="Times New Roman" w:cs="Times New Roman"/>
                <w:color w:val="auto"/>
                <w:szCs w:val="21"/>
              </w:rPr>
            </w:pPr>
            <w:r>
              <w:rPr>
                <w:rFonts w:hint="default" w:ascii="Times New Roman" w:hAnsi="Times New Roman" w:cs="Times New Roman"/>
                <w:color w:val="auto"/>
                <w:szCs w:val="21"/>
              </w:rPr>
              <w:t>面漆用量计算：本项目面漆喷涂为金属外壳，面漆阻挡水分子及其他小分子的渗透以及作为装饰作用，根据客户需求金属外壳面漆漆膜喷涂厚度不</w:t>
            </w:r>
            <w:r>
              <w:rPr>
                <w:rFonts w:hint="eastAsia" w:cs="Times New Roman"/>
                <w:color w:val="auto"/>
                <w:szCs w:val="21"/>
                <w:lang w:eastAsia="zh-CN"/>
              </w:rPr>
              <w:t>小于</w:t>
            </w:r>
            <w:r>
              <w:rPr>
                <w:rFonts w:hint="default" w:ascii="Times New Roman" w:hAnsi="Times New Roman" w:cs="Times New Roman"/>
                <w:color w:val="auto"/>
                <w:szCs w:val="21"/>
                <w:lang w:val="en-US" w:eastAsia="zh-CN"/>
              </w:rPr>
              <w:t>25</w:t>
            </w:r>
            <w:r>
              <w:rPr>
                <w:rFonts w:hint="default" w:ascii="Times New Roman" w:hAnsi="Times New Roman" w:cs="Times New Roman"/>
                <w:color w:val="auto"/>
                <w:szCs w:val="21"/>
              </w:rPr>
              <w:t>μm，本项目喷涂厚度按</w:t>
            </w:r>
            <w:r>
              <w:rPr>
                <w:rFonts w:hint="default" w:ascii="Times New Roman" w:hAnsi="Times New Roman" w:cs="Times New Roman"/>
                <w:color w:val="auto"/>
                <w:szCs w:val="21"/>
                <w:lang w:val="en-US" w:eastAsia="zh-CN"/>
              </w:rPr>
              <w:t>28</w:t>
            </w:r>
            <w:r>
              <w:rPr>
                <w:rFonts w:hint="default" w:ascii="Times New Roman" w:hAnsi="Times New Roman" w:cs="Times New Roman"/>
                <w:color w:val="auto"/>
                <w:szCs w:val="21"/>
              </w:rPr>
              <w:t>μm计。涂装面积根据企业提供的数据，单台</w:t>
            </w:r>
            <w:r>
              <w:rPr>
                <w:rFonts w:hint="default" w:ascii="Times New Roman" w:hAnsi="Times New Roman" w:cs="Times New Roman"/>
                <w:color w:val="auto"/>
                <w:szCs w:val="21"/>
                <w:lang w:val="en-US" w:eastAsia="zh-CN"/>
              </w:rPr>
              <w:t>产品单</w:t>
            </w:r>
            <w:r>
              <w:rPr>
                <w:rFonts w:hint="default" w:ascii="Times New Roman" w:hAnsi="Times New Roman" w:cs="Times New Roman"/>
                <w:color w:val="auto"/>
                <w:szCs w:val="21"/>
              </w:rPr>
              <w:t>面喷涂，每面</w:t>
            </w:r>
            <w:r>
              <w:rPr>
                <w:rFonts w:hint="default" w:ascii="Times New Roman" w:hAnsi="Times New Roman" w:cs="Times New Roman"/>
                <w:color w:val="auto"/>
                <w:szCs w:val="21"/>
                <w:lang w:val="en-US" w:eastAsia="zh-CN"/>
              </w:rPr>
              <w:t>面</w:t>
            </w:r>
            <w:r>
              <w:rPr>
                <w:rFonts w:hint="default" w:ascii="Times New Roman" w:hAnsi="Times New Roman" w:cs="Times New Roman"/>
                <w:color w:val="auto"/>
                <w:szCs w:val="21"/>
              </w:rPr>
              <w:t>漆喷涂次数为</w:t>
            </w: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次，本项目喷涂</w:t>
            </w:r>
            <w:r>
              <w:rPr>
                <w:rFonts w:hint="default" w:ascii="Times New Roman" w:hAnsi="Times New Roman" w:cs="Times New Roman"/>
                <w:color w:val="auto"/>
                <w:szCs w:val="21"/>
                <w:lang w:val="en-US" w:eastAsia="zh-CN"/>
              </w:rPr>
              <w:t>产品</w:t>
            </w:r>
            <w:r>
              <w:rPr>
                <w:rFonts w:hint="default" w:ascii="Times New Roman" w:hAnsi="Times New Roman" w:cs="Times New Roman"/>
                <w:color w:val="auto"/>
                <w:szCs w:val="21"/>
              </w:rPr>
              <w:t>台数为2</w:t>
            </w: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0台，</w:t>
            </w:r>
            <w:r>
              <w:rPr>
                <w:rFonts w:hint="default" w:ascii="Times New Roman" w:hAnsi="Times New Roman" w:cs="Times New Roman"/>
                <w:color w:val="auto"/>
                <w:szCs w:val="21"/>
                <w:lang w:val="en-US" w:eastAsia="zh-CN"/>
              </w:rPr>
              <w:t>不同产品面积统计如下表</w:t>
            </w:r>
            <w:r>
              <w:rPr>
                <w:rFonts w:hint="default" w:ascii="Times New Roman" w:hAnsi="Times New Roman" w:cs="Times New Roman"/>
                <w:color w:val="auto"/>
                <w:szCs w:val="21"/>
              </w:rPr>
              <w:t>；喷枪喷涂过程</w:t>
            </w:r>
            <w:r>
              <w:rPr>
                <w:rFonts w:hint="default" w:ascii="Times New Roman" w:hAnsi="Times New Roman" w:cs="Times New Roman"/>
                <w:color w:val="auto"/>
                <w:szCs w:val="21"/>
                <w:lang w:eastAsia="zh-CN"/>
              </w:rPr>
              <w:t>上漆率</w:t>
            </w:r>
            <w:r>
              <w:rPr>
                <w:rFonts w:hint="default" w:ascii="Times New Roman" w:hAnsi="Times New Roman" w:cs="Times New Roman"/>
                <w:color w:val="auto"/>
                <w:szCs w:val="21"/>
                <w:lang w:val="en-US" w:eastAsia="zh-CN"/>
              </w:rPr>
              <w:t>7</w:t>
            </w:r>
            <w:r>
              <w:rPr>
                <w:rFonts w:hint="default" w:ascii="Times New Roman" w:hAnsi="Times New Roman" w:cs="Times New Roman"/>
                <w:color w:val="auto"/>
                <w:szCs w:val="21"/>
              </w:rPr>
              <w:t>0%，损耗率约</w:t>
            </w:r>
            <w:r>
              <w:rPr>
                <w:rFonts w:hint="default" w:ascii="Times New Roman" w:hAnsi="Times New Roman" w:cs="Times New Roman"/>
                <w:color w:val="auto"/>
                <w:szCs w:val="21"/>
                <w:lang w:val="en-US" w:eastAsia="zh-CN"/>
              </w:rPr>
              <w:t>3</w:t>
            </w:r>
            <w:r>
              <w:rPr>
                <w:rFonts w:hint="default" w:ascii="Times New Roman" w:hAnsi="Times New Roman" w:cs="Times New Roman"/>
                <w:color w:val="auto"/>
                <w:szCs w:val="21"/>
              </w:rPr>
              <w:t>0%（其中在喷漆过程中喷涂在地面</w:t>
            </w:r>
            <w:r>
              <w:rPr>
                <w:rFonts w:hint="eastAsia" w:cs="Times New Roman"/>
                <w:color w:val="auto"/>
                <w:szCs w:val="21"/>
                <w:lang w:eastAsia="zh-CN"/>
              </w:rPr>
              <w:t>、墙面</w:t>
            </w: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5%，</w:t>
            </w:r>
            <w:r>
              <w:rPr>
                <w:rFonts w:hint="eastAsia" w:cs="Times New Roman"/>
                <w:color w:val="auto"/>
                <w:szCs w:val="21"/>
                <w:lang w:eastAsia="zh-CN"/>
              </w:rPr>
              <w:t>大部分通过喷漆房密闭收集至干式漆雾过滤器处理后排放，部分残留在地面，墙面作为定期清理的漆渣；</w:t>
            </w:r>
            <w:r>
              <w:rPr>
                <w:rFonts w:hint="default" w:ascii="Times New Roman" w:hAnsi="Times New Roman" w:cs="Times New Roman"/>
                <w:color w:val="auto"/>
                <w:szCs w:val="21"/>
              </w:rPr>
              <w:t>油漆桶残留量为5%），则涂漆过程中</w:t>
            </w:r>
            <w:r>
              <w:rPr>
                <w:rFonts w:hint="default" w:ascii="Times New Roman" w:hAnsi="Times New Roman" w:cs="Times New Roman"/>
                <w:color w:val="auto"/>
                <w:szCs w:val="21"/>
                <w:lang w:val="en-US" w:eastAsia="zh-CN"/>
              </w:rPr>
              <w:t>7</w:t>
            </w:r>
            <w:r>
              <w:rPr>
                <w:rFonts w:hint="default" w:ascii="Times New Roman" w:hAnsi="Times New Roman" w:cs="Times New Roman"/>
                <w:color w:val="auto"/>
                <w:szCs w:val="21"/>
              </w:rPr>
              <w:t>0%附着于工件表面，</w:t>
            </w:r>
            <w:r>
              <w:rPr>
                <w:rFonts w:hint="default" w:ascii="Times New Roman" w:hAnsi="Times New Roman" w:cs="Times New Roman"/>
                <w:color w:val="auto"/>
                <w:szCs w:val="21"/>
                <w:lang w:val="en-US" w:eastAsia="zh-CN"/>
              </w:rPr>
              <w:t>3</w:t>
            </w:r>
            <w:r>
              <w:rPr>
                <w:rFonts w:hint="default" w:ascii="Times New Roman" w:hAnsi="Times New Roman" w:cs="Times New Roman"/>
                <w:color w:val="auto"/>
                <w:szCs w:val="21"/>
              </w:rPr>
              <w:t>0%损耗，本项目面漆用量为</w:t>
            </w:r>
            <w:r>
              <w:rPr>
                <w:rFonts w:hint="default" w:ascii="Times New Roman" w:hAnsi="Times New Roman" w:cs="Times New Roman"/>
                <w:color w:val="auto"/>
                <w:szCs w:val="21"/>
                <w:lang w:val="en-US" w:eastAsia="zh-CN"/>
              </w:rPr>
              <w:t>22.15</w:t>
            </w:r>
            <w:r>
              <w:rPr>
                <w:rFonts w:hint="default" w:ascii="Times New Roman" w:hAnsi="Times New Roman" w:cs="Times New Roman"/>
                <w:color w:val="auto"/>
                <w:szCs w:val="21"/>
              </w:rPr>
              <w:t>t/a。</w:t>
            </w:r>
          </w:p>
          <w:p w14:paraId="006EC9ED">
            <w:pPr>
              <w:pStyle w:val="38"/>
              <w:bidi w:val="0"/>
              <w:rPr>
                <w:rFonts w:hint="default" w:ascii="Times New Roman" w:hAnsi="Times New Roman" w:eastAsia="宋体" w:cs="Times New Roman"/>
                <w:color w:val="auto"/>
                <w:lang w:eastAsia="zh-CN"/>
              </w:rPr>
            </w:pPr>
            <w:r>
              <w:rPr>
                <w:rFonts w:hint="default" w:ascii="Times New Roman" w:hAnsi="Times New Roman" w:cs="Times New Roman"/>
                <w:color w:val="auto"/>
              </w:rPr>
              <w:t>表2-1</w:t>
            </w:r>
            <w:r>
              <w:rPr>
                <w:rFonts w:hint="default" w:ascii="Times New Roman" w:hAnsi="Times New Roman" w:cs="Times New Roman"/>
                <w:color w:val="auto"/>
                <w:lang w:val="en-US" w:eastAsia="zh-CN"/>
              </w:rPr>
              <w:t>1</w:t>
            </w:r>
            <w:r>
              <w:rPr>
                <w:rFonts w:hint="default" w:ascii="Times New Roman" w:hAnsi="Times New Roman" w:cs="Times New Roman"/>
                <w:color w:val="auto"/>
              </w:rPr>
              <w:t xml:space="preserve">  面漆用量计算表</w:t>
            </w: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两次</w:t>
            </w:r>
            <w:r>
              <w:rPr>
                <w:rFonts w:hint="eastAsia" w:cs="Times New Roman"/>
                <w:color w:val="auto"/>
                <w:lang w:val="en-US" w:eastAsia="zh-CN"/>
              </w:rPr>
              <w:t>喷漆</w:t>
            </w:r>
            <w:r>
              <w:rPr>
                <w:rFonts w:hint="default" w:ascii="Times New Roman" w:hAnsi="Times New Roman" w:cs="Times New Roman"/>
                <w:color w:val="auto"/>
                <w:lang w:eastAsia="zh-CN"/>
              </w:rPr>
              <w:t>）</w:t>
            </w:r>
          </w:p>
          <w:tbl>
            <w:tblPr>
              <w:tblStyle w:val="31"/>
              <w:tblW w:w="861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351"/>
              <w:gridCol w:w="1132"/>
              <w:gridCol w:w="913"/>
              <w:gridCol w:w="864"/>
              <w:gridCol w:w="801"/>
              <w:gridCol w:w="1021"/>
              <w:gridCol w:w="1234"/>
              <w:gridCol w:w="1300"/>
            </w:tblGrid>
            <w:tr w14:paraId="65A55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8" w:hRule="atLeast"/>
                <w:jc w:val="center"/>
              </w:trPr>
              <w:tc>
                <w:tcPr>
                  <w:tcW w:w="784" w:type="pct"/>
                  <w:vMerge w:val="restart"/>
                  <w:tcBorders>
                    <w:tl2br w:val="nil"/>
                    <w:tr2bl w:val="nil"/>
                  </w:tcBorders>
                  <w:vAlign w:val="center"/>
                </w:tcPr>
                <w:p w14:paraId="35453F4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lang w:eastAsia="zh-CN"/>
                    </w:rPr>
                    <w:t>产品</w:t>
                  </w:r>
                  <w:r>
                    <w:rPr>
                      <w:rFonts w:hint="default" w:ascii="Times New Roman" w:hAnsi="Times New Roman" w:cs="Times New Roman"/>
                      <w:b/>
                      <w:bCs/>
                      <w:color w:val="auto"/>
                      <w:szCs w:val="21"/>
                    </w:rPr>
                    <w:t>名称</w:t>
                  </w:r>
                </w:p>
              </w:tc>
              <w:tc>
                <w:tcPr>
                  <w:tcW w:w="656" w:type="pct"/>
                  <w:vMerge w:val="restart"/>
                  <w:tcBorders>
                    <w:tl2br w:val="nil"/>
                    <w:tr2bl w:val="nil"/>
                  </w:tcBorders>
                  <w:vAlign w:val="center"/>
                </w:tcPr>
                <w:p w14:paraId="3C99206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喷涂面积m</w:t>
                  </w:r>
                  <w:r>
                    <w:rPr>
                      <w:rFonts w:hint="default" w:ascii="Times New Roman" w:hAnsi="Times New Roman" w:cs="Times New Roman"/>
                      <w:b/>
                      <w:bCs/>
                      <w:color w:val="auto"/>
                      <w:szCs w:val="21"/>
                      <w:vertAlign w:val="superscript"/>
                    </w:rPr>
                    <w:t>2</w:t>
                  </w:r>
                </w:p>
              </w:tc>
              <w:tc>
                <w:tcPr>
                  <w:tcW w:w="529" w:type="pct"/>
                  <w:vMerge w:val="restart"/>
                  <w:tcBorders>
                    <w:tl2br w:val="nil"/>
                    <w:tr2bl w:val="nil"/>
                  </w:tcBorders>
                  <w:vAlign w:val="center"/>
                </w:tcPr>
                <w:p w14:paraId="597D92D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漆膜厚度μm</w:t>
                  </w:r>
                </w:p>
              </w:tc>
              <w:tc>
                <w:tcPr>
                  <w:tcW w:w="501" w:type="pct"/>
                  <w:vMerge w:val="restart"/>
                  <w:tcBorders>
                    <w:tl2br w:val="nil"/>
                    <w:tr2bl w:val="nil"/>
                  </w:tcBorders>
                  <w:vAlign w:val="center"/>
                </w:tcPr>
                <w:p w14:paraId="4177C5F5">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面漆密度g/cm</w:t>
                  </w:r>
                  <w:r>
                    <w:rPr>
                      <w:rFonts w:hint="default" w:ascii="Times New Roman" w:hAnsi="Times New Roman" w:cs="Times New Roman"/>
                      <w:b/>
                      <w:bCs/>
                      <w:color w:val="auto"/>
                      <w:szCs w:val="21"/>
                      <w:vertAlign w:val="superscript"/>
                    </w:rPr>
                    <w:t>3</w:t>
                  </w:r>
                </w:p>
              </w:tc>
              <w:tc>
                <w:tcPr>
                  <w:tcW w:w="464" w:type="pct"/>
                  <w:vMerge w:val="restart"/>
                  <w:tcBorders>
                    <w:tl2br w:val="nil"/>
                    <w:tr2bl w:val="nil"/>
                  </w:tcBorders>
                  <w:vAlign w:val="center"/>
                </w:tcPr>
                <w:p w14:paraId="2AF21F2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上漆率%</w:t>
                  </w:r>
                </w:p>
              </w:tc>
              <w:tc>
                <w:tcPr>
                  <w:tcW w:w="592" w:type="pct"/>
                  <w:vMerge w:val="restart"/>
                  <w:tcBorders>
                    <w:tl2br w:val="nil"/>
                    <w:tr2bl w:val="nil"/>
                  </w:tcBorders>
                  <w:vAlign w:val="center"/>
                </w:tcPr>
                <w:p w14:paraId="25A1B1C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固体份</w:t>
                  </w:r>
                  <w:r>
                    <w:rPr>
                      <w:rFonts w:hint="default" w:ascii="Times New Roman" w:hAnsi="Times New Roman" w:cs="Times New Roman"/>
                      <w:b/>
                      <w:bCs/>
                      <w:color w:val="auto"/>
                      <w:szCs w:val="21"/>
                      <w:lang w:val="en-US" w:eastAsia="zh-CN"/>
                    </w:rPr>
                    <w:t>含量</w:t>
                  </w:r>
                  <w:r>
                    <w:rPr>
                      <w:rFonts w:hint="default" w:ascii="Times New Roman" w:hAnsi="Times New Roman" w:cs="Times New Roman"/>
                      <w:b/>
                      <w:bCs/>
                      <w:color w:val="auto"/>
                      <w:szCs w:val="21"/>
                    </w:rPr>
                    <w:t>%</w:t>
                  </w:r>
                </w:p>
              </w:tc>
              <w:tc>
                <w:tcPr>
                  <w:tcW w:w="1470" w:type="pct"/>
                  <w:gridSpan w:val="2"/>
                  <w:tcBorders>
                    <w:tl2br w:val="nil"/>
                    <w:tr2bl w:val="nil"/>
                  </w:tcBorders>
                  <w:vAlign w:val="center"/>
                </w:tcPr>
                <w:p w14:paraId="472EB36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用量t/a</w:t>
                  </w:r>
                </w:p>
              </w:tc>
            </w:tr>
            <w:tr w14:paraId="18CC1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784" w:type="pct"/>
                  <w:vMerge w:val="continue"/>
                  <w:tcBorders>
                    <w:tl2br w:val="nil"/>
                    <w:tr2bl w:val="nil"/>
                  </w:tcBorders>
                  <w:vAlign w:val="center"/>
                </w:tcPr>
                <w:p w14:paraId="14018EC3">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656" w:type="pct"/>
                  <w:vMerge w:val="continue"/>
                  <w:tcBorders>
                    <w:tl2br w:val="nil"/>
                    <w:tr2bl w:val="nil"/>
                  </w:tcBorders>
                  <w:vAlign w:val="center"/>
                </w:tcPr>
                <w:p w14:paraId="1ACE8158">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529" w:type="pct"/>
                  <w:vMerge w:val="continue"/>
                  <w:tcBorders>
                    <w:tl2br w:val="nil"/>
                    <w:tr2bl w:val="nil"/>
                  </w:tcBorders>
                  <w:vAlign w:val="center"/>
                </w:tcPr>
                <w:p w14:paraId="7B5E3A9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501" w:type="pct"/>
                  <w:vMerge w:val="continue"/>
                  <w:tcBorders>
                    <w:tl2br w:val="nil"/>
                    <w:tr2bl w:val="nil"/>
                  </w:tcBorders>
                  <w:vAlign w:val="center"/>
                </w:tcPr>
                <w:p w14:paraId="0E0A4AE5">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464" w:type="pct"/>
                  <w:vMerge w:val="continue"/>
                  <w:tcBorders>
                    <w:tl2br w:val="nil"/>
                    <w:tr2bl w:val="nil"/>
                  </w:tcBorders>
                  <w:vAlign w:val="center"/>
                </w:tcPr>
                <w:p w14:paraId="3BE7FC8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592" w:type="pct"/>
                  <w:vMerge w:val="continue"/>
                  <w:tcBorders>
                    <w:tl2br w:val="nil"/>
                    <w:tr2bl w:val="nil"/>
                  </w:tcBorders>
                  <w:vAlign w:val="center"/>
                </w:tcPr>
                <w:p w14:paraId="4DD05A0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716" w:type="pct"/>
                  <w:tcBorders>
                    <w:tl2br w:val="nil"/>
                    <w:tr2bl w:val="nil"/>
                  </w:tcBorders>
                  <w:vAlign w:val="center"/>
                </w:tcPr>
                <w:p w14:paraId="4D1AB035">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工件附着</w:t>
                  </w:r>
                </w:p>
              </w:tc>
              <w:tc>
                <w:tcPr>
                  <w:tcW w:w="754" w:type="pct"/>
                  <w:tcBorders>
                    <w:tl2br w:val="nil"/>
                    <w:tr2bl w:val="nil"/>
                  </w:tcBorders>
                  <w:vAlign w:val="center"/>
                </w:tcPr>
                <w:p w14:paraId="13E6D02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损耗</w:t>
                  </w:r>
                </w:p>
              </w:tc>
            </w:tr>
            <w:tr w14:paraId="59887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8" w:hRule="atLeast"/>
                <w:jc w:val="center"/>
              </w:trPr>
              <w:tc>
                <w:tcPr>
                  <w:tcW w:w="784" w:type="pct"/>
                  <w:tcBorders>
                    <w:tl2br w:val="nil"/>
                    <w:tr2bl w:val="nil"/>
                  </w:tcBorders>
                  <w:vAlign w:val="center"/>
                </w:tcPr>
                <w:p w14:paraId="685065F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lang w:val="en-US" w:eastAsia="zh-CN"/>
                    </w:rPr>
                    <w:t>挤压机</w:t>
                  </w:r>
                </w:p>
              </w:tc>
              <w:tc>
                <w:tcPr>
                  <w:tcW w:w="656" w:type="pct"/>
                  <w:tcBorders>
                    <w:tl2br w:val="nil"/>
                    <w:tr2bl w:val="nil"/>
                  </w:tcBorders>
                  <w:vAlign w:val="center"/>
                </w:tcPr>
                <w:p w14:paraId="6F65AC0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80348</w:t>
                  </w:r>
                </w:p>
              </w:tc>
              <w:tc>
                <w:tcPr>
                  <w:tcW w:w="529" w:type="pct"/>
                  <w:vMerge w:val="restart"/>
                  <w:tcBorders>
                    <w:tl2br w:val="nil"/>
                    <w:tr2bl w:val="nil"/>
                  </w:tcBorders>
                  <w:vAlign w:val="center"/>
                </w:tcPr>
                <w:p w14:paraId="2A861BF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rPr>
                  </w:pPr>
                  <w:r>
                    <w:rPr>
                      <w:rFonts w:hint="default" w:ascii="Times New Roman" w:hAnsi="Times New Roman" w:cs="Times New Roman"/>
                      <w:b w:val="0"/>
                      <w:bCs/>
                      <w:color w:val="auto"/>
                      <w:szCs w:val="21"/>
                      <w:lang w:val="en-US" w:eastAsia="zh-CN"/>
                    </w:rPr>
                    <w:t>28</w:t>
                  </w:r>
                </w:p>
              </w:tc>
              <w:tc>
                <w:tcPr>
                  <w:tcW w:w="501" w:type="pct"/>
                  <w:vMerge w:val="restart"/>
                  <w:tcBorders>
                    <w:tl2br w:val="nil"/>
                    <w:tr2bl w:val="nil"/>
                  </w:tcBorders>
                  <w:vAlign w:val="center"/>
                </w:tcPr>
                <w:p w14:paraId="75EC3AEE">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rPr>
                    <w:t>1.</w:t>
                  </w:r>
                  <w:r>
                    <w:rPr>
                      <w:rFonts w:hint="default" w:ascii="Times New Roman" w:hAnsi="Times New Roman" w:cs="Times New Roman"/>
                      <w:b w:val="0"/>
                      <w:bCs/>
                      <w:color w:val="auto"/>
                      <w:szCs w:val="21"/>
                      <w:lang w:val="en-US" w:eastAsia="zh-CN"/>
                    </w:rPr>
                    <w:t>0</w:t>
                  </w:r>
                  <w:r>
                    <w:rPr>
                      <w:rFonts w:hint="eastAsia" w:ascii="Times New Roman" w:hAnsi="Times New Roman" w:cs="Times New Roman"/>
                      <w:b w:val="0"/>
                      <w:bCs/>
                      <w:color w:val="auto"/>
                      <w:szCs w:val="21"/>
                      <w:lang w:val="en-US" w:eastAsia="zh-CN"/>
                    </w:rPr>
                    <w:t>2</w:t>
                  </w:r>
                </w:p>
              </w:tc>
              <w:tc>
                <w:tcPr>
                  <w:tcW w:w="464" w:type="pct"/>
                  <w:vMerge w:val="restart"/>
                  <w:tcBorders>
                    <w:tl2br w:val="nil"/>
                    <w:tr2bl w:val="nil"/>
                  </w:tcBorders>
                  <w:vAlign w:val="center"/>
                </w:tcPr>
                <w:p w14:paraId="029DB8FF">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val="en-US" w:eastAsia="zh-CN"/>
                    </w:rPr>
                    <w:t>7</w:t>
                  </w:r>
                  <w:r>
                    <w:rPr>
                      <w:rFonts w:hint="default" w:ascii="Times New Roman" w:hAnsi="Times New Roman" w:cs="Times New Roman"/>
                      <w:b w:val="0"/>
                      <w:bCs/>
                      <w:color w:val="auto"/>
                      <w:szCs w:val="21"/>
                    </w:rPr>
                    <w:t>0</w:t>
                  </w:r>
                </w:p>
              </w:tc>
              <w:tc>
                <w:tcPr>
                  <w:tcW w:w="592" w:type="pct"/>
                  <w:vMerge w:val="restart"/>
                  <w:tcBorders>
                    <w:tl2br w:val="nil"/>
                    <w:tr2bl w:val="nil"/>
                  </w:tcBorders>
                  <w:vAlign w:val="center"/>
                </w:tcPr>
                <w:p w14:paraId="77CEBDEA">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88.96</w:t>
                  </w:r>
                </w:p>
              </w:tc>
              <w:tc>
                <w:tcPr>
                  <w:tcW w:w="716" w:type="pct"/>
                  <w:tcBorders>
                    <w:tl2br w:val="nil"/>
                    <w:tr2bl w:val="nil"/>
                  </w:tcBorders>
                  <w:vAlign w:val="center"/>
                </w:tcPr>
                <w:p w14:paraId="5158AB73">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2.2947</w:t>
                  </w:r>
                </w:p>
              </w:tc>
              <w:tc>
                <w:tcPr>
                  <w:tcW w:w="754" w:type="pct"/>
                  <w:tcBorders>
                    <w:tl2br w:val="nil"/>
                    <w:tr2bl w:val="nil"/>
                  </w:tcBorders>
                  <w:vAlign w:val="center"/>
                </w:tcPr>
                <w:p w14:paraId="51B64BD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0.9835</w:t>
                  </w:r>
                </w:p>
              </w:tc>
            </w:tr>
            <w:tr w14:paraId="610E2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8" w:hRule="atLeast"/>
                <w:jc w:val="center"/>
              </w:trPr>
              <w:tc>
                <w:tcPr>
                  <w:tcW w:w="784" w:type="pct"/>
                  <w:tcBorders>
                    <w:tl2br w:val="nil"/>
                    <w:tr2bl w:val="nil"/>
                  </w:tcBorders>
                  <w:vAlign w:val="center"/>
                </w:tcPr>
                <w:p w14:paraId="22AEF4B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lang w:val="en-US" w:eastAsia="zh-CN"/>
                    </w:rPr>
                    <w:t>单棒炉</w:t>
                  </w:r>
                </w:p>
              </w:tc>
              <w:tc>
                <w:tcPr>
                  <w:tcW w:w="656" w:type="pct"/>
                  <w:tcBorders>
                    <w:tl2br w:val="nil"/>
                    <w:tr2bl w:val="nil"/>
                  </w:tcBorders>
                  <w:vAlign w:val="center"/>
                </w:tcPr>
                <w:p w14:paraId="5A0B17E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61455</w:t>
                  </w:r>
                </w:p>
              </w:tc>
              <w:tc>
                <w:tcPr>
                  <w:tcW w:w="529" w:type="pct"/>
                  <w:vMerge w:val="continue"/>
                  <w:tcBorders>
                    <w:tl2br w:val="nil"/>
                    <w:tr2bl w:val="nil"/>
                  </w:tcBorders>
                  <w:vAlign w:val="center"/>
                </w:tcPr>
                <w:p w14:paraId="0CE0F16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501" w:type="pct"/>
                  <w:vMerge w:val="continue"/>
                  <w:tcBorders>
                    <w:tl2br w:val="nil"/>
                    <w:tr2bl w:val="nil"/>
                  </w:tcBorders>
                  <w:vAlign w:val="center"/>
                </w:tcPr>
                <w:p w14:paraId="5539BDBD">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464" w:type="pct"/>
                  <w:vMerge w:val="continue"/>
                  <w:tcBorders>
                    <w:tl2br w:val="nil"/>
                    <w:tr2bl w:val="nil"/>
                  </w:tcBorders>
                  <w:vAlign w:val="center"/>
                </w:tcPr>
                <w:p w14:paraId="74633D93">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592" w:type="pct"/>
                  <w:vMerge w:val="continue"/>
                  <w:tcBorders>
                    <w:tl2br w:val="nil"/>
                    <w:tr2bl w:val="nil"/>
                  </w:tcBorders>
                  <w:vAlign w:val="center"/>
                </w:tcPr>
                <w:p w14:paraId="4CE15CE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716" w:type="pct"/>
                  <w:tcBorders>
                    <w:tl2br w:val="nil"/>
                    <w:tr2bl w:val="nil"/>
                  </w:tcBorders>
                  <w:vAlign w:val="center"/>
                </w:tcPr>
                <w:p w14:paraId="22910624">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1.7552</w:t>
                  </w:r>
                </w:p>
              </w:tc>
              <w:tc>
                <w:tcPr>
                  <w:tcW w:w="754" w:type="pct"/>
                  <w:tcBorders>
                    <w:tl2br w:val="nil"/>
                    <w:tr2bl w:val="nil"/>
                  </w:tcBorders>
                  <w:vAlign w:val="center"/>
                </w:tcPr>
                <w:p w14:paraId="2F13474F">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0.7522</w:t>
                  </w:r>
                </w:p>
              </w:tc>
            </w:tr>
            <w:tr w14:paraId="5A8F6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8" w:hRule="atLeast"/>
                <w:jc w:val="center"/>
              </w:trPr>
              <w:tc>
                <w:tcPr>
                  <w:tcW w:w="784" w:type="pct"/>
                  <w:tcBorders>
                    <w:tl2br w:val="nil"/>
                    <w:tr2bl w:val="nil"/>
                  </w:tcBorders>
                  <w:vAlign w:val="center"/>
                </w:tcPr>
                <w:p w14:paraId="3C5D13F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lang w:val="en-US" w:eastAsia="zh-CN"/>
                    </w:rPr>
                    <w:t>时效炉</w:t>
                  </w:r>
                </w:p>
              </w:tc>
              <w:tc>
                <w:tcPr>
                  <w:tcW w:w="656" w:type="pct"/>
                  <w:tcBorders>
                    <w:tl2br w:val="nil"/>
                    <w:tr2bl w:val="nil"/>
                  </w:tcBorders>
                  <w:vAlign w:val="center"/>
                </w:tcPr>
                <w:p w14:paraId="03B6AD13">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96798</w:t>
                  </w:r>
                </w:p>
              </w:tc>
              <w:tc>
                <w:tcPr>
                  <w:tcW w:w="529" w:type="pct"/>
                  <w:vMerge w:val="continue"/>
                  <w:tcBorders>
                    <w:tl2br w:val="nil"/>
                    <w:tr2bl w:val="nil"/>
                  </w:tcBorders>
                  <w:vAlign w:val="center"/>
                </w:tcPr>
                <w:p w14:paraId="2004C942">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501" w:type="pct"/>
                  <w:vMerge w:val="continue"/>
                  <w:tcBorders>
                    <w:tl2br w:val="nil"/>
                    <w:tr2bl w:val="nil"/>
                  </w:tcBorders>
                  <w:vAlign w:val="center"/>
                </w:tcPr>
                <w:p w14:paraId="7E1226D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464" w:type="pct"/>
                  <w:vMerge w:val="continue"/>
                  <w:tcBorders>
                    <w:tl2br w:val="nil"/>
                    <w:tr2bl w:val="nil"/>
                  </w:tcBorders>
                  <w:vAlign w:val="center"/>
                </w:tcPr>
                <w:p w14:paraId="616C309F">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592" w:type="pct"/>
                  <w:vMerge w:val="continue"/>
                  <w:tcBorders>
                    <w:tl2br w:val="nil"/>
                    <w:tr2bl w:val="nil"/>
                  </w:tcBorders>
                  <w:vAlign w:val="center"/>
                </w:tcPr>
                <w:p w14:paraId="0CE2D84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716" w:type="pct"/>
                  <w:tcBorders>
                    <w:tl2br w:val="nil"/>
                    <w:tr2bl w:val="nil"/>
                  </w:tcBorders>
                  <w:vAlign w:val="center"/>
                </w:tcPr>
                <w:p w14:paraId="501B237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2.7645</w:t>
                  </w:r>
                </w:p>
              </w:tc>
              <w:tc>
                <w:tcPr>
                  <w:tcW w:w="754" w:type="pct"/>
                  <w:tcBorders>
                    <w:tl2br w:val="nil"/>
                    <w:tr2bl w:val="nil"/>
                  </w:tcBorders>
                  <w:vAlign w:val="center"/>
                </w:tcPr>
                <w:p w14:paraId="655C971F">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1.1848</w:t>
                  </w:r>
                </w:p>
              </w:tc>
            </w:tr>
            <w:tr w14:paraId="37A00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8" w:hRule="atLeast"/>
                <w:jc w:val="center"/>
              </w:trPr>
              <w:tc>
                <w:tcPr>
                  <w:tcW w:w="784" w:type="pct"/>
                  <w:tcBorders>
                    <w:tl2br w:val="nil"/>
                    <w:tr2bl w:val="nil"/>
                  </w:tcBorders>
                  <w:vAlign w:val="center"/>
                </w:tcPr>
                <w:p w14:paraId="1B28166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lang w:val="en-US" w:eastAsia="zh-CN"/>
                    </w:rPr>
                    <w:t>在线淬火炉</w:t>
                  </w:r>
                </w:p>
              </w:tc>
              <w:tc>
                <w:tcPr>
                  <w:tcW w:w="656" w:type="pct"/>
                  <w:tcBorders>
                    <w:tl2br w:val="nil"/>
                    <w:tr2bl w:val="nil"/>
                  </w:tcBorders>
                  <w:vAlign w:val="center"/>
                </w:tcPr>
                <w:p w14:paraId="698BFE68">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61455</w:t>
                  </w:r>
                </w:p>
              </w:tc>
              <w:tc>
                <w:tcPr>
                  <w:tcW w:w="529" w:type="pct"/>
                  <w:vMerge w:val="continue"/>
                  <w:tcBorders>
                    <w:tl2br w:val="nil"/>
                    <w:tr2bl w:val="nil"/>
                  </w:tcBorders>
                  <w:vAlign w:val="center"/>
                </w:tcPr>
                <w:p w14:paraId="239930D5">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501" w:type="pct"/>
                  <w:vMerge w:val="continue"/>
                  <w:tcBorders>
                    <w:tl2br w:val="nil"/>
                    <w:tr2bl w:val="nil"/>
                  </w:tcBorders>
                  <w:vAlign w:val="center"/>
                </w:tcPr>
                <w:p w14:paraId="5E4F97B9">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464" w:type="pct"/>
                  <w:vMerge w:val="continue"/>
                  <w:tcBorders>
                    <w:tl2br w:val="nil"/>
                    <w:tr2bl w:val="nil"/>
                  </w:tcBorders>
                  <w:vAlign w:val="center"/>
                </w:tcPr>
                <w:p w14:paraId="63216C3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592" w:type="pct"/>
                  <w:vMerge w:val="continue"/>
                  <w:tcBorders>
                    <w:tl2br w:val="nil"/>
                    <w:tr2bl w:val="nil"/>
                  </w:tcBorders>
                  <w:vAlign w:val="center"/>
                </w:tcPr>
                <w:p w14:paraId="37EB3958">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716" w:type="pct"/>
                  <w:tcBorders>
                    <w:tl2br w:val="nil"/>
                    <w:tr2bl w:val="nil"/>
                  </w:tcBorders>
                  <w:vAlign w:val="center"/>
                </w:tcPr>
                <w:p w14:paraId="151FE17F">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1.7552</w:t>
                  </w:r>
                </w:p>
              </w:tc>
              <w:tc>
                <w:tcPr>
                  <w:tcW w:w="754" w:type="pct"/>
                  <w:tcBorders>
                    <w:tl2br w:val="nil"/>
                    <w:tr2bl w:val="nil"/>
                  </w:tcBorders>
                  <w:vAlign w:val="center"/>
                </w:tcPr>
                <w:p w14:paraId="05B1138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0.7522</w:t>
                  </w:r>
                </w:p>
              </w:tc>
            </w:tr>
            <w:tr w14:paraId="15F86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8" w:hRule="atLeast"/>
                <w:jc w:val="center"/>
              </w:trPr>
              <w:tc>
                <w:tcPr>
                  <w:tcW w:w="784" w:type="pct"/>
                  <w:tcBorders>
                    <w:tl2br w:val="nil"/>
                    <w:tr2bl w:val="nil"/>
                  </w:tcBorders>
                  <w:vAlign w:val="center"/>
                </w:tcPr>
                <w:p w14:paraId="588B9FA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lang w:val="en-US" w:eastAsia="zh-CN"/>
                    </w:rPr>
                    <w:t>冷床</w:t>
                  </w:r>
                </w:p>
              </w:tc>
              <w:tc>
                <w:tcPr>
                  <w:tcW w:w="656" w:type="pct"/>
                  <w:tcBorders>
                    <w:tl2br w:val="nil"/>
                    <w:tr2bl w:val="nil"/>
                  </w:tcBorders>
                  <w:vAlign w:val="center"/>
                </w:tcPr>
                <w:p w14:paraId="49D6F0B0">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105104</w:t>
                  </w:r>
                </w:p>
              </w:tc>
              <w:tc>
                <w:tcPr>
                  <w:tcW w:w="529" w:type="pct"/>
                  <w:vMerge w:val="continue"/>
                  <w:tcBorders>
                    <w:tl2br w:val="nil"/>
                    <w:tr2bl w:val="nil"/>
                  </w:tcBorders>
                  <w:vAlign w:val="center"/>
                </w:tcPr>
                <w:p w14:paraId="528981D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501" w:type="pct"/>
                  <w:vMerge w:val="continue"/>
                  <w:tcBorders>
                    <w:tl2br w:val="nil"/>
                    <w:tr2bl w:val="nil"/>
                  </w:tcBorders>
                  <w:vAlign w:val="center"/>
                </w:tcPr>
                <w:p w14:paraId="0D8F14C3">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464" w:type="pct"/>
                  <w:vMerge w:val="continue"/>
                  <w:tcBorders>
                    <w:tl2br w:val="nil"/>
                    <w:tr2bl w:val="nil"/>
                  </w:tcBorders>
                  <w:vAlign w:val="center"/>
                </w:tcPr>
                <w:p w14:paraId="00C968D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592" w:type="pct"/>
                  <w:vMerge w:val="continue"/>
                  <w:tcBorders>
                    <w:tl2br w:val="nil"/>
                    <w:tr2bl w:val="nil"/>
                  </w:tcBorders>
                  <w:vAlign w:val="center"/>
                </w:tcPr>
                <w:p w14:paraId="6D96863D">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716" w:type="pct"/>
                  <w:tcBorders>
                    <w:tl2br w:val="nil"/>
                    <w:tr2bl w:val="nil"/>
                  </w:tcBorders>
                  <w:vAlign w:val="center"/>
                </w:tcPr>
                <w:p w14:paraId="32591ECB">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3.0018</w:t>
                  </w:r>
                </w:p>
              </w:tc>
              <w:tc>
                <w:tcPr>
                  <w:tcW w:w="754" w:type="pct"/>
                  <w:tcBorders>
                    <w:tl2br w:val="nil"/>
                    <w:tr2bl w:val="nil"/>
                  </w:tcBorders>
                  <w:vAlign w:val="center"/>
                </w:tcPr>
                <w:p w14:paraId="17D9C92F">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1.2865</w:t>
                  </w:r>
                </w:p>
              </w:tc>
            </w:tr>
            <w:tr w14:paraId="24FE0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8" w:hRule="atLeast"/>
                <w:jc w:val="center"/>
              </w:trPr>
              <w:tc>
                <w:tcPr>
                  <w:tcW w:w="784" w:type="pct"/>
                  <w:tcBorders>
                    <w:tl2br w:val="nil"/>
                    <w:tr2bl w:val="nil"/>
                  </w:tcBorders>
                  <w:vAlign w:val="center"/>
                </w:tcPr>
                <w:p w14:paraId="520D0E9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lang w:val="en-US" w:eastAsia="zh-CN"/>
                    </w:rPr>
                    <w:t>牵引机</w:t>
                  </w:r>
                </w:p>
              </w:tc>
              <w:tc>
                <w:tcPr>
                  <w:tcW w:w="656" w:type="pct"/>
                  <w:tcBorders>
                    <w:tl2br w:val="nil"/>
                    <w:tr2bl w:val="nil"/>
                  </w:tcBorders>
                  <w:vAlign w:val="center"/>
                </w:tcPr>
                <w:p w14:paraId="685322E5">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137732</w:t>
                  </w:r>
                </w:p>
              </w:tc>
              <w:tc>
                <w:tcPr>
                  <w:tcW w:w="529" w:type="pct"/>
                  <w:vMerge w:val="continue"/>
                  <w:tcBorders>
                    <w:tl2br w:val="nil"/>
                    <w:tr2bl w:val="nil"/>
                  </w:tcBorders>
                  <w:vAlign w:val="center"/>
                </w:tcPr>
                <w:p w14:paraId="304E0155">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501" w:type="pct"/>
                  <w:vMerge w:val="continue"/>
                  <w:tcBorders>
                    <w:tl2br w:val="nil"/>
                    <w:tr2bl w:val="nil"/>
                  </w:tcBorders>
                  <w:vAlign w:val="center"/>
                </w:tcPr>
                <w:p w14:paraId="46D3DC8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464" w:type="pct"/>
                  <w:vMerge w:val="continue"/>
                  <w:tcBorders>
                    <w:tl2br w:val="nil"/>
                    <w:tr2bl w:val="nil"/>
                  </w:tcBorders>
                  <w:vAlign w:val="center"/>
                </w:tcPr>
                <w:p w14:paraId="43F8187D">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592" w:type="pct"/>
                  <w:vMerge w:val="continue"/>
                  <w:tcBorders>
                    <w:tl2br w:val="nil"/>
                    <w:tr2bl w:val="nil"/>
                  </w:tcBorders>
                  <w:vAlign w:val="center"/>
                </w:tcPr>
                <w:p w14:paraId="130AB5D8">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716" w:type="pct"/>
                  <w:tcBorders>
                    <w:tl2br w:val="nil"/>
                    <w:tr2bl w:val="nil"/>
                  </w:tcBorders>
                  <w:vAlign w:val="center"/>
                </w:tcPr>
                <w:p w14:paraId="7E852D3E">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3.9336</w:t>
                  </w:r>
                </w:p>
              </w:tc>
              <w:tc>
                <w:tcPr>
                  <w:tcW w:w="754" w:type="pct"/>
                  <w:tcBorders>
                    <w:tl2br w:val="nil"/>
                    <w:tr2bl w:val="nil"/>
                  </w:tcBorders>
                  <w:vAlign w:val="center"/>
                </w:tcPr>
                <w:p w14:paraId="25D61AAB">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1.6858</w:t>
                  </w:r>
                </w:p>
              </w:tc>
            </w:tr>
            <w:tr w14:paraId="01DAE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6" w:hRule="atLeast"/>
                <w:jc w:val="center"/>
              </w:trPr>
              <w:tc>
                <w:tcPr>
                  <w:tcW w:w="784" w:type="pct"/>
                  <w:vMerge w:val="restart"/>
                  <w:tcBorders>
                    <w:tl2br w:val="nil"/>
                    <w:tr2bl w:val="nil"/>
                  </w:tcBorders>
                  <w:vAlign w:val="center"/>
                </w:tcPr>
                <w:p w14:paraId="50DC971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合计</w:t>
                  </w:r>
                </w:p>
              </w:tc>
              <w:tc>
                <w:tcPr>
                  <w:tcW w:w="656" w:type="pct"/>
                  <w:vMerge w:val="restart"/>
                  <w:tcBorders>
                    <w:tl2br w:val="nil"/>
                    <w:tr2bl w:val="nil"/>
                  </w:tcBorders>
                  <w:vAlign w:val="center"/>
                </w:tcPr>
                <w:p w14:paraId="266A39BF">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542892</w:t>
                  </w:r>
                </w:p>
              </w:tc>
              <w:tc>
                <w:tcPr>
                  <w:tcW w:w="529" w:type="pct"/>
                  <w:vMerge w:val="restart"/>
                  <w:tcBorders>
                    <w:tl2br w:val="nil"/>
                    <w:tr2bl w:val="nil"/>
                  </w:tcBorders>
                  <w:vAlign w:val="center"/>
                </w:tcPr>
                <w:p w14:paraId="408BA63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r>
                    <w:rPr>
                      <w:rFonts w:hint="default" w:ascii="Times New Roman" w:hAnsi="Times New Roman" w:cs="Times New Roman"/>
                      <w:b w:val="0"/>
                      <w:bCs/>
                      <w:color w:val="auto"/>
                      <w:szCs w:val="21"/>
                      <w:lang w:val="en-US" w:eastAsia="zh-CN"/>
                    </w:rPr>
                    <w:t>/</w:t>
                  </w:r>
                </w:p>
              </w:tc>
              <w:tc>
                <w:tcPr>
                  <w:tcW w:w="501" w:type="pct"/>
                  <w:vMerge w:val="restart"/>
                  <w:tcBorders>
                    <w:tl2br w:val="nil"/>
                    <w:tr2bl w:val="nil"/>
                  </w:tcBorders>
                  <w:vAlign w:val="center"/>
                </w:tcPr>
                <w:p w14:paraId="502C612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lang w:val="en-US" w:eastAsia="zh-CN"/>
                    </w:rPr>
                    <w:t>/</w:t>
                  </w:r>
                </w:p>
              </w:tc>
              <w:tc>
                <w:tcPr>
                  <w:tcW w:w="464" w:type="pct"/>
                  <w:vMerge w:val="restart"/>
                  <w:tcBorders>
                    <w:tl2br w:val="nil"/>
                    <w:tr2bl w:val="nil"/>
                  </w:tcBorders>
                  <w:vAlign w:val="center"/>
                </w:tcPr>
                <w:p w14:paraId="3C55FA6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r>
                    <w:rPr>
                      <w:rFonts w:hint="default" w:ascii="Times New Roman" w:hAnsi="Times New Roman" w:cs="Times New Roman"/>
                      <w:b w:val="0"/>
                      <w:bCs/>
                      <w:color w:val="auto"/>
                      <w:szCs w:val="21"/>
                      <w:lang w:val="en-US" w:eastAsia="zh-CN"/>
                    </w:rPr>
                    <w:t>/</w:t>
                  </w:r>
                </w:p>
              </w:tc>
              <w:tc>
                <w:tcPr>
                  <w:tcW w:w="592" w:type="pct"/>
                  <w:vMerge w:val="restart"/>
                  <w:tcBorders>
                    <w:tl2br w:val="nil"/>
                    <w:tr2bl w:val="nil"/>
                  </w:tcBorders>
                  <w:vAlign w:val="center"/>
                </w:tcPr>
                <w:p w14:paraId="58AAD951">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r>
                    <w:rPr>
                      <w:rFonts w:hint="default" w:ascii="Times New Roman" w:hAnsi="Times New Roman" w:cs="Times New Roman"/>
                      <w:b w:val="0"/>
                      <w:bCs/>
                      <w:color w:val="auto"/>
                      <w:szCs w:val="21"/>
                      <w:lang w:val="en-US" w:eastAsia="zh-CN"/>
                    </w:rPr>
                    <w:t>/</w:t>
                  </w:r>
                </w:p>
              </w:tc>
              <w:tc>
                <w:tcPr>
                  <w:tcW w:w="716" w:type="pct"/>
                  <w:tcBorders>
                    <w:tl2br w:val="nil"/>
                    <w:tr2bl w:val="nil"/>
                  </w:tcBorders>
                  <w:vAlign w:val="center"/>
                </w:tcPr>
                <w:p w14:paraId="3D8419E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15.505</w:t>
                  </w:r>
                </w:p>
              </w:tc>
              <w:tc>
                <w:tcPr>
                  <w:tcW w:w="754" w:type="pct"/>
                  <w:tcBorders>
                    <w:tl2br w:val="nil"/>
                    <w:tr2bl w:val="nil"/>
                  </w:tcBorders>
                  <w:vAlign w:val="center"/>
                </w:tcPr>
                <w:p w14:paraId="0ECAB99A">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6.645</w:t>
                  </w:r>
                </w:p>
              </w:tc>
            </w:tr>
            <w:tr w14:paraId="2D8B1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784" w:type="pct"/>
                  <w:vMerge w:val="continue"/>
                  <w:tcBorders>
                    <w:tl2br w:val="nil"/>
                    <w:tr2bl w:val="nil"/>
                  </w:tcBorders>
                  <w:vAlign w:val="center"/>
                </w:tcPr>
                <w:p w14:paraId="3CB16330">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656" w:type="pct"/>
                  <w:vMerge w:val="continue"/>
                  <w:tcBorders>
                    <w:tl2br w:val="nil"/>
                    <w:tr2bl w:val="nil"/>
                  </w:tcBorders>
                  <w:vAlign w:val="center"/>
                </w:tcPr>
                <w:p w14:paraId="4F52A330">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529" w:type="pct"/>
                  <w:vMerge w:val="continue"/>
                  <w:tcBorders>
                    <w:tl2br w:val="nil"/>
                    <w:tr2bl w:val="nil"/>
                  </w:tcBorders>
                  <w:vAlign w:val="center"/>
                </w:tcPr>
                <w:p w14:paraId="53A710A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501" w:type="pct"/>
                  <w:vMerge w:val="continue"/>
                  <w:tcBorders>
                    <w:tl2br w:val="nil"/>
                    <w:tr2bl w:val="nil"/>
                  </w:tcBorders>
                  <w:vAlign w:val="center"/>
                </w:tcPr>
                <w:p w14:paraId="7CE10301">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464" w:type="pct"/>
                  <w:vMerge w:val="continue"/>
                  <w:tcBorders>
                    <w:tl2br w:val="nil"/>
                    <w:tr2bl w:val="nil"/>
                  </w:tcBorders>
                  <w:vAlign w:val="center"/>
                </w:tcPr>
                <w:p w14:paraId="5CB9DA7E">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592" w:type="pct"/>
                  <w:vMerge w:val="continue"/>
                  <w:tcBorders>
                    <w:tl2br w:val="nil"/>
                    <w:tr2bl w:val="nil"/>
                  </w:tcBorders>
                  <w:vAlign w:val="center"/>
                </w:tcPr>
                <w:p w14:paraId="619A0215">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rPr>
                  </w:pPr>
                </w:p>
              </w:tc>
              <w:tc>
                <w:tcPr>
                  <w:tcW w:w="1470" w:type="pct"/>
                  <w:gridSpan w:val="2"/>
                  <w:tcBorders>
                    <w:tl2br w:val="nil"/>
                    <w:tr2bl w:val="nil"/>
                  </w:tcBorders>
                  <w:vAlign w:val="center"/>
                </w:tcPr>
                <w:p w14:paraId="1FFF3A9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22.15</w:t>
                  </w:r>
                </w:p>
              </w:tc>
            </w:tr>
          </w:tbl>
          <w:p w14:paraId="633C2281">
            <w:pPr>
              <w:pStyle w:val="38"/>
              <w:bidi w:val="0"/>
              <w:rPr>
                <w:rFonts w:hint="default" w:ascii="Times New Roman" w:hAnsi="Times New Roman" w:cs="Times New Roman"/>
                <w:color w:val="auto"/>
              </w:rPr>
            </w:pPr>
          </w:p>
          <w:p w14:paraId="63E2BD08">
            <w:pPr>
              <w:pStyle w:val="38"/>
              <w:bidi w:val="0"/>
              <w:rPr>
                <w:rFonts w:hint="default" w:ascii="Times New Roman" w:hAnsi="Times New Roman" w:cs="Times New Roman"/>
                <w:color w:val="auto"/>
              </w:rPr>
            </w:pPr>
            <w:r>
              <w:rPr>
                <w:rFonts w:hint="default" w:ascii="Times New Roman" w:hAnsi="Times New Roman" w:cs="Times New Roman"/>
                <w:color w:val="auto"/>
              </w:rPr>
              <w:t>表2-1</w:t>
            </w:r>
            <w:r>
              <w:rPr>
                <w:rFonts w:hint="eastAsia" w:cs="Times New Roman"/>
                <w:color w:val="auto"/>
                <w:lang w:val="en-US" w:eastAsia="zh-CN"/>
              </w:rPr>
              <w:t>2</w:t>
            </w:r>
            <w:r>
              <w:rPr>
                <w:rFonts w:hint="default" w:ascii="Times New Roman" w:hAnsi="Times New Roman" w:cs="Times New Roman"/>
                <w:color w:val="auto"/>
              </w:rPr>
              <w:t xml:space="preserve">  面漆用量平衡表（t/a）</w:t>
            </w:r>
          </w:p>
          <w:tbl>
            <w:tblPr>
              <w:tblStyle w:val="32"/>
              <w:tblW w:w="5045"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112"/>
              <w:gridCol w:w="1590"/>
              <w:gridCol w:w="1452"/>
              <w:gridCol w:w="1966"/>
              <w:gridCol w:w="1486"/>
            </w:tblGrid>
            <w:tr w14:paraId="5EE7B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150" w:type="pct"/>
                  <w:gridSpan w:val="2"/>
                  <w:tcBorders>
                    <w:tl2br w:val="nil"/>
                    <w:tr2bl w:val="nil"/>
                  </w:tcBorders>
                  <w:vAlign w:val="center"/>
                </w:tcPr>
                <w:p w14:paraId="0C7AD18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投入</w:t>
                  </w:r>
                </w:p>
              </w:tc>
              <w:tc>
                <w:tcPr>
                  <w:tcW w:w="2849" w:type="pct"/>
                  <w:gridSpan w:val="3"/>
                  <w:tcBorders>
                    <w:tl2br w:val="nil"/>
                    <w:tr2bl w:val="nil"/>
                  </w:tcBorders>
                  <w:vAlign w:val="center"/>
                </w:tcPr>
                <w:p w14:paraId="5EC5A21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产出</w:t>
                  </w:r>
                </w:p>
              </w:tc>
            </w:tr>
            <w:tr w14:paraId="58DB7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227" w:type="pct"/>
                  <w:tcBorders>
                    <w:tl2br w:val="nil"/>
                    <w:tr2bl w:val="nil"/>
                  </w:tcBorders>
                  <w:vAlign w:val="center"/>
                </w:tcPr>
                <w:p w14:paraId="7A953B8E">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物料名称</w:t>
                  </w:r>
                </w:p>
              </w:tc>
              <w:tc>
                <w:tcPr>
                  <w:tcW w:w="923" w:type="pct"/>
                  <w:tcBorders>
                    <w:tl2br w:val="nil"/>
                    <w:tr2bl w:val="nil"/>
                  </w:tcBorders>
                  <w:vAlign w:val="center"/>
                </w:tcPr>
                <w:p w14:paraId="4A1AA68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数量</w:t>
                  </w:r>
                </w:p>
              </w:tc>
              <w:tc>
                <w:tcPr>
                  <w:tcW w:w="1986" w:type="pct"/>
                  <w:gridSpan w:val="2"/>
                  <w:tcBorders>
                    <w:tl2br w:val="nil"/>
                    <w:tr2bl w:val="nil"/>
                  </w:tcBorders>
                  <w:vAlign w:val="center"/>
                </w:tcPr>
                <w:p w14:paraId="7B73714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物料名称</w:t>
                  </w:r>
                </w:p>
              </w:tc>
              <w:tc>
                <w:tcPr>
                  <w:tcW w:w="863" w:type="pct"/>
                  <w:tcBorders>
                    <w:tl2br w:val="nil"/>
                    <w:tr2bl w:val="nil"/>
                  </w:tcBorders>
                  <w:vAlign w:val="center"/>
                </w:tcPr>
                <w:p w14:paraId="16CD30F2">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数量</w:t>
                  </w:r>
                </w:p>
              </w:tc>
            </w:tr>
            <w:tr w14:paraId="34FB5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227" w:type="pct"/>
                  <w:tcBorders>
                    <w:tl2br w:val="nil"/>
                    <w:tr2bl w:val="nil"/>
                  </w:tcBorders>
                  <w:vAlign w:val="center"/>
                </w:tcPr>
                <w:p w14:paraId="28BF51D6">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val="0"/>
                      <w:color w:val="auto"/>
                      <w:lang w:val="en-US" w:eastAsia="zh-CN"/>
                    </w:rPr>
                    <w:t>固体份8</w:t>
                  </w:r>
                  <w:r>
                    <w:rPr>
                      <w:rFonts w:hint="eastAsia" w:ascii="Times New Roman" w:hAnsi="Times New Roman" w:cs="Times New Roman"/>
                      <w:b w:val="0"/>
                      <w:bCs w:val="0"/>
                      <w:color w:val="auto"/>
                      <w:lang w:val="en-US" w:eastAsia="zh-CN"/>
                    </w:rPr>
                    <w:t>8.96</w:t>
                  </w:r>
                  <w:r>
                    <w:rPr>
                      <w:rFonts w:hint="default" w:ascii="Times New Roman" w:hAnsi="Times New Roman" w:cs="Times New Roman"/>
                      <w:b w:val="0"/>
                      <w:bCs w:val="0"/>
                      <w:color w:val="auto"/>
                      <w:lang w:val="en-US" w:eastAsia="zh-CN"/>
                    </w:rPr>
                    <w:t>%</w:t>
                  </w:r>
                </w:p>
              </w:tc>
              <w:tc>
                <w:tcPr>
                  <w:tcW w:w="923" w:type="pct"/>
                  <w:tcBorders>
                    <w:tl2br w:val="nil"/>
                    <w:tr2bl w:val="nil"/>
                  </w:tcBorders>
                  <w:vAlign w:val="center"/>
                </w:tcPr>
                <w:p w14:paraId="4EB346BF">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lang w:val="en-US" w:eastAsia="zh-CN"/>
                    </w:rPr>
                    <w:t>19.70</w:t>
                  </w:r>
                  <w:r>
                    <w:rPr>
                      <w:rFonts w:hint="eastAsia" w:ascii="Times New Roman" w:hAnsi="Times New Roman" w:cs="Times New Roman"/>
                      <w:b w:val="0"/>
                      <w:bCs/>
                      <w:color w:val="auto"/>
                      <w:szCs w:val="21"/>
                      <w:lang w:val="en-US" w:eastAsia="zh-CN"/>
                    </w:rPr>
                    <w:t>46</w:t>
                  </w:r>
                </w:p>
              </w:tc>
              <w:tc>
                <w:tcPr>
                  <w:tcW w:w="1986" w:type="pct"/>
                  <w:gridSpan w:val="2"/>
                  <w:tcBorders>
                    <w:tl2br w:val="nil"/>
                    <w:tr2bl w:val="nil"/>
                  </w:tcBorders>
                  <w:vAlign w:val="center"/>
                </w:tcPr>
                <w:p w14:paraId="03BFA8E3">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color w:val="auto"/>
                      <w:szCs w:val="21"/>
                    </w:rPr>
                  </w:pPr>
                  <w:r>
                    <w:rPr>
                      <w:rFonts w:hint="default" w:ascii="Times New Roman" w:hAnsi="Times New Roman" w:cs="Times New Roman"/>
                      <w:b w:val="0"/>
                      <w:bCs/>
                      <w:color w:val="auto"/>
                      <w:szCs w:val="21"/>
                    </w:rPr>
                    <w:t>进入产品</w:t>
                  </w:r>
                </w:p>
              </w:tc>
              <w:tc>
                <w:tcPr>
                  <w:tcW w:w="863" w:type="pct"/>
                  <w:tcBorders>
                    <w:tl2br w:val="nil"/>
                    <w:tr2bl w:val="nil"/>
                  </w:tcBorders>
                  <w:vAlign w:val="center"/>
                </w:tcPr>
                <w:p w14:paraId="6ABECE4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13.7932</w:t>
                  </w:r>
                </w:p>
              </w:tc>
            </w:tr>
            <w:tr w14:paraId="2017F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227" w:type="pct"/>
                  <w:tcBorders>
                    <w:tl2br w:val="nil"/>
                    <w:tr2bl w:val="nil"/>
                  </w:tcBorders>
                  <w:vAlign w:val="center"/>
                </w:tcPr>
                <w:p w14:paraId="71C998F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val="0"/>
                      <w:color w:val="auto"/>
                      <w:lang w:val="en-US" w:eastAsia="zh-CN"/>
                    </w:rPr>
                    <w:t>水</w:t>
                  </w:r>
                  <w:r>
                    <w:rPr>
                      <w:rFonts w:hint="eastAsia" w:ascii="Times New Roman" w:hAnsi="Times New Roman" w:cs="Times New Roman"/>
                      <w:b w:val="0"/>
                      <w:bCs w:val="0"/>
                      <w:color w:val="auto"/>
                      <w:lang w:val="en-US" w:eastAsia="zh-CN"/>
                    </w:rPr>
                    <w:t>分8.0</w:t>
                  </w:r>
                  <w:r>
                    <w:rPr>
                      <w:rFonts w:hint="default" w:ascii="Times New Roman" w:hAnsi="Times New Roman" w:cs="Times New Roman"/>
                      <w:b w:val="0"/>
                      <w:bCs w:val="0"/>
                      <w:color w:val="auto"/>
                      <w:lang w:val="en-US" w:eastAsia="zh-CN"/>
                    </w:rPr>
                    <w:t>0%</w:t>
                  </w:r>
                </w:p>
              </w:tc>
              <w:tc>
                <w:tcPr>
                  <w:tcW w:w="923" w:type="pct"/>
                  <w:tcBorders>
                    <w:tl2br w:val="nil"/>
                    <w:tr2bl w:val="nil"/>
                  </w:tcBorders>
                  <w:vAlign w:val="center"/>
                </w:tcPr>
                <w:p w14:paraId="5DFE321E">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1.772</w:t>
                  </w:r>
                </w:p>
              </w:tc>
              <w:tc>
                <w:tcPr>
                  <w:tcW w:w="1986" w:type="pct"/>
                  <w:gridSpan w:val="2"/>
                  <w:tcBorders>
                    <w:tl2br w:val="nil"/>
                    <w:tr2bl w:val="nil"/>
                  </w:tcBorders>
                  <w:vAlign w:val="center"/>
                </w:tcPr>
                <w:p w14:paraId="48F9DED9">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lang w:val="en-US" w:eastAsia="zh-CN"/>
                    </w:rPr>
                    <w:t>水</w:t>
                  </w:r>
                  <w:r>
                    <w:rPr>
                      <w:rFonts w:hint="eastAsia" w:ascii="Times New Roman" w:hAnsi="Times New Roman" w:cs="Times New Roman"/>
                      <w:b w:val="0"/>
                      <w:bCs/>
                      <w:color w:val="auto"/>
                      <w:szCs w:val="21"/>
                      <w:lang w:val="en-US" w:eastAsia="zh-CN"/>
                    </w:rPr>
                    <w:t>分</w:t>
                  </w:r>
                </w:p>
              </w:tc>
              <w:tc>
                <w:tcPr>
                  <w:tcW w:w="863" w:type="pct"/>
                  <w:tcBorders>
                    <w:tl2br w:val="nil"/>
                    <w:tr2bl w:val="nil"/>
                  </w:tcBorders>
                  <w:vAlign w:val="center"/>
                </w:tcPr>
                <w:p w14:paraId="34E714DB">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1.772</w:t>
                  </w:r>
                </w:p>
              </w:tc>
            </w:tr>
            <w:tr w14:paraId="21769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 w:hRule="atLeast"/>
                <w:jc w:val="center"/>
              </w:trPr>
              <w:tc>
                <w:tcPr>
                  <w:tcW w:w="1227" w:type="pct"/>
                  <w:tcBorders>
                    <w:tl2br w:val="nil"/>
                    <w:tr2bl w:val="nil"/>
                  </w:tcBorders>
                  <w:vAlign w:val="center"/>
                </w:tcPr>
                <w:p w14:paraId="0C7E5EC3">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val="0"/>
                      <w:color w:val="auto"/>
                      <w:lang w:val="en-US" w:eastAsia="zh-CN"/>
                    </w:rPr>
                    <w:t>挥发份</w:t>
                  </w:r>
                  <w:r>
                    <w:rPr>
                      <w:rFonts w:hint="eastAsia" w:ascii="Times New Roman" w:hAnsi="Times New Roman" w:cs="Times New Roman"/>
                      <w:b w:val="0"/>
                      <w:bCs w:val="0"/>
                      <w:color w:val="auto"/>
                      <w:lang w:val="en-US" w:eastAsia="zh-CN"/>
                    </w:rPr>
                    <w:t>3.04</w:t>
                  </w:r>
                  <w:r>
                    <w:rPr>
                      <w:rFonts w:hint="default" w:ascii="Times New Roman" w:hAnsi="Times New Roman" w:cs="Times New Roman"/>
                      <w:b w:val="0"/>
                      <w:bCs w:val="0"/>
                      <w:color w:val="auto"/>
                      <w:lang w:val="en-US" w:eastAsia="zh-CN"/>
                    </w:rPr>
                    <w:t>%</w:t>
                  </w:r>
                </w:p>
              </w:tc>
              <w:tc>
                <w:tcPr>
                  <w:tcW w:w="923" w:type="pct"/>
                  <w:tcBorders>
                    <w:tl2br w:val="nil"/>
                    <w:tr2bl w:val="nil"/>
                  </w:tcBorders>
                  <w:vAlign w:val="center"/>
                </w:tcPr>
                <w:p w14:paraId="67060AD2">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lang w:val="en-US" w:eastAsia="zh-CN"/>
                    </w:rPr>
                    <w:t>0.673</w:t>
                  </w:r>
                  <w:r>
                    <w:rPr>
                      <w:rFonts w:hint="eastAsia" w:ascii="Times New Roman" w:hAnsi="Times New Roman" w:cs="Times New Roman"/>
                      <w:b w:val="0"/>
                      <w:bCs/>
                      <w:color w:val="auto"/>
                      <w:szCs w:val="21"/>
                      <w:lang w:val="en-US" w:eastAsia="zh-CN"/>
                    </w:rPr>
                    <w:t>4</w:t>
                  </w:r>
                </w:p>
              </w:tc>
              <w:tc>
                <w:tcPr>
                  <w:tcW w:w="843" w:type="pct"/>
                  <w:vMerge w:val="restart"/>
                  <w:tcBorders>
                    <w:tl2br w:val="nil"/>
                    <w:tr2bl w:val="nil"/>
                  </w:tcBorders>
                  <w:vAlign w:val="center"/>
                </w:tcPr>
                <w:p w14:paraId="610C5E6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color w:val="auto"/>
                      <w:szCs w:val="21"/>
                    </w:rPr>
                  </w:pPr>
                  <w:r>
                    <w:rPr>
                      <w:rFonts w:hint="default" w:ascii="Times New Roman" w:hAnsi="Times New Roman" w:cs="Times New Roman"/>
                      <w:b w:val="0"/>
                      <w:bCs/>
                      <w:color w:val="auto"/>
                      <w:szCs w:val="21"/>
                    </w:rPr>
                    <w:t>废气（</w:t>
                  </w:r>
                  <w:r>
                    <w:rPr>
                      <w:rFonts w:hint="default" w:ascii="Times New Roman" w:hAnsi="Times New Roman" w:cs="Times New Roman"/>
                      <w:b w:val="0"/>
                      <w:bCs/>
                      <w:color w:val="auto"/>
                      <w:szCs w:val="21"/>
                      <w:lang w:val="en-US" w:eastAsia="zh-CN"/>
                    </w:rPr>
                    <w:t>喷漆</w:t>
                  </w:r>
                  <w:r>
                    <w:rPr>
                      <w:rFonts w:hint="default" w:ascii="Times New Roman" w:hAnsi="Times New Roman" w:cs="Times New Roman"/>
                      <w:b w:val="0"/>
                      <w:bCs/>
                      <w:color w:val="auto"/>
                      <w:szCs w:val="21"/>
                    </w:rPr>
                    <w:t>、晾干）</w:t>
                  </w:r>
                  <w:r>
                    <w:rPr>
                      <w:rFonts w:hint="default" w:ascii="Times New Roman" w:hAnsi="Times New Roman" w:cs="Times New Roman"/>
                      <w:b w:val="0"/>
                      <w:bCs/>
                      <w:color w:val="auto"/>
                      <w:szCs w:val="21"/>
                      <w:lang w:val="en-US" w:eastAsia="zh-CN"/>
                    </w:rPr>
                    <w:t>中VOC</w:t>
                  </w:r>
                </w:p>
              </w:tc>
              <w:tc>
                <w:tcPr>
                  <w:tcW w:w="1142" w:type="pct"/>
                  <w:tcBorders>
                    <w:tl2br w:val="nil"/>
                    <w:tr2bl w:val="nil"/>
                  </w:tcBorders>
                  <w:vAlign w:val="center"/>
                </w:tcPr>
                <w:p w14:paraId="130BC876">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lang w:val="en-US" w:eastAsia="zh-CN"/>
                    </w:rPr>
                    <w:t>活性炭吸附</w:t>
                  </w:r>
                </w:p>
              </w:tc>
              <w:tc>
                <w:tcPr>
                  <w:tcW w:w="863" w:type="pct"/>
                  <w:tcBorders>
                    <w:tl2br w:val="nil"/>
                    <w:tr2bl w:val="nil"/>
                  </w:tcBorders>
                  <w:vAlign w:val="center"/>
                </w:tcPr>
                <w:p w14:paraId="328E8AFB">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0.6000</w:t>
                  </w:r>
                </w:p>
              </w:tc>
            </w:tr>
            <w:tr w14:paraId="17905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9" w:hRule="atLeast"/>
                <w:jc w:val="center"/>
              </w:trPr>
              <w:tc>
                <w:tcPr>
                  <w:tcW w:w="2150" w:type="pct"/>
                  <w:gridSpan w:val="2"/>
                  <w:vMerge w:val="restart"/>
                  <w:tcBorders>
                    <w:tl2br w:val="nil"/>
                    <w:tr2bl w:val="nil"/>
                  </w:tcBorders>
                  <w:vAlign w:val="center"/>
                </w:tcPr>
                <w:p w14:paraId="1D24C94A">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843" w:type="pct"/>
                  <w:vMerge w:val="continue"/>
                  <w:tcBorders>
                    <w:tl2br w:val="nil"/>
                    <w:tr2bl w:val="nil"/>
                  </w:tcBorders>
                  <w:vAlign w:val="center"/>
                </w:tcPr>
                <w:p w14:paraId="6983ACB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rPr>
                  </w:pPr>
                </w:p>
              </w:tc>
              <w:tc>
                <w:tcPr>
                  <w:tcW w:w="1142" w:type="pct"/>
                  <w:tcBorders>
                    <w:tl2br w:val="nil"/>
                    <w:tr2bl w:val="nil"/>
                  </w:tcBorders>
                  <w:vAlign w:val="center"/>
                </w:tcPr>
                <w:p w14:paraId="350EF78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default" w:ascii="Times New Roman" w:hAnsi="Times New Roman" w:cs="Times New Roman"/>
                      <w:b w:val="0"/>
                      <w:bCs/>
                      <w:color w:val="auto"/>
                      <w:szCs w:val="21"/>
                      <w:lang w:val="en-US" w:eastAsia="zh-CN"/>
                    </w:rPr>
                    <w:t>有组织排放</w:t>
                  </w:r>
                </w:p>
              </w:tc>
              <w:tc>
                <w:tcPr>
                  <w:tcW w:w="863" w:type="pct"/>
                  <w:tcBorders>
                    <w:tl2br w:val="nil"/>
                    <w:tr2bl w:val="nil"/>
                  </w:tcBorders>
                  <w:vAlign w:val="center"/>
                </w:tcPr>
                <w:p w14:paraId="274C7AF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0.0667</w:t>
                  </w:r>
                </w:p>
              </w:tc>
            </w:tr>
            <w:tr w14:paraId="315C7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150" w:type="pct"/>
                  <w:gridSpan w:val="2"/>
                  <w:vMerge w:val="continue"/>
                  <w:tcBorders>
                    <w:tl2br w:val="nil"/>
                    <w:tr2bl w:val="nil"/>
                  </w:tcBorders>
                  <w:vAlign w:val="center"/>
                </w:tcPr>
                <w:p w14:paraId="07AE6DEE">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p>
              </w:tc>
              <w:tc>
                <w:tcPr>
                  <w:tcW w:w="843" w:type="pct"/>
                  <w:vMerge w:val="continue"/>
                  <w:tcBorders>
                    <w:tl2br w:val="nil"/>
                    <w:tr2bl w:val="nil"/>
                  </w:tcBorders>
                  <w:vAlign w:val="center"/>
                </w:tcPr>
                <w:p w14:paraId="6882C83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rPr>
                  </w:pPr>
                </w:p>
              </w:tc>
              <w:tc>
                <w:tcPr>
                  <w:tcW w:w="1142" w:type="pct"/>
                  <w:tcBorders>
                    <w:tl2br w:val="nil"/>
                    <w:tr2bl w:val="nil"/>
                  </w:tcBorders>
                  <w:vAlign w:val="center"/>
                </w:tcPr>
                <w:p w14:paraId="6FCCC9C4">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lang w:val="en-US" w:eastAsia="zh-CN"/>
                    </w:rPr>
                  </w:pPr>
                  <w:r>
                    <w:rPr>
                      <w:rFonts w:hint="default" w:ascii="Times New Roman" w:hAnsi="Times New Roman" w:cs="Times New Roman"/>
                      <w:b w:val="0"/>
                      <w:bCs/>
                      <w:color w:val="auto"/>
                      <w:szCs w:val="21"/>
                      <w:lang w:val="en-US" w:eastAsia="zh-CN"/>
                    </w:rPr>
                    <w:t>无组织排放</w:t>
                  </w:r>
                </w:p>
              </w:tc>
              <w:tc>
                <w:tcPr>
                  <w:tcW w:w="863" w:type="pct"/>
                  <w:tcBorders>
                    <w:tl2br w:val="nil"/>
                    <w:tr2bl w:val="nil"/>
                  </w:tcBorders>
                  <w:vAlign w:val="center"/>
                </w:tcPr>
                <w:p w14:paraId="7429E56E">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0.0067</w:t>
                  </w:r>
                </w:p>
              </w:tc>
            </w:tr>
            <w:tr w14:paraId="43460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150" w:type="pct"/>
                  <w:gridSpan w:val="2"/>
                  <w:vMerge w:val="continue"/>
                  <w:tcBorders>
                    <w:tl2br w:val="nil"/>
                    <w:tr2bl w:val="nil"/>
                  </w:tcBorders>
                  <w:vAlign w:val="center"/>
                </w:tcPr>
                <w:p w14:paraId="524F50B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843" w:type="pct"/>
                  <w:vMerge w:val="restart"/>
                  <w:tcBorders>
                    <w:tl2br w:val="nil"/>
                    <w:tr2bl w:val="nil"/>
                  </w:tcBorders>
                  <w:vAlign w:val="center"/>
                </w:tcPr>
                <w:p w14:paraId="064648C3">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color w:val="auto"/>
                      <w:szCs w:val="21"/>
                    </w:rPr>
                  </w:pPr>
                  <w:r>
                    <w:rPr>
                      <w:rFonts w:hint="default" w:ascii="Times New Roman" w:hAnsi="Times New Roman" w:cs="Times New Roman"/>
                      <w:b w:val="0"/>
                      <w:bCs/>
                      <w:color w:val="auto"/>
                      <w:szCs w:val="21"/>
                    </w:rPr>
                    <w:t>损耗固体份</w:t>
                  </w:r>
                </w:p>
              </w:tc>
              <w:tc>
                <w:tcPr>
                  <w:tcW w:w="1142" w:type="pct"/>
                  <w:tcBorders>
                    <w:tl2br w:val="nil"/>
                    <w:tr2bl w:val="nil"/>
                  </w:tcBorders>
                  <w:vAlign w:val="center"/>
                </w:tcPr>
                <w:p w14:paraId="04ADF69C">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rPr>
                  </w:pPr>
                  <w:r>
                    <w:rPr>
                      <w:rFonts w:hint="eastAsia" w:ascii="Times New Roman" w:hAnsi="Times New Roman" w:cs="Times New Roman"/>
                      <w:b w:val="0"/>
                      <w:bCs/>
                      <w:color w:val="auto"/>
                      <w:szCs w:val="21"/>
                      <w:lang w:val="en-US" w:eastAsia="zh-CN"/>
                    </w:rPr>
                    <w:t>过滤装置</w:t>
                  </w:r>
                  <w:r>
                    <w:rPr>
                      <w:rFonts w:hint="default" w:ascii="Times New Roman" w:hAnsi="Times New Roman" w:cs="Times New Roman"/>
                      <w:b w:val="0"/>
                      <w:bCs/>
                      <w:color w:val="auto"/>
                      <w:szCs w:val="21"/>
                      <w:lang w:val="en-US" w:eastAsia="zh-CN"/>
                    </w:rPr>
                    <w:t>截留</w:t>
                  </w:r>
                </w:p>
              </w:tc>
              <w:tc>
                <w:tcPr>
                  <w:tcW w:w="863" w:type="pct"/>
                  <w:tcBorders>
                    <w:tl2br w:val="nil"/>
                    <w:tr2bl w:val="nil"/>
                  </w:tcBorders>
                  <w:vAlign w:val="center"/>
                </w:tcPr>
                <w:p w14:paraId="3FA54B49">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4.4459</w:t>
                  </w:r>
                </w:p>
              </w:tc>
            </w:tr>
            <w:tr w14:paraId="40C11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150" w:type="pct"/>
                  <w:gridSpan w:val="2"/>
                  <w:vMerge w:val="continue"/>
                  <w:tcBorders>
                    <w:tl2br w:val="nil"/>
                    <w:tr2bl w:val="nil"/>
                  </w:tcBorders>
                  <w:vAlign w:val="center"/>
                </w:tcPr>
                <w:p w14:paraId="0F2A613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843" w:type="pct"/>
                  <w:vMerge w:val="continue"/>
                  <w:tcBorders>
                    <w:tl2br w:val="nil"/>
                    <w:tr2bl w:val="nil"/>
                  </w:tcBorders>
                  <w:vAlign w:val="center"/>
                </w:tcPr>
                <w:p w14:paraId="77E03C4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rPr>
                  </w:pPr>
                </w:p>
              </w:tc>
              <w:tc>
                <w:tcPr>
                  <w:tcW w:w="1142" w:type="pct"/>
                  <w:tcBorders>
                    <w:tl2br w:val="nil"/>
                    <w:tr2bl w:val="nil"/>
                  </w:tcBorders>
                  <w:vAlign w:val="center"/>
                </w:tcPr>
                <w:p w14:paraId="54804406">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default" w:ascii="Times New Roman" w:hAnsi="Times New Roman" w:cs="Times New Roman"/>
                      <w:b w:val="0"/>
                      <w:bCs/>
                      <w:color w:val="auto"/>
                      <w:szCs w:val="21"/>
                      <w:lang w:val="en-US" w:eastAsia="zh-CN"/>
                    </w:rPr>
                    <w:t>有组织排放</w:t>
                  </w:r>
                </w:p>
              </w:tc>
              <w:tc>
                <w:tcPr>
                  <w:tcW w:w="863" w:type="pct"/>
                  <w:tcBorders>
                    <w:tl2br w:val="nil"/>
                    <w:tr2bl w:val="nil"/>
                  </w:tcBorders>
                  <w:vAlign w:val="center"/>
                </w:tcPr>
                <w:p w14:paraId="5EE0F71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0.234</w:t>
                  </w:r>
                </w:p>
              </w:tc>
            </w:tr>
            <w:tr w14:paraId="2E43E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150" w:type="pct"/>
                  <w:gridSpan w:val="2"/>
                  <w:vMerge w:val="continue"/>
                  <w:tcBorders>
                    <w:tl2br w:val="nil"/>
                    <w:tr2bl w:val="nil"/>
                  </w:tcBorders>
                  <w:vAlign w:val="center"/>
                </w:tcPr>
                <w:p w14:paraId="6A09F228">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843" w:type="pct"/>
                  <w:vMerge w:val="continue"/>
                  <w:tcBorders>
                    <w:tl2br w:val="nil"/>
                    <w:tr2bl w:val="nil"/>
                  </w:tcBorders>
                  <w:vAlign w:val="center"/>
                </w:tcPr>
                <w:p w14:paraId="605E2D7C">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rPr>
                  </w:pPr>
                </w:p>
              </w:tc>
              <w:tc>
                <w:tcPr>
                  <w:tcW w:w="1142" w:type="pct"/>
                  <w:tcBorders>
                    <w:tl2br w:val="nil"/>
                    <w:tr2bl w:val="nil"/>
                  </w:tcBorders>
                  <w:vAlign w:val="center"/>
                </w:tcPr>
                <w:p w14:paraId="6C9C2CB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default" w:ascii="Times New Roman" w:hAnsi="Times New Roman" w:cs="Times New Roman"/>
                      <w:b w:val="0"/>
                      <w:bCs/>
                      <w:color w:val="auto"/>
                      <w:szCs w:val="21"/>
                      <w:lang w:val="en-US" w:eastAsia="zh-CN"/>
                    </w:rPr>
                    <w:t>漆渣</w:t>
                  </w:r>
                </w:p>
              </w:tc>
              <w:tc>
                <w:tcPr>
                  <w:tcW w:w="863" w:type="pct"/>
                  <w:tcBorders>
                    <w:tl2br w:val="nil"/>
                    <w:tr2bl w:val="nil"/>
                  </w:tcBorders>
                  <w:vAlign w:val="center"/>
                </w:tcPr>
                <w:p w14:paraId="4326390E">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0.2463</w:t>
                  </w:r>
                </w:p>
              </w:tc>
            </w:tr>
            <w:tr w14:paraId="1CD95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150" w:type="pct"/>
                  <w:gridSpan w:val="2"/>
                  <w:vMerge w:val="continue"/>
                  <w:tcBorders>
                    <w:tl2br w:val="nil"/>
                    <w:tr2bl w:val="nil"/>
                  </w:tcBorders>
                  <w:vAlign w:val="center"/>
                </w:tcPr>
                <w:p w14:paraId="1025CEB8">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843" w:type="pct"/>
                  <w:vMerge w:val="continue"/>
                  <w:tcBorders>
                    <w:tl2br w:val="nil"/>
                    <w:tr2bl w:val="nil"/>
                  </w:tcBorders>
                  <w:vAlign w:val="center"/>
                </w:tcPr>
                <w:p w14:paraId="526CDE2E">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rPr>
                  </w:pPr>
                </w:p>
              </w:tc>
              <w:tc>
                <w:tcPr>
                  <w:tcW w:w="1142" w:type="pct"/>
                  <w:tcBorders>
                    <w:tl2br w:val="nil"/>
                    <w:tr2bl w:val="nil"/>
                  </w:tcBorders>
                  <w:vAlign w:val="center"/>
                </w:tcPr>
                <w:p w14:paraId="7AB5716A">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油漆桶残留</w:t>
                  </w:r>
                </w:p>
              </w:tc>
              <w:tc>
                <w:tcPr>
                  <w:tcW w:w="863" w:type="pct"/>
                  <w:tcBorders>
                    <w:tl2br w:val="nil"/>
                    <w:tr2bl w:val="nil"/>
                  </w:tcBorders>
                  <w:vAlign w:val="center"/>
                </w:tcPr>
                <w:p w14:paraId="36F30504">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0.9852</w:t>
                  </w:r>
                </w:p>
              </w:tc>
            </w:tr>
            <w:tr w14:paraId="19936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227" w:type="pct"/>
                  <w:tcBorders>
                    <w:tl2br w:val="nil"/>
                    <w:tr2bl w:val="nil"/>
                  </w:tcBorders>
                  <w:vAlign w:val="center"/>
                </w:tcPr>
                <w:p w14:paraId="72A97979">
                  <w:pPr>
                    <w:pStyle w:val="37"/>
                    <w:keepNext w:val="0"/>
                    <w:keepLines w:val="0"/>
                    <w:pageBreakBefore w:val="0"/>
                    <w:widowControl/>
                    <w:kinsoku/>
                    <w:wordWrap/>
                    <w:overflowPunct/>
                    <w:topLinePunct w:val="0"/>
                    <w:autoSpaceDE/>
                    <w:autoSpaceDN/>
                    <w:bidi w:val="0"/>
                    <w:adjustRightInd w:val="0"/>
                    <w:snapToGrid w:val="0"/>
                    <w:spacing w:before="0" w:after="0" w:line="240" w:lineRule="auto"/>
                    <w:ind w:right="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lang w:eastAsia="zh-CN"/>
                    </w:rPr>
                    <w:t>合计</w:t>
                  </w:r>
                </w:p>
              </w:tc>
              <w:tc>
                <w:tcPr>
                  <w:tcW w:w="923" w:type="pct"/>
                  <w:tcBorders>
                    <w:tl2br w:val="nil"/>
                    <w:tr2bl w:val="nil"/>
                  </w:tcBorders>
                  <w:vAlign w:val="center"/>
                </w:tcPr>
                <w:p w14:paraId="6AA5FFC8">
                  <w:pPr>
                    <w:pStyle w:val="37"/>
                    <w:keepNext w:val="0"/>
                    <w:keepLines w:val="0"/>
                    <w:pageBreakBefore w:val="0"/>
                    <w:widowControl/>
                    <w:kinsoku/>
                    <w:wordWrap/>
                    <w:overflowPunct/>
                    <w:topLinePunct w:val="0"/>
                    <w:autoSpaceDE/>
                    <w:autoSpaceDN/>
                    <w:bidi w:val="0"/>
                    <w:adjustRightInd w:val="0"/>
                    <w:snapToGrid w:val="0"/>
                    <w:spacing w:before="0" w:after="0" w:line="240" w:lineRule="auto"/>
                    <w:ind w:right="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22.15</w:t>
                  </w:r>
                </w:p>
              </w:tc>
              <w:tc>
                <w:tcPr>
                  <w:tcW w:w="1986" w:type="pct"/>
                  <w:gridSpan w:val="2"/>
                  <w:tcBorders>
                    <w:tl2br w:val="nil"/>
                    <w:tr2bl w:val="nil"/>
                  </w:tcBorders>
                  <w:vAlign w:val="center"/>
                </w:tcPr>
                <w:p w14:paraId="7D5279FD">
                  <w:pPr>
                    <w:pStyle w:val="37"/>
                    <w:keepNext w:val="0"/>
                    <w:keepLines w:val="0"/>
                    <w:pageBreakBefore w:val="0"/>
                    <w:widowControl/>
                    <w:kinsoku/>
                    <w:wordWrap/>
                    <w:overflowPunct/>
                    <w:topLinePunct w:val="0"/>
                    <w:autoSpaceDE/>
                    <w:autoSpaceDN/>
                    <w:bidi w:val="0"/>
                    <w:adjustRightInd w:val="0"/>
                    <w:snapToGrid w:val="0"/>
                    <w:spacing w:before="0" w:after="0" w:line="240" w:lineRule="auto"/>
                    <w:ind w:right="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lang w:eastAsia="zh-CN"/>
                    </w:rPr>
                    <w:t>合计</w:t>
                  </w:r>
                </w:p>
              </w:tc>
              <w:tc>
                <w:tcPr>
                  <w:tcW w:w="863" w:type="pct"/>
                  <w:tcBorders>
                    <w:tl2br w:val="nil"/>
                    <w:tr2bl w:val="nil"/>
                  </w:tcBorders>
                  <w:vAlign w:val="center"/>
                </w:tcPr>
                <w:p w14:paraId="601ED30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22.15</w:t>
                  </w:r>
                </w:p>
              </w:tc>
            </w:tr>
          </w:tbl>
          <w:p w14:paraId="462A4AFD">
            <w:pPr>
              <w:pStyle w:val="38"/>
              <w:spacing w:before="0" w:after="0" w:line="240" w:lineRule="auto"/>
              <w:ind w:right="0" w:firstLine="0" w:firstLineChars="0"/>
              <w:rPr>
                <w:rFonts w:hint="default" w:ascii="Times New Roman" w:hAnsi="Times New Roman" w:cs="Times New Roman"/>
                <w:color w:val="auto"/>
              </w:rPr>
            </w:pPr>
            <w:r>
              <w:rPr>
                <w:rFonts w:hint="default" w:ascii="Times New Roman" w:hAnsi="Times New Roman" w:cs="Times New Roman"/>
                <w:color w:val="auto"/>
              </w:rPr>
              <w:object>
                <v:shape id="_x0000_i1026" o:spt="75" type="#_x0000_t75" style="height:368.15pt;width:420.8pt;" o:ole="t" filled="f" o:preferrelative="t" stroked="f" coordsize="21600,21600">
                  <v:path/>
                  <v:fill on="f" focussize="0,0"/>
                  <v:stroke on="f"/>
                  <v:imagedata r:id="rId22" o:title=""/>
                  <o:lock v:ext="edit" aspectratio="f"/>
                  <w10:wrap type="none"/>
                  <w10:anchorlock/>
                </v:shape>
                <o:OLEObject Type="Embed" ProgID="Visio.Drawing.11" ShapeID="_x0000_i1026" DrawAspect="Content" ObjectID="_1468075726" r:id="rId21">
                  <o:LockedField>false</o:LockedField>
                </o:OLEObject>
              </w:object>
            </w:r>
          </w:p>
          <w:p w14:paraId="5F8BA24D">
            <w:pPr>
              <w:pStyle w:val="38"/>
              <w:spacing w:before="0" w:after="0" w:line="240" w:lineRule="auto"/>
              <w:ind w:right="0"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图2-2  项目水性丙烯酸面漆物料平衡图</w:t>
            </w:r>
          </w:p>
          <w:p w14:paraId="0E2961D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eastAsia="宋体" w:cs="Times New Roman"/>
                <w:b/>
                <w:bCs/>
                <w:color w:val="auto"/>
                <w:kern w:val="0"/>
                <w:sz w:val="24"/>
                <w:szCs w:val="16"/>
                <w:lang w:val="en-US" w:eastAsia="zh-CN" w:bidi="ar-SA"/>
              </w:rPr>
            </w:pPr>
            <w:r>
              <w:rPr>
                <w:rFonts w:hint="default" w:ascii="Times New Roman" w:hAnsi="Times New Roman" w:eastAsia="宋体" w:cs="Times New Roman"/>
                <w:b/>
                <w:bCs/>
                <w:color w:val="auto"/>
                <w:kern w:val="0"/>
                <w:sz w:val="24"/>
                <w:szCs w:val="16"/>
                <w:lang w:val="en-US" w:eastAsia="zh-CN" w:bidi="ar-SA"/>
              </w:rPr>
              <w:t>2.9</w:t>
            </w:r>
            <w:r>
              <w:rPr>
                <w:rFonts w:hint="default" w:ascii="Times New Roman" w:hAnsi="Times New Roman" w:cs="Times New Roman"/>
                <w:b/>
                <w:bCs/>
                <w:color w:val="auto"/>
                <w:kern w:val="0"/>
                <w:sz w:val="24"/>
                <w:szCs w:val="16"/>
                <w:lang w:val="en-US" w:eastAsia="zh-CN" w:bidi="ar-SA"/>
              </w:rPr>
              <w:t xml:space="preserve"> </w:t>
            </w:r>
            <w:r>
              <w:rPr>
                <w:rFonts w:hint="default" w:ascii="Times New Roman" w:hAnsi="Times New Roman" w:eastAsia="宋体" w:cs="Times New Roman"/>
                <w:b/>
                <w:bCs/>
                <w:color w:val="auto"/>
                <w:kern w:val="0"/>
                <w:sz w:val="24"/>
                <w:szCs w:val="16"/>
                <w:lang w:val="en-US" w:eastAsia="zh-CN" w:bidi="ar-SA"/>
              </w:rPr>
              <w:t>厂区总平面布置</w:t>
            </w:r>
          </w:p>
          <w:p w14:paraId="0E9D258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cs="Times New Roman"/>
                <w:color w:val="auto"/>
                <w:kern w:val="0"/>
                <w:sz w:val="24"/>
                <w:szCs w:val="24"/>
                <w:lang w:val="en-US" w:eastAsia="zh-CN" w:bidi="ar"/>
              </w:rPr>
              <w:t>本</w:t>
            </w:r>
            <w:r>
              <w:rPr>
                <w:rFonts w:hint="default" w:ascii="Times New Roman" w:hAnsi="Times New Roman" w:eastAsia="宋体" w:cs="Times New Roman"/>
                <w:color w:val="auto"/>
                <w:kern w:val="0"/>
                <w:sz w:val="24"/>
                <w:szCs w:val="24"/>
                <w:lang w:val="en-US" w:eastAsia="zh-CN" w:bidi="ar"/>
              </w:rPr>
              <w:t>项目</w:t>
            </w:r>
            <w:r>
              <w:rPr>
                <w:rFonts w:hint="default" w:ascii="Times New Roman" w:hAnsi="Times New Roman" w:cs="Times New Roman"/>
                <w:color w:val="auto"/>
                <w:kern w:val="0"/>
                <w:sz w:val="24"/>
                <w:szCs w:val="24"/>
                <w:lang w:val="en-US" w:eastAsia="zh-CN" w:bidi="ar"/>
              </w:rPr>
              <w:t>位于</w:t>
            </w:r>
            <w:r>
              <w:rPr>
                <w:rFonts w:hint="default" w:ascii="Times New Roman" w:hAnsi="Times New Roman" w:cs="Times New Roman"/>
                <w:color w:val="auto"/>
                <w:lang w:eastAsia="zh-CN"/>
              </w:rPr>
              <w:t>安徽省池州市青阳县经济开发区东河园区安徽赛王仓储有限公司</w:t>
            </w:r>
            <w:r>
              <w:rPr>
                <w:rFonts w:hint="default" w:ascii="Times New Roman" w:hAnsi="Times New Roman" w:cs="Times New Roman"/>
                <w:color w:val="auto"/>
                <w:lang w:val="en-US" w:eastAsia="zh-CN"/>
              </w:rPr>
              <w:t>厂区内空置厂房，厂房由东向西依次布置原料区、下料区、机加工区、焊接区、成品区、办公室</w:t>
            </w:r>
            <w:r>
              <w:rPr>
                <w:rFonts w:hint="eastAsia" w:cs="Times New Roman"/>
                <w:color w:val="auto"/>
                <w:lang w:val="en-US" w:eastAsia="zh-CN"/>
              </w:rPr>
              <w:t>、辅料库、</w:t>
            </w:r>
            <w:r>
              <w:rPr>
                <w:rFonts w:hint="default" w:ascii="Times New Roman" w:hAnsi="Times New Roman" w:cs="Times New Roman"/>
                <w:color w:val="auto"/>
                <w:lang w:val="en-US" w:eastAsia="zh-CN"/>
              </w:rPr>
              <w:t>喷漆房</w:t>
            </w:r>
            <w:r>
              <w:rPr>
                <w:rFonts w:hint="eastAsia" w:cs="Times New Roman"/>
                <w:color w:val="auto"/>
                <w:lang w:val="en-US" w:eastAsia="zh-CN"/>
              </w:rPr>
              <w:t>和晾干房</w:t>
            </w:r>
            <w:r>
              <w:rPr>
                <w:rFonts w:hint="default" w:ascii="Times New Roman" w:hAnsi="Times New Roman" w:cs="Times New Roman"/>
                <w:color w:val="auto"/>
                <w:lang w:val="en-US" w:eastAsia="zh-CN"/>
              </w:rPr>
              <w:t>，厂房中间布置横纵过道。</w:t>
            </w:r>
          </w:p>
          <w:p w14:paraId="40A5458F">
            <w:pPr>
              <w:bidi w:val="0"/>
              <w:rPr>
                <w:rFonts w:hint="default" w:ascii="Times New Roman" w:hAnsi="Times New Roman" w:cs="Times New Roman"/>
                <w:color w:val="auto"/>
                <w:lang w:val="en-US" w:eastAsia="zh-CN"/>
              </w:rPr>
            </w:pPr>
            <w:r>
              <w:rPr>
                <w:rFonts w:hint="default" w:ascii="Times New Roman" w:hAnsi="Times New Roman" w:eastAsia="宋体" w:cs="Times New Roman"/>
                <w:color w:val="auto"/>
                <w:kern w:val="0"/>
                <w:sz w:val="24"/>
                <w:szCs w:val="24"/>
                <w:lang w:val="en-US" w:eastAsia="zh-CN" w:bidi="ar"/>
              </w:rPr>
              <w:t>综上，项目平面布局合理可行。</w:t>
            </w:r>
          </w:p>
        </w:tc>
      </w:tr>
      <w:tr w14:paraId="4B5378D9">
        <w:tblPrEx>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CellMar>
            <w:top w:w="0" w:type="dxa"/>
            <w:left w:w="108" w:type="dxa"/>
            <w:bottom w:w="0" w:type="dxa"/>
            <w:right w:w="108" w:type="dxa"/>
          </w:tblCellMar>
        </w:tblPrEx>
        <w:trPr>
          <w:trHeight w:val="2127" w:hRule="atLeast"/>
          <w:jc w:val="center"/>
        </w:trPr>
        <w:tc>
          <w:tcPr>
            <w:tcW w:w="739" w:type="dxa"/>
            <w:tcBorders>
              <w:tl2br w:val="nil"/>
              <w:tr2bl w:val="nil"/>
            </w:tcBorders>
            <w:noWrap w:val="0"/>
            <w:vAlign w:val="center"/>
          </w:tcPr>
          <w:p w14:paraId="31DDE3A7">
            <w:pPr>
              <w:bidi w:val="0"/>
              <w:ind w:left="0" w:leftChars="0" w:firstLine="0" w:firstLineChars="0"/>
              <w:jc w:val="center"/>
              <w:rPr>
                <w:rFonts w:hint="default" w:ascii="Times New Roman" w:hAnsi="Times New Roman" w:eastAsia="宋体" w:cs="Times New Roman"/>
                <w:color w:val="auto"/>
                <w:sz w:val="24"/>
                <w:szCs w:val="24"/>
              </w:rPr>
            </w:pPr>
            <w:r>
              <w:rPr>
                <w:rFonts w:hint="default" w:ascii="Times New Roman" w:hAnsi="Times New Roman" w:cs="Times New Roman"/>
                <w:color w:val="auto"/>
              </w:rPr>
              <w:t>工艺流程和产排污环节</w:t>
            </w:r>
          </w:p>
        </w:tc>
        <w:tc>
          <w:tcPr>
            <w:tcW w:w="8760" w:type="dxa"/>
            <w:tcBorders>
              <w:tl2br w:val="nil"/>
              <w:tr2bl w:val="nil"/>
            </w:tcBorders>
            <w:noWrap w:val="0"/>
            <w:vAlign w:val="center"/>
          </w:tcPr>
          <w:p w14:paraId="059732F9">
            <w:pPr>
              <w:bidi w:val="0"/>
              <w:ind w:left="0" w:leftChars="0" w:firstLine="0" w:firstLineChars="0"/>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2.10 工艺流程简述：</w:t>
            </w:r>
          </w:p>
          <w:p w14:paraId="78A81E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Style w:val="41"/>
                <w:rFonts w:hint="default" w:ascii="Times New Roman" w:hAnsi="Times New Roman" w:cs="Times New Roman"/>
                <w:color w:val="auto"/>
              </w:rPr>
            </w:pPr>
            <w:r>
              <w:rPr>
                <w:rFonts w:hint="default" w:ascii="Times New Roman" w:hAnsi="Times New Roman" w:cs="Times New Roman"/>
                <w:b/>
                <w:bCs/>
                <w:color w:val="auto"/>
              </w:rPr>
              <w:object>
                <v:shape id="_x0000_i1027" o:spt="75" type="#_x0000_t75" style="height:543.05pt;width:428.75pt;" o:ole="t" filled="f" o:preferrelative="t" stroked="f" coordsize="21600,21600">
                  <v:path/>
                  <v:fill on="f" focussize="0,0"/>
                  <v:stroke on="f"/>
                  <v:imagedata r:id="rId24" o:title=""/>
                  <o:lock v:ext="edit" aspectratio="f"/>
                  <w10:wrap type="none"/>
                  <w10:anchorlock/>
                </v:shape>
                <o:OLEObject Type="Embed" ProgID="Visio.Drawing.11" ShapeID="_x0000_i1027" DrawAspect="Content" ObjectID="_1468075727" r:id="rId23">
                  <o:LockedField>false</o:LockedField>
                </o:OLEObject>
              </w:object>
            </w:r>
            <w:r>
              <w:rPr>
                <w:rStyle w:val="41"/>
                <w:rFonts w:hint="default" w:ascii="Times New Roman" w:hAnsi="Times New Roman" w:cs="Times New Roman"/>
                <w:color w:val="auto"/>
              </w:rPr>
              <w:t>图2-</w:t>
            </w:r>
            <w:r>
              <w:rPr>
                <w:rStyle w:val="41"/>
                <w:rFonts w:hint="default" w:ascii="Times New Roman" w:hAnsi="Times New Roman" w:cs="Times New Roman"/>
                <w:color w:val="auto"/>
                <w:lang w:val="en-US" w:eastAsia="zh-CN"/>
              </w:rPr>
              <w:t>3</w:t>
            </w:r>
            <w:r>
              <w:rPr>
                <w:rStyle w:val="41"/>
                <w:rFonts w:hint="default" w:ascii="Times New Roman" w:hAnsi="Times New Roman" w:cs="Times New Roman"/>
                <w:color w:val="auto"/>
              </w:rPr>
              <w:t xml:space="preserve">  项目工艺流程图</w:t>
            </w:r>
          </w:p>
          <w:p w14:paraId="6497B611">
            <w:pPr>
              <w:ind w:firstLine="422"/>
              <w:rPr>
                <w:rFonts w:hint="default" w:ascii="Times New Roman" w:hAnsi="Times New Roman" w:cs="Times New Roman"/>
                <w:b/>
                <w:bCs/>
                <w:color w:val="auto"/>
                <w:szCs w:val="21"/>
              </w:rPr>
            </w:pPr>
            <w:r>
              <w:rPr>
                <w:rFonts w:hint="default" w:ascii="Times New Roman" w:hAnsi="Times New Roman" w:cs="Times New Roman"/>
                <w:b/>
                <w:bCs/>
                <w:color w:val="auto"/>
                <w:szCs w:val="21"/>
              </w:rPr>
              <w:t>生产工艺流程及产污环节说明：</w:t>
            </w:r>
          </w:p>
          <w:p w14:paraId="3A518760">
            <w:pPr>
              <w:ind w:left="480" w:leftChars="200" w:firstLine="0" w:firstLineChars="0"/>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rPr>
              <w:t>（1）</w:t>
            </w:r>
            <w:r>
              <w:rPr>
                <w:rFonts w:hint="default" w:ascii="Times New Roman" w:hAnsi="Times New Roman" w:cs="Times New Roman"/>
                <w:color w:val="auto"/>
                <w:szCs w:val="21"/>
                <w:lang w:eastAsia="zh-CN"/>
              </w:rPr>
              <w:t>下料</w:t>
            </w:r>
          </w:p>
          <w:p w14:paraId="0D3BFC31">
            <w:pPr>
              <w:bidi w:val="0"/>
              <w:rPr>
                <w:rFonts w:hint="default" w:ascii="Times New Roman" w:hAnsi="Times New Roman" w:cs="Times New Roman"/>
                <w:color w:val="auto"/>
              </w:rPr>
            </w:pPr>
            <w:r>
              <w:rPr>
                <w:rFonts w:hint="default" w:ascii="Times New Roman" w:hAnsi="Times New Roman" w:cs="Times New Roman"/>
                <w:color w:val="auto"/>
                <w:lang w:eastAsia="zh-CN"/>
              </w:rPr>
              <w:t>原料（钢材）</w:t>
            </w:r>
            <w:r>
              <w:rPr>
                <w:rFonts w:hint="default" w:ascii="Times New Roman" w:hAnsi="Times New Roman" w:cs="Times New Roman"/>
                <w:color w:val="auto"/>
              </w:rPr>
              <w:t>购进后</w:t>
            </w:r>
            <w:r>
              <w:rPr>
                <w:rFonts w:hint="default" w:ascii="Times New Roman" w:hAnsi="Times New Roman" w:cs="Times New Roman"/>
                <w:color w:val="auto"/>
                <w:lang w:eastAsia="zh-CN"/>
              </w:rPr>
              <w:t>会根据钢材</w:t>
            </w:r>
            <w:r>
              <w:rPr>
                <w:rFonts w:hint="default" w:ascii="Times New Roman" w:hAnsi="Times New Roman" w:cs="Times New Roman"/>
                <w:color w:val="auto"/>
                <w:lang w:val="en-US" w:eastAsia="zh-CN"/>
              </w:rPr>
              <w:t>根据图纸设计的尺寸类型选择</w:t>
            </w:r>
            <w:r>
              <w:rPr>
                <w:rFonts w:hint="default" w:ascii="Times New Roman" w:hAnsi="Times New Roman" w:cs="Times New Roman"/>
                <w:color w:val="auto"/>
                <w:lang w:eastAsia="zh-CN"/>
              </w:rPr>
              <w:t>所要下料的设备</w:t>
            </w:r>
            <w:r>
              <w:rPr>
                <w:rFonts w:hint="default" w:ascii="Times New Roman" w:hAnsi="Times New Roman" w:cs="Times New Roman"/>
                <w:color w:val="auto"/>
              </w:rPr>
              <w:t>切割</w:t>
            </w:r>
            <w:r>
              <w:rPr>
                <w:rFonts w:hint="default" w:ascii="Times New Roman" w:hAnsi="Times New Roman" w:cs="Times New Roman"/>
                <w:color w:val="auto"/>
                <w:lang w:eastAsia="zh-CN"/>
              </w:rPr>
              <w:t>，</w:t>
            </w:r>
            <w:r>
              <w:rPr>
                <w:rFonts w:hint="default" w:ascii="Times New Roman" w:hAnsi="Times New Roman" w:cs="Times New Roman"/>
                <w:color w:val="auto"/>
              </w:rPr>
              <w:t>将</w:t>
            </w:r>
            <w:r>
              <w:rPr>
                <w:rFonts w:hint="default" w:ascii="Times New Roman" w:hAnsi="Times New Roman" w:cs="Times New Roman"/>
                <w:color w:val="auto"/>
                <w:lang w:val="en-US" w:eastAsia="zh-CN"/>
              </w:rPr>
              <w:t>小尺寸的钢材</w:t>
            </w:r>
            <w:r>
              <w:rPr>
                <w:rFonts w:hint="default" w:ascii="Times New Roman" w:hAnsi="Times New Roman" w:cs="Times New Roman"/>
                <w:color w:val="auto"/>
                <w:szCs w:val="21"/>
                <w:lang w:eastAsia="zh-CN"/>
              </w:rPr>
              <w:t>（共计</w:t>
            </w:r>
            <w:r>
              <w:rPr>
                <w:rFonts w:hint="default" w:ascii="Times New Roman" w:hAnsi="Times New Roman" w:cs="Times New Roman"/>
                <w:color w:val="auto"/>
                <w:szCs w:val="21"/>
                <w:lang w:val="en-US" w:eastAsia="zh-CN"/>
              </w:rPr>
              <w:t>864t</w:t>
            </w:r>
            <w:r>
              <w:rPr>
                <w:rFonts w:hint="default" w:ascii="Times New Roman" w:hAnsi="Times New Roman" w:cs="Times New Roman"/>
                <w:color w:val="auto"/>
                <w:szCs w:val="21"/>
                <w:lang w:eastAsia="zh-CN"/>
              </w:rPr>
              <w:t>）</w:t>
            </w:r>
            <w:r>
              <w:rPr>
                <w:rFonts w:hint="default" w:ascii="Times New Roman" w:hAnsi="Times New Roman" w:cs="Times New Roman"/>
                <w:color w:val="auto"/>
              </w:rPr>
              <w:t>用激光切割机进行切割</w:t>
            </w: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大尺寸钢材</w:t>
            </w:r>
            <w:r>
              <w:rPr>
                <w:rFonts w:hint="default" w:ascii="Times New Roman" w:hAnsi="Times New Roman" w:cs="Times New Roman"/>
                <w:color w:val="auto"/>
                <w:szCs w:val="21"/>
                <w:lang w:eastAsia="zh-CN"/>
              </w:rPr>
              <w:t>（共计</w:t>
            </w:r>
            <w:r>
              <w:rPr>
                <w:rFonts w:hint="default" w:ascii="Times New Roman" w:hAnsi="Times New Roman" w:cs="Times New Roman"/>
                <w:color w:val="auto"/>
                <w:szCs w:val="21"/>
                <w:lang w:val="en-US" w:eastAsia="zh-CN"/>
              </w:rPr>
              <w:t>1983t</w:t>
            </w:r>
            <w:r>
              <w:rPr>
                <w:rFonts w:hint="default" w:ascii="Times New Roman" w:hAnsi="Times New Roman" w:cs="Times New Roman"/>
                <w:color w:val="auto"/>
                <w:szCs w:val="21"/>
                <w:lang w:eastAsia="zh-CN"/>
              </w:rPr>
              <w:t>）</w:t>
            </w:r>
            <w:r>
              <w:rPr>
                <w:rFonts w:hint="default" w:ascii="Times New Roman" w:hAnsi="Times New Roman" w:cs="Times New Roman"/>
                <w:color w:val="auto"/>
                <w:lang w:eastAsia="zh-CN"/>
              </w:rPr>
              <w:t>用锯床进行切割，</w:t>
            </w:r>
            <w:r>
              <w:rPr>
                <w:rFonts w:hint="default" w:ascii="Times New Roman" w:hAnsi="Times New Roman" w:cs="Times New Roman"/>
                <w:color w:val="auto"/>
              </w:rPr>
              <w:t>该过程将产生颗粒物</w:t>
            </w:r>
            <w:r>
              <w:rPr>
                <w:rFonts w:hint="default" w:ascii="Times New Roman" w:hAnsi="Times New Roman" w:cs="Times New Roman"/>
                <w:color w:val="auto"/>
                <w:lang w:val="en-US" w:eastAsia="zh-CN"/>
              </w:rPr>
              <w:t>（主要为</w:t>
            </w:r>
            <w:r>
              <w:rPr>
                <w:rFonts w:hint="eastAsia" w:cs="Times New Roman"/>
                <w:color w:val="auto"/>
                <w:lang w:val="en-US" w:eastAsia="zh-CN"/>
              </w:rPr>
              <w:t>激光切割</w:t>
            </w:r>
            <w:r>
              <w:rPr>
                <w:rFonts w:hint="default" w:ascii="Times New Roman" w:hAnsi="Times New Roman" w:cs="Times New Roman"/>
                <w:color w:val="auto"/>
                <w:lang w:val="en-US" w:eastAsia="zh-CN"/>
              </w:rPr>
              <w:t>金属粉尘）</w:t>
            </w:r>
            <w:r>
              <w:rPr>
                <w:rFonts w:hint="default" w:ascii="Times New Roman" w:hAnsi="Times New Roman" w:cs="Times New Roman"/>
                <w:color w:val="auto"/>
              </w:rPr>
              <w:t>G1</w:t>
            </w:r>
            <w:r>
              <w:rPr>
                <w:rFonts w:hint="eastAsia" w:cs="Times New Roman"/>
                <w:color w:val="auto"/>
                <w:lang w:eastAsia="zh-CN"/>
              </w:rPr>
              <w:t>、（锯床切割金属粉尘）</w:t>
            </w:r>
            <w:r>
              <w:rPr>
                <w:rFonts w:hint="eastAsia" w:cs="Times New Roman"/>
                <w:color w:val="auto"/>
                <w:lang w:val="en-US" w:eastAsia="zh-CN"/>
              </w:rPr>
              <w:t>G2、</w:t>
            </w:r>
            <w:r>
              <w:rPr>
                <w:rFonts w:hint="default" w:ascii="Times New Roman" w:hAnsi="Times New Roman" w:cs="Times New Roman"/>
                <w:color w:val="auto"/>
                <w:lang w:val="en-US" w:eastAsia="zh-CN"/>
              </w:rPr>
              <w:t>废包材S1、沉降的金属碎屑S2、切割</w:t>
            </w:r>
            <w:r>
              <w:rPr>
                <w:rFonts w:hint="default" w:ascii="Times New Roman" w:hAnsi="Times New Roman" w:cs="Times New Roman"/>
                <w:color w:val="auto"/>
              </w:rPr>
              <w:t>边角料S</w:t>
            </w:r>
            <w:r>
              <w:rPr>
                <w:rFonts w:hint="default" w:ascii="Times New Roman" w:hAnsi="Times New Roman" w:cs="Times New Roman"/>
                <w:color w:val="auto"/>
                <w:lang w:val="en-US" w:eastAsia="zh-CN"/>
              </w:rPr>
              <w:t>3以及设备运行</w:t>
            </w:r>
            <w:r>
              <w:rPr>
                <w:rFonts w:hint="default" w:ascii="Times New Roman" w:hAnsi="Times New Roman" w:cs="Times New Roman"/>
                <w:color w:val="auto"/>
              </w:rPr>
              <w:t>噪声N。</w:t>
            </w:r>
          </w:p>
          <w:p w14:paraId="2B30964D">
            <w:pPr>
              <w:ind w:left="480" w:leftChars="200" w:firstLine="0" w:firstLineChars="0"/>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lang w:eastAsia="zh-CN"/>
              </w:rPr>
              <w:t>（</w:t>
            </w: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lang w:eastAsia="zh-CN"/>
              </w:rPr>
              <w:t>）剪切、折弯</w:t>
            </w:r>
          </w:p>
          <w:p w14:paraId="201B0967">
            <w:pPr>
              <w:ind w:firstLine="420"/>
              <w:rPr>
                <w:rFonts w:hint="default" w:ascii="Times New Roman" w:hAnsi="Times New Roman" w:cs="Times New Roman"/>
                <w:color w:val="auto"/>
                <w:szCs w:val="21"/>
              </w:rPr>
            </w:pPr>
            <w:r>
              <w:rPr>
                <w:rFonts w:hint="default" w:ascii="Times New Roman" w:hAnsi="Times New Roman" w:cs="Times New Roman"/>
                <w:color w:val="auto"/>
                <w:szCs w:val="21"/>
              </w:rPr>
              <w:t>按</w:t>
            </w:r>
            <w:r>
              <w:rPr>
                <w:rFonts w:hint="default" w:ascii="Times New Roman" w:hAnsi="Times New Roman" w:cs="Times New Roman"/>
                <w:color w:val="auto"/>
                <w:szCs w:val="21"/>
                <w:lang w:eastAsia="zh-CN"/>
              </w:rPr>
              <w:t>设计的产品尺寸</w:t>
            </w:r>
            <w:r>
              <w:rPr>
                <w:rFonts w:hint="default" w:ascii="Times New Roman" w:hAnsi="Times New Roman" w:cs="Times New Roman"/>
                <w:color w:val="auto"/>
                <w:szCs w:val="21"/>
              </w:rPr>
              <w:t>，使用</w:t>
            </w:r>
            <w:r>
              <w:rPr>
                <w:rFonts w:hint="default" w:ascii="Times New Roman" w:hAnsi="Times New Roman" w:cs="Times New Roman"/>
                <w:color w:val="auto"/>
                <w:szCs w:val="21"/>
                <w:lang w:eastAsia="zh-CN"/>
              </w:rPr>
              <w:t>剪切机</w:t>
            </w:r>
            <w:r>
              <w:rPr>
                <w:rFonts w:hint="default" w:ascii="Times New Roman" w:hAnsi="Times New Roman" w:cs="Times New Roman"/>
                <w:color w:val="auto"/>
                <w:szCs w:val="21"/>
              </w:rPr>
              <w:t>对</w:t>
            </w:r>
            <w:r>
              <w:rPr>
                <w:rFonts w:hint="default" w:ascii="Times New Roman" w:hAnsi="Times New Roman" w:cs="Times New Roman"/>
                <w:color w:val="auto"/>
                <w:szCs w:val="21"/>
                <w:lang w:eastAsia="zh-CN"/>
              </w:rPr>
              <w:t>部分</w:t>
            </w:r>
            <w:r>
              <w:rPr>
                <w:rFonts w:hint="default" w:ascii="Times New Roman" w:hAnsi="Times New Roman" w:cs="Times New Roman"/>
                <w:color w:val="auto"/>
                <w:szCs w:val="21"/>
              </w:rPr>
              <w:t>切割后的</w:t>
            </w:r>
            <w:r>
              <w:rPr>
                <w:rFonts w:hint="default" w:ascii="Times New Roman" w:hAnsi="Times New Roman" w:cs="Times New Roman"/>
                <w:color w:val="auto"/>
                <w:szCs w:val="21"/>
                <w:lang w:eastAsia="zh-CN"/>
              </w:rPr>
              <w:t>板材和管材（共计</w:t>
            </w:r>
            <w:r>
              <w:rPr>
                <w:rFonts w:hint="default" w:ascii="Times New Roman" w:hAnsi="Times New Roman" w:cs="Times New Roman"/>
                <w:color w:val="auto"/>
                <w:szCs w:val="21"/>
                <w:lang w:val="en-US" w:eastAsia="zh-CN"/>
              </w:rPr>
              <w:t>324t</w:t>
            </w:r>
            <w:r>
              <w:rPr>
                <w:rFonts w:hint="default" w:ascii="Times New Roman" w:hAnsi="Times New Roman" w:cs="Times New Roman"/>
                <w:color w:val="auto"/>
                <w:szCs w:val="21"/>
                <w:lang w:eastAsia="zh-CN"/>
              </w:rPr>
              <w:t>）</w:t>
            </w:r>
            <w:r>
              <w:rPr>
                <w:rFonts w:hint="default" w:ascii="Times New Roman" w:hAnsi="Times New Roman" w:cs="Times New Roman"/>
                <w:color w:val="auto"/>
                <w:szCs w:val="21"/>
              </w:rPr>
              <w:t>进行</w:t>
            </w:r>
            <w:r>
              <w:rPr>
                <w:rFonts w:hint="default" w:ascii="Times New Roman" w:hAnsi="Times New Roman" w:cs="Times New Roman"/>
                <w:color w:val="auto"/>
                <w:szCs w:val="21"/>
                <w:lang w:eastAsia="zh-CN"/>
              </w:rPr>
              <w:t>剪切</w:t>
            </w:r>
            <w:r>
              <w:rPr>
                <w:rFonts w:hint="default" w:ascii="Times New Roman" w:hAnsi="Times New Roman" w:cs="Times New Roman"/>
                <w:color w:val="auto"/>
                <w:szCs w:val="21"/>
              </w:rPr>
              <w:t>，</w:t>
            </w:r>
            <w:r>
              <w:rPr>
                <w:rFonts w:hint="default" w:ascii="Times New Roman" w:hAnsi="Times New Roman" w:cs="Times New Roman"/>
                <w:color w:val="auto"/>
                <w:szCs w:val="21"/>
                <w:lang w:eastAsia="zh-CN"/>
              </w:rPr>
              <w:t>部分板材和管材（共计</w:t>
            </w:r>
            <w:r>
              <w:rPr>
                <w:rFonts w:hint="default" w:ascii="Times New Roman" w:hAnsi="Times New Roman" w:cs="Times New Roman"/>
                <w:color w:val="auto"/>
                <w:szCs w:val="21"/>
                <w:lang w:val="en-US" w:eastAsia="zh-CN"/>
              </w:rPr>
              <w:t>546t</w:t>
            </w:r>
            <w:r>
              <w:rPr>
                <w:rFonts w:hint="default" w:ascii="Times New Roman" w:hAnsi="Times New Roman" w:cs="Times New Roman"/>
                <w:color w:val="auto"/>
                <w:szCs w:val="21"/>
                <w:lang w:eastAsia="zh-CN"/>
              </w:rPr>
              <w:t>）使用折弯机进行折弯，</w:t>
            </w:r>
            <w:r>
              <w:rPr>
                <w:rFonts w:hint="default" w:ascii="Times New Roman" w:hAnsi="Times New Roman" w:cs="Times New Roman"/>
                <w:color w:val="auto"/>
                <w:szCs w:val="21"/>
              </w:rPr>
              <w:t>该过程设备会产生</w:t>
            </w:r>
            <w:r>
              <w:rPr>
                <w:rFonts w:hint="default" w:ascii="Times New Roman" w:hAnsi="Times New Roman" w:cs="Times New Roman"/>
                <w:color w:val="auto"/>
                <w:szCs w:val="21"/>
                <w:lang w:eastAsia="zh-CN"/>
              </w:rPr>
              <w:t>金属边角料</w:t>
            </w:r>
            <w:r>
              <w:rPr>
                <w:rFonts w:hint="default" w:ascii="Times New Roman" w:hAnsi="Times New Roman" w:cs="Times New Roman"/>
                <w:color w:val="auto"/>
                <w:szCs w:val="21"/>
                <w:lang w:val="en-US" w:eastAsia="zh-CN"/>
              </w:rPr>
              <w:t>S3和设备运行</w:t>
            </w:r>
            <w:r>
              <w:rPr>
                <w:rFonts w:hint="default" w:ascii="Times New Roman" w:hAnsi="Times New Roman" w:cs="Times New Roman"/>
                <w:color w:val="auto"/>
                <w:szCs w:val="21"/>
              </w:rPr>
              <w:t>噪声N。</w:t>
            </w:r>
          </w:p>
          <w:p w14:paraId="65A3CFF4">
            <w:pPr>
              <w:ind w:firstLine="420"/>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3</w:t>
            </w:r>
            <w:r>
              <w:rPr>
                <w:rFonts w:hint="default" w:ascii="Times New Roman" w:hAnsi="Times New Roman" w:cs="Times New Roman"/>
                <w:color w:val="auto"/>
                <w:lang w:eastAsia="zh-CN"/>
              </w:rPr>
              <w:t>）钻孔、铣槽</w:t>
            </w:r>
          </w:p>
          <w:p w14:paraId="379F22D3">
            <w:pPr>
              <w:ind w:firstLine="420"/>
              <w:rPr>
                <w:rFonts w:hint="default" w:ascii="Times New Roman" w:hAnsi="Times New Roman" w:cs="Times New Roman"/>
                <w:color w:val="auto"/>
                <w:lang w:eastAsia="zh-CN"/>
              </w:rPr>
            </w:pPr>
            <w:r>
              <w:rPr>
                <w:rFonts w:hint="default" w:ascii="Times New Roman" w:hAnsi="Times New Roman" w:cs="Times New Roman"/>
                <w:color w:val="auto"/>
                <w:lang w:eastAsia="zh-CN"/>
              </w:rPr>
              <w:t>对部分管材和板材（其中钻孔</w:t>
            </w:r>
            <w:r>
              <w:rPr>
                <w:rFonts w:hint="default" w:ascii="Times New Roman" w:hAnsi="Times New Roman" w:cs="Times New Roman"/>
                <w:color w:val="auto"/>
                <w:lang w:val="en-US" w:eastAsia="zh-CN"/>
              </w:rPr>
              <w:t>1241t、铣槽1532t</w:t>
            </w:r>
            <w:r>
              <w:rPr>
                <w:rFonts w:hint="default" w:ascii="Times New Roman" w:hAnsi="Times New Roman" w:cs="Times New Roman"/>
                <w:color w:val="auto"/>
                <w:lang w:eastAsia="zh-CN"/>
              </w:rPr>
              <w:t>）使用摇臂钻床、台钻和铣床进行钻孔和铣床，精加工过程中铣床需要伴水作业，对设备冷却、排屑的同时，也防止了加工过程中金属粉尘的飘散，铣床的水槽自带过滤设备，</w:t>
            </w:r>
            <w:r>
              <w:rPr>
                <w:rFonts w:hint="default" w:ascii="Times New Roman" w:hAnsi="Times New Roman" w:cs="Times New Roman"/>
                <w:color w:val="auto"/>
                <w:szCs w:val="21"/>
              </w:rPr>
              <w:t>过滤后的</w:t>
            </w:r>
            <w:r>
              <w:rPr>
                <w:rFonts w:hint="default" w:ascii="Times New Roman" w:hAnsi="Times New Roman" w:cs="Times New Roman"/>
                <w:color w:val="auto"/>
                <w:szCs w:val="21"/>
                <w:lang w:eastAsia="zh-CN"/>
              </w:rPr>
              <w:t>水</w:t>
            </w:r>
            <w:r>
              <w:rPr>
                <w:rFonts w:hint="default" w:ascii="Times New Roman" w:hAnsi="Times New Roman" w:cs="Times New Roman"/>
                <w:color w:val="auto"/>
                <w:szCs w:val="21"/>
              </w:rPr>
              <w:t>循环使用，定期补充</w:t>
            </w:r>
            <w:r>
              <w:rPr>
                <w:rFonts w:hint="default" w:ascii="Times New Roman" w:hAnsi="Times New Roman" w:cs="Times New Roman"/>
                <w:color w:val="auto"/>
                <w:lang w:eastAsia="zh-CN"/>
              </w:rPr>
              <w:t>，该过程会产生</w:t>
            </w:r>
            <w:r>
              <w:rPr>
                <w:rFonts w:hint="default" w:ascii="Times New Roman" w:hAnsi="Times New Roman" w:cs="Times New Roman"/>
                <w:color w:val="auto"/>
                <w:szCs w:val="21"/>
                <w:lang w:eastAsia="zh-CN"/>
              </w:rPr>
              <w:t>金属边角料</w:t>
            </w:r>
            <w:r>
              <w:rPr>
                <w:rFonts w:hint="default" w:ascii="Times New Roman" w:hAnsi="Times New Roman" w:cs="Times New Roman"/>
                <w:color w:val="auto"/>
                <w:szCs w:val="21"/>
                <w:lang w:val="en-US" w:eastAsia="zh-CN"/>
              </w:rPr>
              <w:t>S3、</w:t>
            </w:r>
            <w:r>
              <w:rPr>
                <w:rFonts w:hint="default" w:ascii="Times New Roman" w:hAnsi="Times New Roman" w:cs="Times New Roman"/>
                <w:color w:val="auto"/>
                <w:lang w:eastAsia="zh-CN"/>
              </w:rPr>
              <w:t>过滤截留的过滤金属碎屑</w:t>
            </w:r>
            <w:r>
              <w:rPr>
                <w:rFonts w:hint="default" w:ascii="Times New Roman" w:hAnsi="Times New Roman" w:cs="Times New Roman"/>
                <w:color w:val="auto"/>
                <w:lang w:val="en-US" w:eastAsia="zh-CN"/>
              </w:rPr>
              <w:t>54</w:t>
            </w:r>
            <w:r>
              <w:rPr>
                <w:rFonts w:hint="default" w:ascii="Times New Roman" w:hAnsi="Times New Roman" w:cs="Times New Roman"/>
                <w:color w:val="auto"/>
                <w:szCs w:val="21"/>
                <w:lang w:val="en-US" w:eastAsia="zh-CN"/>
              </w:rPr>
              <w:t>和设备运行</w:t>
            </w:r>
            <w:r>
              <w:rPr>
                <w:rFonts w:hint="default" w:ascii="Times New Roman" w:hAnsi="Times New Roman" w:cs="Times New Roman"/>
                <w:color w:val="auto"/>
                <w:szCs w:val="21"/>
              </w:rPr>
              <w:t>噪声N。</w:t>
            </w:r>
          </w:p>
          <w:p w14:paraId="465E2ECF">
            <w:pPr>
              <w:ind w:firstLine="420"/>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4</w:t>
            </w:r>
            <w:r>
              <w:rPr>
                <w:rFonts w:hint="default" w:ascii="Times New Roman" w:hAnsi="Times New Roman" w:cs="Times New Roman"/>
                <w:color w:val="auto"/>
                <w:lang w:eastAsia="zh-CN"/>
              </w:rPr>
              <w:t>）车床机加工</w:t>
            </w:r>
          </w:p>
          <w:p w14:paraId="70CA2007">
            <w:pPr>
              <w:ind w:firstLine="420"/>
              <w:rPr>
                <w:rFonts w:hint="default" w:ascii="Times New Roman" w:hAnsi="Times New Roman" w:cs="Times New Roman"/>
                <w:color w:val="auto"/>
                <w:lang w:eastAsia="zh-CN"/>
              </w:rPr>
            </w:pPr>
            <w:r>
              <w:rPr>
                <w:rFonts w:hint="default" w:ascii="Times New Roman" w:hAnsi="Times New Roman" w:cs="Times New Roman"/>
                <w:color w:val="auto"/>
                <w:szCs w:val="21"/>
              </w:rPr>
              <w:t>使用数控车床对</w:t>
            </w:r>
            <w:r>
              <w:rPr>
                <w:rFonts w:hint="default" w:ascii="Times New Roman" w:hAnsi="Times New Roman" w:cs="Times New Roman"/>
                <w:color w:val="auto"/>
                <w:szCs w:val="21"/>
                <w:lang w:eastAsia="zh-CN"/>
              </w:rPr>
              <w:t>上述机加工的钢材进行精</w:t>
            </w:r>
            <w:r>
              <w:rPr>
                <w:rFonts w:hint="default" w:ascii="Times New Roman" w:hAnsi="Times New Roman" w:cs="Times New Roman"/>
                <w:color w:val="auto"/>
                <w:szCs w:val="21"/>
              </w:rPr>
              <w:t>加工，使工件外形尺寸满足产品设计要求。</w:t>
            </w:r>
            <w:r>
              <w:rPr>
                <w:rFonts w:hint="default" w:ascii="Times New Roman" w:hAnsi="Times New Roman" w:cs="Times New Roman"/>
                <w:color w:val="auto"/>
                <w:szCs w:val="21"/>
                <w:lang w:eastAsia="zh-CN"/>
              </w:rPr>
              <w:t>车床为</w:t>
            </w:r>
            <w:r>
              <w:rPr>
                <w:rFonts w:hint="eastAsia" w:cs="Times New Roman"/>
                <w:color w:val="auto"/>
                <w:szCs w:val="21"/>
                <w:lang w:eastAsia="zh-CN"/>
              </w:rPr>
              <w:t>湿法</w:t>
            </w:r>
            <w:r>
              <w:rPr>
                <w:rFonts w:hint="default" w:ascii="Times New Roman" w:hAnsi="Times New Roman" w:cs="Times New Roman"/>
                <w:color w:val="auto"/>
                <w:szCs w:val="21"/>
                <w:lang w:eastAsia="zh-CN"/>
              </w:rPr>
              <w:t>作业</w:t>
            </w:r>
            <w:r>
              <w:rPr>
                <w:rFonts w:hint="default" w:ascii="Times New Roman" w:hAnsi="Times New Roman" w:cs="Times New Roman"/>
                <w:color w:val="auto"/>
                <w:szCs w:val="21"/>
              </w:rPr>
              <w:t>，在对设备冷却、排屑的同时，也防止了加工过程中金属粉尘的飘散，产生的金属粉尘随</w:t>
            </w:r>
            <w:r>
              <w:rPr>
                <w:rFonts w:hint="default" w:ascii="Times New Roman" w:hAnsi="Times New Roman" w:cs="Times New Roman"/>
                <w:color w:val="auto"/>
                <w:szCs w:val="21"/>
                <w:lang w:eastAsia="zh-CN"/>
              </w:rPr>
              <w:t>水</w:t>
            </w:r>
            <w:r>
              <w:rPr>
                <w:rFonts w:hint="default" w:ascii="Times New Roman" w:hAnsi="Times New Roman" w:cs="Times New Roman"/>
                <w:color w:val="auto"/>
                <w:szCs w:val="21"/>
              </w:rPr>
              <w:t>沉积在底部，不考虑粉尘产生；车床自带过滤装置，可将</w:t>
            </w:r>
            <w:r>
              <w:rPr>
                <w:rFonts w:hint="default" w:ascii="Times New Roman" w:hAnsi="Times New Roman" w:cs="Times New Roman"/>
                <w:color w:val="auto"/>
                <w:szCs w:val="21"/>
                <w:lang w:eastAsia="zh-CN"/>
              </w:rPr>
              <w:t>水</w:t>
            </w:r>
            <w:r>
              <w:rPr>
                <w:rFonts w:hint="default" w:ascii="Times New Roman" w:hAnsi="Times New Roman" w:cs="Times New Roman"/>
                <w:color w:val="auto"/>
                <w:szCs w:val="21"/>
              </w:rPr>
              <w:t>中金属碎屑过滤出，过滤后的</w:t>
            </w:r>
            <w:r>
              <w:rPr>
                <w:rFonts w:hint="default" w:ascii="Times New Roman" w:hAnsi="Times New Roman" w:cs="Times New Roman"/>
                <w:color w:val="auto"/>
                <w:szCs w:val="21"/>
                <w:lang w:eastAsia="zh-CN"/>
              </w:rPr>
              <w:t>水</w:t>
            </w:r>
            <w:r>
              <w:rPr>
                <w:rFonts w:hint="default" w:ascii="Times New Roman" w:hAnsi="Times New Roman" w:cs="Times New Roman"/>
                <w:color w:val="auto"/>
                <w:szCs w:val="21"/>
              </w:rPr>
              <w:t>循环使用，</w:t>
            </w:r>
            <w:r>
              <w:rPr>
                <w:rFonts w:hint="eastAsia" w:cs="Times New Roman"/>
                <w:color w:val="auto"/>
                <w:szCs w:val="21"/>
                <w:lang w:eastAsia="zh-CN"/>
              </w:rPr>
              <w:t>定期更换</w:t>
            </w:r>
            <w:r>
              <w:rPr>
                <w:rFonts w:hint="default" w:ascii="Times New Roman" w:hAnsi="Times New Roman" w:cs="Times New Roman"/>
                <w:color w:val="auto"/>
                <w:szCs w:val="21"/>
              </w:rPr>
              <w:t>；该工序产生</w:t>
            </w:r>
            <w:r>
              <w:rPr>
                <w:rFonts w:hint="default" w:ascii="Times New Roman" w:hAnsi="Times New Roman" w:cs="Times New Roman"/>
                <w:color w:val="auto"/>
                <w:lang w:eastAsia="zh-CN"/>
              </w:rPr>
              <w:t>过滤金属碎屑</w:t>
            </w:r>
            <w:r>
              <w:rPr>
                <w:rFonts w:hint="default" w:ascii="Times New Roman" w:hAnsi="Times New Roman" w:cs="Times New Roman"/>
                <w:color w:val="auto"/>
                <w:lang w:val="en-US" w:eastAsia="zh-CN"/>
              </w:rPr>
              <w:t>S4</w:t>
            </w:r>
            <w:r>
              <w:rPr>
                <w:rFonts w:hint="eastAsia" w:cs="Times New Roman"/>
                <w:color w:val="auto"/>
                <w:lang w:val="en-US" w:eastAsia="zh-CN"/>
              </w:rPr>
              <w:t>，机加工更换废液S5</w:t>
            </w:r>
            <w:r>
              <w:rPr>
                <w:rFonts w:hint="default" w:ascii="Times New Roman" w:hAnsi="Times New Roman" w:cs="Times New Roman"/>
                <w:color w:val="auto"/>
                <w:szCs w:val="21"/>
                <w:lang w:val="en-US" w:eastAsia="zh-CN"/>
              </w:rPr>
              <w:t>和设备运行</w:t>
            </w:r>
            <w:r>
              <w:rPr>
                <w:rFonts w:hint="default" w:ascii="Times New Roman" w:hAnsi="Times New Roman" w:cs="Times New Roman"/>
                <w:color w:val="auto"/>
                <w:szCs w:val="21"/>
              </w:rPr>
              <w:t>噪声N。</w:t>
            </w:r>
          </w:p>
          <w:p w14:paraId="4A564A10">
            <w:pPr>
              <w:ind w:firstLine="420"/>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5</w:t>
            </w:r>
            <w:r>
              <w:rPr>
                <w:rFonts w:hint="default" w:ascii="Times New Roman" w:hAnsi="Times New Roman" w:cs="Times New Roman"/>
                <w:color w:val="auto"/>
                <w:lang w:eastAsia="zh-CN"/>
              </w:rPr>
              <w:t>）焊接</w:t>
            </w:r>
          </w:p>
          <w:p w14:paraId="694B930D">
            <w:pPr>
              <w:ind w:firstLine="420"/>
              <w:rPr>
                <w:rFonts w:hint="default" w:ascii="Times New Roman" w:hAnsi="Times New Roman" w:eastAsia="宋体" w:cs="Times New Roman"/>
                <w:color w:val="auto"/>
                <w:lang w:val="en-US" w:eastAsia="zh-CN"/>
              </w:rPr>
            </w:pPr>
            <w:r>
              <w:rPr>
                <w:rFonts w:hint="default" w:ascii="Times New Roman" w:hAnsi="Times New Roman" w:cs="Times New Roman"/>
                <w:color w:val="auto"/>
                <w:lang w:eastAsia="zh-CN"/>
              </w:rPr>
              <w:t>根据图纸将部分切割、钻孔等机加工的板材进行焊接，对于质量要求高，</w:t>
            </w:r>
            <w:r>
              <w:rPr>
                <w:rFonts w:hint="default" w:ascii="Times New Roman" w:hAnsi="Times New Roman" w:cs="Times New Roman"/>
                <w:color w:val="auto"/>
                <w:lang w:val="en-US" w:eastAsia="zh-CN"/>
              </w:rPr>
              <w:t>大</w:t>
            </w:r>
            <w:r>
              <w:rPr>
                <w:rFonts w:hint="default" w:ascii="Times New Roman" w:hAnsi="Times New Roman" w:cs="Times New Roman"/>
                <w:color w:val="auto"/>
                <w:lang w:eastAsia="zh-CN"/>
              </w:rPr>
              <w:t>范围焊接的工件（共计</w:t>
            </w:r>
            <w:r>
              <w:rPr>
                <w:rFonts w:hint="default" w:ascii="Times New Roman" w:hAnsi="Times New Roman" w:cs="Times New Roman"/>
                <w:color w:val="auto"/>
                <w:lang w:val="en-US" w:eastAsia="zh-CN"/>
              </w:rPr>
              <w:t>60t</w:t>
            </w:r>
            <w:r>
              <w:rPr>
                <w:rFonts w:hint="default" w:ascii="Times New Roman" w:hAnsi="Times New Roman" w:cs="Times New Roman"/>
                <w:color w:val="auto"/>
                <w:lang w:eastAsia="zh-CN"/>
              </w:rPr>
              <w:t>）进行CO</w:t>
            </w:r>
            <w:r>
              <w:rPr>
                <w:rFonts w:hint="default" w:ascii="Times New Roman" w:hAnsi="Times New Roman" w:cs="Times New Roman"/>
                <w:color w:val="auto"/>
                <w:vertAlign w:val="subscript"/>
                <w:lang w:eastAsia="zh-CN"/>
              </w:rPr>
              <w:t>2</w:t>
            </w:r>
            <w:r>
              <w:rPr>
                <w:rFonts w:hint="default" w:ascii="Times New Roman" w:hAnsi="Times New Roman" w:cs="Times New Roman"/>
                <w:color w:val="auto"/>
                <w:lang w:eastAsia="zh-CN"/>
              </w:rPr>
              <w:t>气体保护焊和氩弧焊，对于质量要求一般，小范围焊接的工件（共计</w:t>
            </w:r>
            <w:r>
              <w:rPr>
                <w:rFonts w:hint="default" w:ascii="Times New Roman" w:hAnsi="Times New Roman" w:cs="Times New Roman"/>
                <w:color w:val="auto"/>
                <w:lang w:val="en-US" w:eastAsia="zh-CN"/>
              </w:rPr>
              <w:t>265t</w:t>
            </w:r>
            <w:r>
              <w:rPr>
                <w:rFonts w:hint="default" w:ascii="Times New Roman" w:hAnsi="Times New Roman" w:cs="Times New Roman"/>
                <w:color w:val="auto"/>
                <w:lang w:eastAsia="zh-CN"/>
              </w:rPr>
              <w:t>）进行手工电弧焊接，焊接过程产生焊接烟尘</w:t>
            </w:r>
            <w:r>
              <w:rPr>
                <w:rFonts w:hint="default" w:ascii="Times New Roman" w:hAnsi="Times New Roman" w:cs="Times New Roman"/>
                <w:color w:val="auto"/>
                <w:lang w:val="en-US" w:eastAsia="zh-CN"/>
              </w:rPr>
              <w:t>G3</w:t>
            </w:r>
            <w:r>
              <w:rPr>
                <w:rFonts w:hint="eastAsia" w:cs="Times New Roman"/>
                <w:color w:val="auto"/>
                <w:lang w:val="en-US" w:eastAsia="zh-CN"/>
              </w:rPr>
              <w:t>（主要为锡及其化合物、铜及其化合物）</w:t>
            </w:r>
            <w:r>
              <w:rPr>
                <w:rFonts w:hint="default" w:ascii="Times New Roman" w:hAnsi="Times New Roman" w:cs="Times New Roman"/>
                <w:color w:val="auto"/>
                <w:lang w:val="en-US" w:eastAsia="zh-CN"/>
              </w:rPr>
              <w:t>、焊丝废包装材料S1</w:t>
            </w:r>
            <w:r>
              <w:rPr>
                <w:rFonts w:hint="eastAsia" w:cs="Times New Roman"/>
                <w:color w:val="auto"/>
                <w:lang w:val="en-US" w:eastAsia="zh-CN"/>
              </w:rPr>
              <w:t>、焊渣S6</w:t>
            </w:r>
            <w:r>
              <w:rPr>
                <w:rFonts w:hint="default" w:ascii="Times New Roman" w:hAnsi="Times New Roman" w:cs="Times New Roman"/>
                <w:color w:val="auto"/>
                <w:lang w:val="en-US" w:eastAsia="zh-CN"/>
              </w:rPr>
              <w:t>以及设备运行噪声N。</w:t>
            </w:r>
          </w:p>
          <w:p w14:paraId="1BDB0F01">
            <w:pPr>
              <w:ind w:firstLine="420"/>
              <w:rPr>
                <w:rFonts w:hint="default" w:ascii="Times New Roman" w:hAnsi="Times New Roman" w:cs="Times New Roman"/>
                <w:color w:val="auto"/>
              </w:rPr>
            </w:pPr>
            <w:r>
              <w:rPr>
                <w:rFonts w:hint="default" w:ascii="Times New Roman" w:hAnsi="Times New Roman" w:cs="Times New Roman"/>
                <w:color w:val="auto"/>
              </w:rPr>
              <w:t>（</w:t>
            </w:r>
            <w:r>
              <w:rPr>
                <w:rFonts w:hint="default" w:ascii="Times New Roman" w:hAnsi="Times New Roman" w:cs="Times New Roman"/>
                <w:color w:val="auto"/>
                <w:lang w:val="en-US" w:eastAsia="zh-CN"/>
              </w:rPr>
              <w:t>6</w:t>
            </w:r>
            <w:r>
              <w:rPr>
                <w:rFonts w:hint="default" w:ascii="Times New Roman" w:hAnsi="Times New Roman" w:cs="Times New Roman"/>
                <w:color w:val="auto"/>
              </w:rPr>
              <w:t>）金属零部件组装</w:t>
            </w:r>
          </w:p>
          <w:p w14:paraId="21E6CF44">
            <w:pPr>
              <w:ind w:firstLine="420"/>
              <w:rPr>
                <w:rFonts w:hint="default" w:ascii="Times New Roman" w:hAnsi="Times New Roman" w:cs="Times New Roman"/>
                <w:color w:val="auto"/>
                <w:lang w:eastAsia="zh-CN"/>
              </w:rPr>
            </w:pPr>
            <w:r>
              <w:rPr>
                <w:rFonts w:hint="default" w:ascii="Times New Roman" w:hAnsi="Times New Roman" w:cs="Times New Roman"/>
                <w:color w:val="auto"/>
                <w:lang w:eastAsia="zh-CN"/>
              </w:rPr>
              <w:t>对上述金属件通过螺栓、螺母和螺钉等零部件通过人工进行组装，此过程产生</w:t>
            </w:r>
            <w:r>
              <w:rPr>
                <w:rFonts w:hint="default" w:ascii="Times New Roman" w:hAnsi="Times New Roman" w:cs="Times New Roman"/>
                <w:color w:val="auto"/>
                <w:lang w:val="en-US" w:eastAsia="zh-CN"/>
              </w:rPr>
              <w:t>废包装材料S1以及设备运行噪声N。</w:t>
            </w:r>
          </w:p>
          <w:p w14:paraId="231F4EC2">
            <w:pPr>
              <w:ind w:firstLine="420"/>
              <w:rPr>
                <w:rFonts w:hint="default" w:ascii="Times New Roman" w:hAnsi="Times New Roman" w:cs="Times New Roman"/>
                <w:color w:val="auto"/>
              </w:rPr>
            </w:pPr>
            <w:r>
              <w:rPr>
                <w:rFonts w:hint="default" w:ascii="Times New Roman" w:hAnsi="Times New Roman" w:cs="Times New Roman"/>
                <w:color w:val="auto"/>
              </w:rPr>
              <w:t>（</w:t>
            </w:r>
            <w:r>
              <w:rPr>
                <w:rFonts w:hint="default" w:ascii="Times New Roman" w:hAnsi="Times New Roman" w:cs="Times New Roman"/>
                <w:color w:val="auto"/>
                <w:lang w:val="en-US" w:eastAsia="zh-CN"/>
              </w:rPr>
              <w:t>7</w:t>
            </w:r>
            <w:r>
              <w:rPr>
                <w:rFonts w:hint="default" w:ascii="Times New Roman" w:hAnsi="Times New Roman" w:cs="Times New Roman"/>
                <w:color w:val="auto"/>
              </w:rPr>
              <w:t>）</w:t>
            </w:r>
            <w:r>
              <w:rPr>
                <w:rFonts w:hint="default" w:ascii="Times New Roman" w:hAnsi="Times New Roman" w:cs="Times New Roman"/>
                <w:color w:val="auto"/>
                <w:lang w:eastAsia="zh-CN"/>
              </w:rPr>
              <w:t>内部组件</w:t>
            </w:r>
            <w:r>
              <w:rPr>
                <w:rFonts w:hint="default" w:ascii="Times New Roman" w:hAnsi="Times New Roman" w:cs="Times New Roman"/>
                <w:color w:val="auto"/>
              </w:rPr>
              <w:t>组装</w:t>
            </w:r>
          </w:p>
          <w:p w14:paraId="031D3D39">
            <w:pPr>
              <w:ind w:firstLine="420"/>
              <w:rPr>
                <w:rFonts w:hint="default" w:ascii="Times New Roman" w:hAnsi="Times New Roman" w:cs="Times New Roman"/>
                <w:color w:val="auto"/>
              </w:rPr>
            </w:pPr>
            <w:r>
              <w:rPr>
                <w:rFonts w:hint="default" w:ascii="Times New Roman" w:hAnsi="Times New Roman" w:cs="Times New Roman"/>
                <w:color w:val="auto"/>
              </w:rPr>
              <w:t>将电机、</w:t>
            </w:r>
            <w:r>
              <w:rPr>
                <w:rFonts w:hint="default" w:ascii="Times New Roman" w:hAnsi="Times New Roman" w:cs="Times New Roman"/>
                <w:color w:val="auto"/>
                <w:lang w:eastAsia="zh-CN"/>
              </w:rPr>
              <w:t>气缸等内部控制组件</w:t>
            </w:r>
            <w:r>
              <w:rPr>
                <w:rFonts w:hint="default" w:ascii="Times New Roman" w:hAnsi="Times New Roman" w:cs="Times New Roman"/>
                <w:color w:val="auto"/>
              </w:rPr>
              <w:t>通过人工进行组装，</w:t>
            </w:r>
            <w:r>
              <w:rPr>
                <w:rFonts w:hint="default" w:ascii="Times New Roman" w:hAnsi="Times New Roman" w:cs="Times New Roman"/>
                <w:color w:val="auto"/>
                <w:lang w:eastAsia="zh-CN"/>
              </w:rPr>
              <w:t>此过程产生</w:t>
            </w:r>
            <w:r>
              <w:rPr>
                <w:rFonts w:hint="default" w:ascii="Times New Roman" w:hAnsi="Times New Roman" w:cs="Times New Roman"/>
                <w:color w:val="auto"/>
                <w:lang w:val="en-US" w:eastAsia="zh-CN"/>
              </w:rPr>
              <w:t>废包装材料S1以及设备运行噪声N。</w:t>
            </w:r>
          </w:p>
          <w:p w14:paraId="725FE855">
            <w:pPr>
              <w:ind w:firstLine="420"/>
              <w:rPr>
                <w:rFonts w:hint="default" w:ascii="Times New Roman" w:hAnsi="Times New Roman" w:cs="Times New Roman"/>
                <w:color w:val="auto"/>
                <w:lang w:eastAsia="zh-CN"/>
              </w:rPr>
            </w:pPr>
            <w:r>
              <w:rPr>
                <w:rFonts w:hint="default" w:ascii="Times New Roman" w:hAnsi="Times New Roman" w:cs="Times New Roman"/>
                <w:color w:val="auto"/>
              </w:rPr>
              <w:t>（</w:t>
            </w:r>
            <w:r>
              <w:rPr>
                <w:rFonts w:hint="default" w:ascii="Times New Roman" w:hAnsi="Times New Roman" w:cs="Times New Roman"/>
                <w:color w:val="auto"/>
                <w:lang w:val="en-US" w:eastAsia="zh-CN"/>
              </w:rPr>
              <w:t>8</w:t>
            </w:r>
            <w:r>
              <w:rPr>
                <w:rFonts w:hint="default" w:ascii="Times New Roman" w:hAnsi="Times New Roman" w:cs="Times New Roman"/>
                <w:color w:val="auto"/>
                <w:lang w:eastAsia="zh-CN"/>
              </w:rPr>
              <w:t>）喷漆、晾干</w:t>
            </w:r>
          </w:p>
          <w:p w14:paraId="2612FDD0">
            <w:pPr>
              <w:ind w:firstLine="420"/>
              <w:rPr>
                <w:rFonts w:hint="default" w:ascii="Times New Roman" w:hAnsi="Times New Roman" w:cs="Times New Roman"/>
                <w:color w:val="auto"/>
              </w:rPr>
            </w:pPr>
            <w:r>
              <w:rPr>
                <w:rFonts w:hint="default" w:ascii="Times New Roman" w:hAnsi="Times New Roman" w:cs="Times New Roman"/>
                <w:color w:val="auto"/>
              </w:rPr>
              <w:t>本项目</w:t>
            </w:r>
            <w:r>
              <w:rPr>
                <w:rFonts w:hint="default" w:ascii="Times New Roman" w:hAnsi="Times New Roman" w:cs="Times New Roman"/>
                <w:color w:val="auto"/>
                <w:lang w:val="en-US" w:eastAsia="zh-CN"/>
              </w:rPr>
              <w:t>面</w:t>
            </w:r>
            <w:r>
              <w:rPr>
                <w:rFonts w:hint="default" w:ascii="Times New Roman" w:hAnsi="Times New Roman" w:cs="Times New Roman"/>
                <w:color w:val="auto"/>
              </w:rPr>
              <w:t>漆不使用时各类未使用完的漆料均密闭放置在</w:t>
            </w:r>
            <w:r>
              <w:rPr>
                <w:rFonts w:hint="eastAsia" w:cs="Times New Roman"/>
                <w:color w:val="auto"/>
                <w:lang w:eastAsia="zh-CN"/>
              </w:rPr>
              <w:t>辅料</w:t>
            </w:r>
            <w:r>
              <w:rPr>
                <w:rFonts w:hint="default" w:ascii="Times New Roman" w:hAnsi="Times New Roman" w:cs="Times New Roman"/>
                <w:color w:val="auto"/>
              </w:rPr>
              <w:t>库内，主要环境影响体现在喷漆、晾干过程中。</w:t>
            </w:r>
          </w:p>
          <w:p w14:paraId="10C127FB">
            <w:pPr>
              <w:ind w:firstLine="420"/>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①第一遍喷漆、晾干</w:t>
            </w:r>
          </w:p>
          <w:p w14:paraId="4A840365">
            <w:pPr>
              <w:ind w:firstLine="420"/>
              <w:rPr>
                <w:rFonts w:hint="default" w:ascii="Times New Roman" w:hAnsi="Times New Roman" w:cs="Times New Roman"/>
                <w:color w:val="auto"/>
              </w:rPr>
            </w:pPr>
            <w:r>
              <w:rPr>
                <w:rFonts w:hint="default" w:ascii="Times New Roman" w:hAnsi="Times New Roman" w:cs="Times New Roman"/>
                <w:color w:val="auto"/>
              </w:rPr>
              <w:t>将</w:t>
            </w:r>
            <w:r>
              <w:rPr>
                <w:rFonts w:hint="eastAsia" w:cs="Times New Roman"/>
                <w:color w:val="auto"/>
                <w:lang w:eastAsia="zh-CN"/>
              </w:rPr>
              <w:t>外购</w:t>
            </w:r>
            <w:r>
              <w:rPr>
                <w:rFonts w:hint="default" w:ascii="Times New Roman" w:hAnsi="Times New Roman" w:cs="Times New Roman"/>
                <w:color w:val="auto"/>
              </w:rPr>
              <w:t>的面漆通过喷枪对</w:t>
            </w:r>
            <w:r>
              <w:rPr>
                <w:rFonts w:hint="default" w:ascii="Times New Roman" w:hAnsi="Times New Roman" w:cs="Times New Roman"/>
                <w:color w:val="auto"/>
                <w:lang w:val="en-US" w:eastAsia="zh-CN"/>
              </w:rPr>
              <w:t>产品外壳</w:t>
            </w:r>
            <w:r>
              <w:rPr>
                <w:rFonts w:hint="default" w:ascii="Times New Roman" w:hAnsi="Times New Roman" w:cs="Times New Roman"/>
                <w:color w:val="auto"/>
              </w:rPr>
              <w:t>进行</w:t>
            </w:r>
            <w:r>
              <w:rPr>
                <w:rFonts w:hint="default" w:ascii="Times New Roman" w:hAnsi="Times New Roman" w:cs="Times New Roman"/>
                <w:color w:val="auto"/>
                <w:lang w:val="en-US" w:eastAsia="zh-CN"/>
              </w:rPr>
              <w:t>喷漆</w:t>
            </w:r>
            <w:r>
              <w:rPr>
                <w:rFonts w:hint="default" w:ascii="Times New Roman" w:hAnsi="Times New Roman" w:cs="Times New Roman"/>
                <w:color w:val="auto"/>
              </w:rPr>
              <w:t>，每日面漆喷漆时间为</w:t>
            </w:r>
            <w:r>
              <w:rPr>
                <w:rFonts w:hint="default" w:ascii="Times New Roman" w:hAnsi="Times New Roman" w:cs="Times New Roman"/>
                <w:color w:val="auto"/>
                <w:lang w:val="en-US" w:eastAsia="zh-CN"/>
              </w:rPr>
              <w:t>8</w:t>
            </w:r>
            <w:r>
              <w:rPr>
                <w:rFonts w:hint="default" w:ascii="Times New Roman" w:hAnsi="Times New Roman" w:cs="Times New Roman"/>
                <w:color w:val="auto"/>
              </w:rPr>
              <w:t>h，</w:t>
            </w:r>
            <w:r>
              <w:rPr>
                <w:rFonts w:hint="default" w:ascii="Times New Roman" w:hAnsi="Times New Roman" w:cs="Times New Roman"/>
                <w:color w:val="auto"/>
                <w:lang w:val="en-US" w:eastAsia="zh-CN"/>
              </w:rPr>
              <w:t>年共计喷漆150d，</w:t>
            </w:r>
            <w:r>
              <w:rPr>
                <w:rFonts w:hint="default" w:ascii="Times New Roman" w:hAnsi="Times New Roman" w:cs="Times New Roman"/>
                <w:color w:val="auto"/>
              </w:rPr>
              <w:t>此工序主要产生喷漆废气G</w:t>
            </w:r>
            <w:r>
              <w:rPr>
                <w:rFonts w:hint="eastAsia" w:cs="Times New Roman"/>
                <w:color w:val="auto"/>
                <w:lang w:val="en-US" w:eastAsia="zh-CN"/>
              </w:rPr>
              <w:t>4</w:t>
            </w:r>
            <w:r>
              <w:rPr>
                <w:rFonts w:hint="default" w:ascii="Times New Roman" w:hAnsi="Times New Roman" w:cs="Times New Roman"/>
                <w:color w:val="auto"/>
                <w:lang w:val="en-US" w:eastAsia="zh-CN"/>
              </w:rPr>
              <w:t>、</w:t>
            </w:r>
            <w:r>
              <w:rPr>
                <w:rFonts w:hint="default" w:ascii="Times New Roman" w:hAnsi="Times New Roman" w:cs="Times New Roman"/>
                <w:color w:val="auto"/>
                <w:lang w:eastAsia="zh-CN"/>
              </w:rPr>
              <w:t>水性丙烯酸面漆</w:t>
            </w:r>
            <w:r>
              <w:rPr>
                <w:rFonts w:hint="default" w:ascii="Times New Roman" w:hAnsi="Times New Roman" w:cs="Times New Roman"/>
                <w:color w:val="auto"/>
              </w:rPr>
              <w:t>废包装桶</w:t>
            </w:r>
            <w:r>
              <w:rPr>
                <w:rFonts w:hint="default" w:ascii="Times New Roman" w:hAnsi="Times New Roman" w:cs="Times New Roman"/>
                <w:color w:val="auto"/>
                <w:lang w:val="en-US" w:eastAsia="zh-CN"/>
              </w:rPr>
              <w:t>S</w:t>
            </w:r>
            <w:r>
              <w:rPr>
                <w:rFonts w:hint="eastAsia" w:ascii="Times New Roman" w:hAnsi="Times New Roman" w:cs="Times New Roman"/>
                <w:color w:val="auto"/>
                <w:lang w:val="en-US" w:eastAsia="zh-CN"/>
              </w:rPr>
              <w:t>7、</w:t>
            </w:r>
            <w:r>
              <w:rPr>
                <w:rFonts w:hint="default" w:ascii="Times New Roman" w:hAnsi="Times New Roman" w:cs="Times New Roman"/>
                <w:color w:val="auto"/>
                <w:lang w:val="en-US" w:eastAsia="zh-CN"/>
              </w:rPr>
              <w:t>喷到地面的面漆定期清理漆渣S</w:t>
            </w:r>
            <w:r>
              <w:rPr>
                <w:rFonts w:hint="eastAsia" w:ascii="Times New Roman" w:hAnsi="Times New Roman" w:cs="Times New Roman"/>
                <w:color w:val="auto"/>
                <w:lang w:val="en-US" w:eastAsia="zh-CN"/>
              </w:rPr>
              <w:t>8</w:t>
            </w:r>
            <w:r>
              <w:rPr>
                <w:rFonts w:hint="default" w:ascii="Times New Roman" w:hAnsi="Times New Roman" w:cs="Times New Roman"/>
                <w:color w:val="auto"/>
                <w:lang w:val="en-US" w:eastAsia="zh-CN"/>
              </w:rPr>
              <w:t>以及设备运行噪声N</w:t>
            </w:r>
            <w:r>
              <w:rPr>
                <w:rFonts w:hint="default" w:ascii="Times New Roman" w:hAnsi="Times New Roman" w:cs="Times New Roman"/>
                <w:color w:val="auto"/>
              </w:rPr>
              <w:t>。</w:t>
            </w:r>
          </w:p>
          <w:p w14:paraId="74934418">
            <w:pPr>
              <w:ind w:firstLine="420"/>
              <w:rPr>
                <w:rFonts w:hint="default" w:ascii="Times New Roman" w:hAnsi="Times New Roman" w:cs="Times New Roman"/>
                <w:color w:val="auto"/>
              </w:rPr>
            </w:pPr>
            <w:r>
              <w:rPr>
                <w:rFonts w:hint="default" w:ascii="Times New Roman" w:hAnsi="Times New Roman" w:cs="Times New Roman"/>
                <w:color w:val="auto"/>
              </w:rPr>
              <w:t>将喷涂面漆完成的外壳放置在</w:t>
            </w:r>
            <w:r>
              <w:rPr>
                <w:rFonts w:hint="eastAsia" w:cs="Times New Roman"/>
                <w:color w:val="auto"/>
                <w:lang w:eastAsia="zh-CN"/>
              </w:rPr>
              <w:t>晾干</w:t>
            </w:r>
            <w:r>
              <w:rPr>
                <w:rFonts w:hint="default" w:ascii="Times New Roman" w:hAnsi="Times New Roman" w:cs="Times New Roman"/>
                <w:color w:val="auto"/>
              </w:rPr>
              <w:t>房内自然晾干</w:t>
            </w:r>
            <w:r>
              <w:rPr>
                <w:rFonts w:hint="eastAsia" w:cs="Times New Roman"/>
                <w:color w:val="auto"/>
                <w:lang w:eastAsia="zh-CN"/>
              </w:rPr>
              <w:t>（冬季采用灯管加热晾干）</w:t>
            </w:r>
            <w:r>
              <w:rPr>
                <w:rFonts w:hint="default" w:ascii="Times New Roman" w:hAnsi="Times New Roman" w:cs="Times New Roman"/>
                <w:color w:val="auto"/>
              </w:rPr>
              <w:t>，</w:t>
            </w:r>
            <w:r>
              <w:rPr>
                <w:rFonts w:hint="default" w:ascii="Times New Roman" w:hAnsi="Times New Roman" w:cs="Times New Roman"/>
                <w:color w:val="auto"/>
                <w:lang w:val="en-US" w:eastAsia="zh-CN"/>
              </w:rPr>
              <w:t>每台产品每次</w:t>
            </w:r>
            <w:r>
              <w:rPr>
                <w:rFonts w:hint="default" w:ascii="Times New Roman" w:hAnsi="Times New Roman" w:cs="Times New Roman"/>
                <w:color w:val="auto"/>
              </w:rPr>
              <w:t>晾干时间约为</w:t>
            </w:r>
            <w:r>
              <w:rPr>
                <w:rFonts w:hint="default" w:ascii="Times New Roman" w:hAnsi="Times New Roman" w:cs="Times New Roman"/>
                <w:color w:val="auto"/>
                <w:lang w:val="en-US" w:eastAsia="zh-CN"/>
              </w:rPr>
              <w:t>4</w:t>
            </w:r>
            <w:r>
              <w:rPr>
                <w:rFonts w:hint="default" w:ascii="Times New Roman" w:hAnsi="Times New Roman" w:cs="Times New Roman"/>
                <w:color w:val="auto"/>
              </w:rPr>
              <w:t>h，</w:t>
            </w:r>
            <w:r>
              <w:rPr>
                <w:rFonts w:hint="default" w:ascii="Times New Roman" w:hAnsi="Times New Roman" w:cs="Times New Roman"/>
                <w:color w:val="auto"/>
                <w:lang w:val="en-US" w:eastAsia="zh-CN"/>
              </w:rPr>
              <w:t>年共计晾干200d，</w:t>
            </w:r>
            <w:r>
              <w:rPr>
                <w:rFonts w:hint="default" w:ascii="Times New Roman" w:hAnsi="Times New Roman" w:cs="Times New Roman"/>
                <w:color w:val="auto"/>
              </w:rPr>
              <w:t>晾干过程中会产生</w:t>
            </w:r>
            <w:r>
              <w:rPr>
                <w:rFonts w:hint="default" w:ascii="Times New Roman" w:hAnsi="Times New Roman" w:cs="Times New Roman"/>
                <w:color w:val="auto"/>
                <w:lang w:eastAsia="zh-CN"/>
              </w:rPr>
              <w:t>有机</w:t>
            </w:r>
            <w:r>
              <w:rPr>
                <w:rFonts w:hint="default" w:ascii="Times New Roman" w:hAnsi="Times New Roman" w:cs="Times New Roman"/>
                <w:color w:val="auto"/>
              </w:rPr>
              <w:t>废气G</w:t>
            </w:r>
            <w:r>
              <w:rPr>
                <w:rFonts w:hint="eastAsia" w:cs="Times New Roman"/>
                <w:color w:val="auto"/>
                <w:lang w:val="en-US" w:eastAsia="zh-CN"/>
              </w:rPr>
              <w:t>5</w:t>
            </w:r>
            <w:r>
              <w:rPr>
                <w:rFonts w:hint="default" w:ascii="Times New Roman" w:hAnsi="Times New Roman" w:cs="Times New Roman"/>
                <w:color w:val="auto"/>
              </w:rPr>
              <w:t>。</w:t>
            </w:r>
          </w:p>
          <w:p w14:paraId="0B574E3D">
            <w:pPr>
              <w:ind w:firstLine="420"/>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②第二遍喷漆、晾干</w:t>
            </w:r>
          </w:p>
          <w:p w14:paraId="3B00393F">
            <w:pPr>
              <w:ind w:firstLine="420"/>
              <w:rPr>
                <w:rFonts w:hint="eastAsia" w:cs="Times New Roman"/>
                <w:color w:val="auto"/>
                <w:lang w:val="en-US" w:eastAsia="zh-CN"/>
              </w:rPr>
            </w:pPr>
            <w:r>
              <w:rPr>
                <w:rFonts w:hint="default" w:ascii="Times New Roman" w:hAnsi="Times New Roman" w:cs="Times New Roman"/>
                <w:color w:val="auto"/>
                <w:lang w:val="en-US" w:eastAsia="zh-CN"/>
              </w:rPr>
              <w:t>待第一次面漆晾干后重复喷漆和</w:t>
            </w:r>
            <w:r>
              <w:rPr>
                <w:rFonts w:hint="eastAsia" w:cs="Times New Roman"/>
                <w:color w:val="auto"/>
                <w:lang w:val="en-US" w:eastAsia="zh-CN"/>
              </w:rPr>
              <w:t>自然</w:t>
            </w:r>
            <w:r>
              <w:rPr>
                <w:rFonts w:hint="default" w:ascii="Times New Roman" w:hAnsi="Times New Roman" w:cs="Times New Roman"/>
                <w:color w:val="auto"/>
                <w:lang w:val="en-US" w:eastAsia="zh-CN"/>
              </w:rPr>
              <w:t>晾干</w:t>
            </w:r>
            <w:r>
              <w:rPr>
                <w:rFonts w:hint="eastAsia" w:cs="Times New Roman"/>
                <w:color w:val="auto"/>
                <w:lang w:eastAsia="zh-CN"/>
              </w:rPr>
              <w:t>（冬季采用远红外灯管加热晾干）</w:t>
            </w:r>
            <w:r>
              <w:rPr>
                <w:rFonts w:hint="default" w:ascii="Times New Roman" w:hAnsi="Times New Roman" w:cs="Times New Roman"/>
                <w:color w:val="auto"/>
                <w:lang w:val="en-US" w:eastAsia="zh-CN"/>
              </w:rPr>
              <w:t>，</w:t>
            </w:r>
            <w:r>
              <w:rPr>
                <w:rFonts w:hint="default" w:ascii="Times New Roman" w:hAnsi="Times New Roman" w:cs="Times New Roman"/>
                <w:color w:val="auto"/>
              </w:rPr>
              <w:t>此工序主要产生喷漆废气G</w:t>
            </w:r>
            <w:r>
              <w:rPr>
                <w:rFonts w:hint="eastAsia" w:cs="Times New Roman"/>
                <w:color w:val="auto"/>
                <w:lang w:val="en-US" w:eastAsia="zh-CN"/>
              </w:rPr>
              <w:t>4</w:t>
            </w:r>
            <w:r>
              <w:rPr>
                <w:rFonts w:hint="default" w:ascii="Times New Roman" w:hAnsi="Times New Roman" w:cs="Times New Roman"/>
                <w:color w:val="auto"/>
                <w:lang w:val="en-US" w:eastAsia="zh-CN"/>
              </w:rPr>
              <w:t>、</w:t>
            </w:r>
            <w:r>
              <w:rPr>
                <w:rFonts w:hint="default" w:ascii="Times New Roman" w:hAnsi="Times New Roman" w:cs="Times New Roman"/>
                <w:color w:val="auto"/>
                <w:lang w:eastAsia="zh-CN"/>
              </w:rPr>
              <w:t>水性丙烯酸面漆</w:t>
            </w:r>
            <w:r>
              <w:rPr>
                <w:rFonts w:hint="default" w:ascii="Times New Roman" w:hAnsi="Times New Roman" w:cs="Times New Roman"/>
                <w:color w:val="auto"/>
              </w:rPr>
              <w:t>废包装桶</w:t>
            </w:r>
            <w:r>
              <w:rPr>
                <w:rFonts w:hint="default" w:ascii="Times New Roman" w:hAnsi="Times New Roman" w:cs="Times New Roman"/>
                <w:color w:val="auto"/>
                <w:lang w:val="en-US" w:eastAsia="zh-CN"/>
              </w:rPr>
              <w:t>S</w:t>
            </w:r>
            <w:r>
              <w:rPr>
                <w:rFonts w:hint="eastAsia" w:ascii="Times New Roman" w:hAnsi="Times New Roman" w:cs="Times New Roman"/>
                <w:color w:val="auto"/>
                <w:lang w:val="en-US" w:eastAsia="zh-CN"/>
              </w:rPr>
              <w:t>7、</w:t>
            </w:r>
            <w:r>
              <w:rPr>
                <w:rFonts w:hint="default" w:ascii="Times New Roman" w:hAnsi="Times New Roman" w:cs="Times New Roman"/>
                <w:color w:val="auto"/>
                <w:lang w:val="en-US" w:eastAsia="zh-CN"/>
              </w:rPr>
              <w:t>喷到地面的面漆定期清理漆渣S</w:t>
            </w:r>
            <w:r>
              <w:rPr>
                <w:rFonts w:hint="eastAsia" w:ascii="Times New Roman" w:hAnsi="Times New Roman" w:cs="Times New Roman"/>
                <w:color w:val="auto"/>
                <w:lang w:val="en-US" w:eastAsia="zh-CN"/>
              </w:rPr>
              <w:t>8</w:t>
            </w:r>
            <w:r>
              <w:rPr>
                <w:rFonts w:hint="default" w:ascii="Times New Roman" w:hAnsi="Times New Roman" w:cs="Times New Roman"/>
                <w:color w:val="auto"/>
                <w:lang w:val="en-US" w:eastAsia="zh-CN"/>
              </w:rPr>
              <w:t>以及设备运行噪声N</w:t>
            </w:r>
            <w:r>
              <w:rPr>
                <w:rFonts w:hint="default" w:ascii="Times New Roman" w:hAnsi="Times New Roman" w:cs="Times New Roman"/>
                <w:color w:val="auto"/>
              </w:rPr>
              <w:t>。晾干过程中会产生</w:t>
            </w:r>
            <w:r>
              <w:rPr>
                <w:rFonts w:hint="default" w:ascii="Times New Roman" w:hAnsi="Times New Roman" w:cs="Times New Roman"/>
                <w:color w:val="auto"/>
                <w:lang w:eastAsia="zh-CN"/>
              </w:rPr>
              <w:t>有机</w:t>
            </w:r>
            <w:r>
              <w:rPr>
                <w:rFonts w:hint="default" w:ascii="Times New Roman" w:hAnsi="Times New Roman" w:cs="Times New Roman"/>
                <w:color w:val="auto"/>
              </w:rPr>
              <w:t>废气G</w:t>
            </w:r>
            <w:r>
              <w:rPr>
                <w:rFonts w:hint="eastAsia" w:cs="Times New Roman"/>
                <w:color w:val="auto"/>
                <w:lang w:val="en-US" w:eastAsia="zh-CN"/>
              </w:rPr>
              <w:t>5。</w:t>
            </w:r>
          </w:p>
          <w:p w14:paraId="0A7932F6">
            <w:pPr>
              <w:ind w:firstLine="420"/>
              <w:rPr>
                <w:rFonts w:hint="default" w:cs="Times New Roman"/>
                <w:color w:val="auto"/>
                <w:lang w:val="en-US" w:eastAsia="zh-CN"/>
              </w:rPr>
            </w:pPr>
            <w:r>
              <w:rPr>
                <w:rFonts w:hint="default" w:ascii="Times New Roman" w:hAnsi="Times New Roman" w:cs="Times New Roman"/>
                <w:color w:val="auto"/>
              </w:rPr>
              <w:t>本项目使用的面漆为</w:t>
            </w:r>
            <w:r>
              <w:rPr>
                <w:rFonts w:hint="eastAsia" w:cs="Times New Roman"/>
                <w:color w:val="auto"/>
                <w:lang w:eastAsia="zh-CN"/>
              </w:rPr>
              <w:t>水性丙烯酸面漆</w:t>
            </w:r>
            <w:r>
              <w:rPr>
                <w:rFonts w:hint="default" w:ascii="Times New Roman" w:hAnsi="Times New Roman" w:cs="Times New Roman"/>
                <w:color w:val="auto"/>
              </w:rPr>
              <w:t>，溶于水，使用后喷头在喷漆房内用自来水清洗，由于喷头残留量极少，仅需在自来水中浸泡半小时后即可溶解，</w:t>
            </w:r>
            <w:r>
              <w:rPr>
                <w:rFonts w:hint="eastAsia" w:cs="Times New Roman"/>
                <w:color w:val="auto"/>
                <w:lang w:eastAsia="zh-CN"/>
              </w:rPr>
              <w:t>考虑喷涂不同颜色的面漆，</w:t>
            </w:r>
            <w:r>
              <w:rPr>
                <w:rFonts w:hint="default" w:ascii="Times New Roman" w:hAnsi="Times New Roman" w:cs="Times New Roman"/>
                <w:color w:val="auto"/>
              </w:rPr>
              <w:t>喷枪喷头</w:t>
            </w:r>
            <w:r>
              <w:rPr>
                <w:rFonts w:hint="eastAsia" w:cs="Times New Roman"/>
                <w:color w:val="auto"/>
                <w:lang w:eastAsia="zh-CN"/>
              </w:rPr>
              <w:t>按</w:t>
            </w:r>
            <w:r>
              <w:rPr>
                <w:rFonts w:hint="default" w:ascii="Times New Roman" w:hAnsi="Times New Roman" w:cs="Times New Roman"/>
                <w:color w:val="auto"/>
              </w:rPr>
              <w:t>每日浸泡</w:t>
            </w:r>
            <w:r>
              <w:rPr>
                <w:rFonts w:hint="eastAsia" w:cs="Times New Roman"/>
                <w:color w:val="auto"/>
                <w:lang w:eastAsia="zh-CN"/>
              </w:rPr>
              <w:t>清洗</w:t>
            </w:r>
            <w:r>
              <w:rPr>
                <w:rFonts w:hint="default" w:ascii="Times New Roman" w:hAnsi="Times New Roman" w:cs="Times New Roman"/>
                <w:color w:val="auto"/>
              </w:rPr>
              <w:t>2次，</w:t>
            </w:r>
            <w:r>
              <w:rPr>
                <w:rFonts w:hint="eastAsia" w:cs="Times New Roman"/>
                <w:color w:val="auto"/>
                <w:lang w:eastAsia="zh-CN"/>
              </w:rPr>
              <w:t>产生的</w:t>
            </w:r>
            <w:r>
              <w:rPr>
                <w:rFonts w:hint="default" w:ascii="Times New Roman" w:hAnsi="Times New Roman" w:cs="Times New Roman"/>
                <w:color w:val="auto"/>
              </w:rPr>
              <w:t>清洗水</w:t>
            </w:r>
            <w:r>
              <w:rPr>
                <w:rFonts w:hint="eastAsia" w:cs="Times New Roman"/>
                <w:color w:val="auto"/>
                <w:lang w:val="en-US" w:eastAsia="zh-CN"/>
              </w:rPr>
              <w:t>S9作为危废，暂存危废暂存间，定期交有资质单位处理</w:t>
            </w:r>
            <w:r>
              <w:rPr>
                <w:rFonts w:hint="default" w:ascii="Times New Roman" w:hAnsi="Times New Roman" w:cs="Times New Roman"/>
                <w:color w:val="auto"/>
              </w:rPr>
              <w:t>。</w:t>
            </w:r>
          </w:p>
          <w:p w14:paraId="1DE661E4">
            <w:pPr>
              <w:ind w:firstLine="420"/>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w:t>
            </w:r>
            <w:r>
              <w:rPr>
                <w:rFonts w:hint="eastAsia" w:cs="Times New Roman"/>
                <w:color w:val="auto"/>
                <w:lang w:val="en-US" w:eastAsia="zh-CN"/>
              </w:rPr>
              <w:t>9</w:t>
            </w:r>
            <w:r>
              <w:rPr>
                <w:rFonts w:hint="default" w:ascii="Times New Roman" w:hAnsi="Times New Roman" w:cs="Times New Roman"/>
                <w:color w:val="auto"/>
                <w:lang w:eastAsia="zh-CN"/>
              </w:rPr>
              <w:t>）整装</w:t>
            </w:r>
          </w:p>
          <w:p w14:paraId="04E7B93A">
            <w:pPr>
              <w:ind w:firstLine="420"/>
              <w:rPr>
                <w:rFonts w:hint="default" w:ascii="Times New Roman" w:hAnsi="Times New Roman" w:eastAsia="宋体" w:cs="Times New Roman"/>
                <w:color w:val="auto"/>
                <w:lang w:val="en-US" w:eastAsia="zh-CN"/>
              </w:rPr>
            </w:pPr>
            <w:r>
              <w:rPr>
                <w:rFonts w:hint="default" w:ascii="Times New Roman" w:hAnsi="Times New Roman" w:cs="Times New Roman"/>
                <w:color w:val="auto"/>
                <w:lang w:eastAsia="zh-CN"/>
              </w:rPr>
              <w:t>将</w:t>
            </w:r>
            <w:r>
              <w:rPr>
                <w:rFonts w:hint="default" w:ascii="Times New Roman" w:hAnsi="Times New Roman" w:cs="Times New Roman"/>
                <w:color w:val="auto"/>
                <w:lang w:val="en-US" w:eastAsia="zh-CN"/>
              </w:rPr>
              <w:t>组装喷漆晾干好的金属零部件和内部组件按照图纸进行整装，即得到产品。</w:t>
            </w:r>
          </w:p>
          <w:p w14:paraId="719DE19B">
            <w:pPr>
              <w:ind w:firstLine="420"/>
              <w:rPr>
                <w:rFonts w:hint="default" w:ascii="Times New Roman" w:hAnsi="Times New Roman" w:cs="Times New Roman"/>
                <w:color w:val="auto"/>
              </w:rPr>
            </w:pP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1</w:t>
            </w:r>
            <w:r>
              <w:rPr>
                <w:rFonts w:hint="eastAsia" w:cs="Times New Roman"/>
                <w:color w:val="auto"/>
                <w:lang w:val="en-US" w:eastAsia="zh-CN"/>
              </w:rPr>
              <w:t>0</w:t>
            </w:r>
            <w:r>
              <w:rPr>
                <w:rFonts w:hint="default" w:ascii="Times New Roman" w:hAnsi="Times New Roman" w:cs="Times New Roman"/>
                <w:color w:val="auto"/>
                <w:lang w:eastAsia="zh-CN"/>
              </w:rPr>
              <w:t>）</w:t>
            </w:r>
            <w:r>
              <w:rPr>
                <w:rFonts w:hint="default" w:ascii="Times New Roman" w:hAnsi="Times New Roman" w:cs="Times New Roman"/>
                <w:color w:val="auto"/>
              </w:rPr>
              <w:t>检测</w:t>
            </w:r>
          </w:p>
          <w:p w14:paraId="60DD66AC">
            <w:pPr>
              <w:ind w:firstLine="420"/>
              <w:rPr>
                <w:rFonts w:hint="default" w:ascii="Times New Roman" w:hAnsi="Times New Roman" w:cs="Times New Roman"/>
                <w:color w:val="auto"/>
              </w:rPr>
            </w:pPr>
            <w:r>
              <w:rPr>
                <w:rFonts w:hint="default" w:ascii="Times New Roman" w:hAnsi="Times New Roman" w:cs="Times New Roman"/>
                <w:color w:val="auto"/>
                <w:lang w:val="en-US" w:eastAsia="zh-CN"/>
              </w:rPr>
              <w:t>整装好的产品进行</w:t>
            </w:r>
            <w:r>
              <w:rPr>
                <w:rFonts w:hint="default" w:ascii="Times New Roman" w:hAnsi="Times New Roman" w:cs="Times New Roman"/>
                <w:color w:val="auto"/>
              </w:rPr>
              <w:t>通电试运行。试运行过程中对控制系统、电机等运行情况进行检查。检测合格的</w:t>
            </w:r>
            <w:r>
              <w:rPr>
                <w:rFonts w:hint="default" w:ascii="Times New Roman" w:hAnsi="Times New Roman" w:cs="Times New Roman"/>
                <w:color w:val="auto"/>
                <w:lang w:val="en-US" w:eastAsia="zh-CN"/>
              </w:rPr>
              <w:t>产品进入后续喷漆</w:t>
            </w:r>
            <w:r>
              <w:rPr>
                <w:rFonts w:hint="default" w:ascii="Times New Roman" w:hAnsi="Times New Roman" w:cs="Times New Roman"/>
                <w:color w:val="auto"/>
              </w:rPr>
              <w:t>，不合格品返修至合格。</w:t>
            </w:r>
          </w:p>
          <w:p w14:paraId="387FBB92">
            <w:pPr>
              <w:ind w:firstLine="420"/>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1</w:t>
            </w:r>
            <w:r>
              <w:rPr>
                <w:rFonts w:hint="default" w:ascii="Times New Roman" w:hAnsi="Times New Roman" w:cs="Times New Roman"/>
                <w:color w:val="auto"/>
              </w:rPr>
              <w:t>）包装入库</w:t>
            </w:r>
          </w:p>
          <w:p w14:paraId="174B9400">
            <w:pPr>
              <w:ind w:firstLine="420"/>
              <w:rPr>
                <w:rFonts w:hint="default" w:ascii="Times New Roman" w:hAnsi="Times New Roman" w:cs="Times New Roman"/>
                <w:color w:val="auto"/>
              </w:rPr>
            </w:pPr>
            <w:r>
              <w:rPr>
                <w:rFonts w:hint="default" w:ascii="Times New Roman" w:hAnsi="Times New Roman" w:cs="Times New Roman"/>
                <w:color w:val="auto"/>
              </w:rPr>
              <w:t>将</w:t>
            </w:r>
            <w:r>
              <w:rPr>
                <w:rFonts w:hint="default" w:ascii="Times New Roman" w:hAnsi="Times New Roman" w:cs="Times New Roman"/>
                <w:color w:val="auto"/>
                <w:lang w:val="en-US" w:eastAsia="zh-CN"/>
              </w:rPr>
              <w:t>检测合格</w:t>
            </w:r>
            <w:r>
              <w:rPr>
                <w:rFonts w:hint="default" w:ascii="Times New Roman" w:hAnsi="Times New Roman" w:cs="Times New Roman"/>
                <w:color w:val="auto"/>
              </w:rPr>
              <w:t>的产品包装入库。该工序主要产生废包装材料S</w:t>
            </w:r>
            <w:r>
              <w:rPr>
                <w:rFonts w:hint="default" w:ascii="Times New Roman" w:hAnsi="Times New Roman" w:cs="Times New Roman"/>
                <w:color w:val="auto"/>
                <w:lang w:val="en-US" w:eastAsia="zh-CN"/>
              </w:rPr>
              <w:t>1</w:t>
            </w:r>
            <w:r>
              <w:rPr>
                <w:rFonts w:hint="default" w:ascii="Times New Roman" w:hAnsi="Times New Roman" w:cs="Times New Roman"/>
                <w:color w:val="auto"/>
              </w:rPr>
              <w:t>。</w:t>
            </w:r>
          </w:p>
          <w:p w14:paraId="4979942C">
            <w:pPr>
              <w:ind w:firstLine="420"/>
              <w:rPr>
                <w:rFonts w:hint="default" w:ascii="Times New Roman" w:hAnsi="Times New Roman" w:cs="Times New Roman"/>
                <w:color w:val="auto"/>
              </w:rPr>
            </w:pPr>
            <w:r>
              <w:rPr>
                <w:rFonts w:hint="default" w:ascii="Times New Roman" w:hAnsi="Times New Roman" w:cs="Times New Roman"/>
                <w:color w:val="auto"/>
              </w:rPr>
              <w:t>非生产环节产污情况说明：</w:t>
            </w:r>
          </w:p>
          <w:p w14:paraId="58364376">
            <w:pPr>
              <w:ind w:firstLine="420"/>
              <w:rPr>
                <w:rFonts w:hint="default" w:ascii="Times New Roman" w:hAnsi="Times New Roman" w:cs="Times New Roman"/>
                <w:color w:val="auto"/>
              </w:rPr>
            </w:pPr>
            <w:r>
              <w:rPr>
                <w:rFonts w:hint="default" w:ascii="Times New Roman" w:hAnsi="Times New Roman" w:cs="Times New Roman"/>
                <w:color w:val="auto"/>
              </w:rPr>
              <w:t>设备定期维护过程产生废润滑油S</w:t>
            </w:r>
            <w:r>
              <w:rPr>
                <w:rFonts w:hint="eastAsia" w:cs="Times New Roman"/>
                <w:color w:val="auto"/>
                <w:lang w:val="en-US" w:eastAsia="zh-CN"/>
              </w:rPr>
              <w:t>11</w:t>
            </w:r>
            <w:r>
              <w:rPr>
                <w:rFonts w:hint="default" w:ascii="Times New Roman" w:hAnsi="Times New Roman" w:cs="Times New Roman"/>
                <w:color w:val="auto"/>
                <w:lang w:val="en-US" w:eastAsia="zh-CN"/>
              </w:rPr>
              <w:t>，</w:t>
            </w:r>
            <w:r>
              <w:rPr>
                <w:rFonts w:hint="default" w:ascii="Times New Roman" w:hAnsi="Times New Roman" w:cs="Times New Roman"/>
                <w:color w:val="auto"/>
              </w:rPr>
              <w:t>员工生产过程使用的抹布和手套沾染矿物油等产生抹布手套S</w:t>
            </w:r>
            <w:r>
              <w:rPr>
                <w:rFonts w:hint="eastAsia" w:cs="Times New Roman"/>
                <w:color w:val="auto"/>
                <w:lang w:val="en-US" w:eastAsia="zh-CN"/>
              </w:rPr>
              <w:t>12</w:t>
            </w:r>
            <w:r>
              <w:rPr>
                <w:rFonts w:hint="default" w:ascii="Times New Roman" w:hAnsi="Times New Roman" w:cs="Times New Roman"/>
                <w:color w:val="auto"/>
                <w:lang w:eastAsia="zh-CN"/>
              </w:rPr>
              <w:t>，</w:t>
            </w:r>
            <w:r>
              <w:rPr>
                <w:rFonts w:hint="default" w:ascii="Times New Roman" w:hAnsi="Times New Roman" w:cs="Times New Roman"/>
                <w:color w:val="auto"/>
              </w:rPr>
              <w:t>处理喷漆废气中颗粒物的废过滤</w:t>
            </w:r>
            <w:r>
              <w:rPr>
                <w:rFonts w:hint="eastAsia" w:cs="Times New Roman"/>
                <w:color w:val="auto"/>
                <w:lang w:eastAsia="zh-CN"/>
              </w:rPr>
              <w:t>材料</w:t>
            </w:r>
            <w:r>
              <w:rPr>
                <w:rFonts w:hint="default" w:ascii="Times New Roman" w:hAnsi="Times New Roman" w:cs="Times New Roman"/>
                <w:color w:val="auto"/>
              </w:rPr>
              <w:t>S</w:t>
            </w:r>
            <w:r>
              <w:rPr>
                <w:rFonts w:hint="default" w:ascii="Times New Roman" w:hAnsi="Times New Roman" w:cs="Times New Roman"/>
                <w:color w:val="auto"/>
                <w:lang w:val="en-US" w:eastAsia="zh-CN"/>
              </w:rPr>
              <w:t>1</w:t>
            </w:r>
            <w:r>
              <w:rPr>
                <w:rFonts w:hint="eastAsia" w:cs="Times New Roman"/>
                <w:color w:val="auto"/>
                <w:lang w:val="en-US" w:eastAsia="zh-CN"/>
              </w:rPr>
              <w:t>3</w:t>
            </w:r>
            <w:r>
              <w:rPr>
                <w:rFonts w:hint="default" w:ascii="Times New Roman" w:hAnsi="Times New Roman" w:cs="Times New Roman"/>
                <w:color w:val="auto"/>
              </w:rPr>
              <w:t>；处理有机废气定期更换的废活性炭S</w:t>
            </w:r>
            <w:r>
              <w:rPr>
                <w:rFonts w:hint="default" w:ascii="Times New Roman" w:hAnsi="Times New Roman" w:cs="Times New Roman"/>
                <w:color w:val="auto"/>
                <w:lang w:val="en-US" w:eastAsia="zh-CN"/>
              </w:rPr>
              <w:t>1</w:t>
            </w:r>
            <w:r>
              <w:rPr>
                <w:rFonts w:hint="eastAsia" w:cs="Times New Roman"/>
                <w:color w:val="auto"/>
                <w:lang w:val="en-US" w:eastAsia="zh-CN"/>
              </w:rPr>
              <w:t>4</w:t>
            </w:r>
            <w:r>
              <w:rPr>
                <w:rFonts w:hint="default" w:ascii="Times New Roman" w:hAnsi="Times New Roman" w:cs="Times New Roman"/>
                <w:color w:val="auto"/>
                <w:lang w:val="en-US" w:eastAsia="zh-CN"/>
              </w:rPr>
              <w:t>，布袋除尘器收集</w:t>
            </w:r>
            <w:r>
              <w:rPr>
                <w:rFonts w:hint="eastAsia" w:cs="Times New Roman"/>
                <w:color w:val="auto"/>
                <w:lang w:val="en-US" w:eastAsia="zh-CN"/>
              </w:rPr>
              <w:t>锯床切割、</w:t>
            </w:r>
            <w:r>
              <w:rPr>
                <w:rFonts w:hint="default" w:ascii="Times New Roman" w:hAnsi="Times New Roman" w:cs="Times New Roman"/>
                <w:color w:val="auto"/>
                <w:lang w:val="en-US" w:eastAsia="zh-CN"/>
              </w:rPr>
              <w:t>激光切割粉尘S1</w:t>
            </w:r>
            <w:r>
              <w:rPr>
                <w:rFonts w:hint="eastAsia" w:cs="Times New Roman"/>
                <w:color w:val="auto"/>
                <w:lang w:val="en-US" w:eastAsia="zh-CN"/>
              </w:rPr>
              <w:t>5</w:t>
            </w:r>
            <w:r>
              <w:rPr>
                <w:rFonts w:hint="default" w:ascii="Times New Roman" w:hAnsi="Times New Roman" w:cs="Times New Roman"/>
                <w:color w:val="auto"/>
                <w:lang w:val="en-US" w:eastAsia="zh-CN"/>
              </w:rPr>
              <w:t>、</w:t>
            </w:r>
            <w:r>
              <w:rPr>
                <w:rFonts w:hint="default" w:ascii="Times New Roman" w:hAnsi="Times New Roman" w:cs="Times New Roman"/>
                <w:color w:val="auto"/>
                <w:lang w:eastAsia="zh-CN"/>
              </w:rPr>
              <w:t>处理</w:t>
            </w:r>
            <w:r>
              <w:rPr>
                <w:rFonts w:hint="eastAsia" w:cs="Times New Roman"/>
                <w:color w:val="auto"/>
                <w:lang w:eastAsia="zh-CN"/>
              </w:rPr>
              <w:t>锯床切割、</w:t>
            </w:r>
            <w:r>
              <w:rPr>
                <w:rFonts w:hint="default" w:ascii="Times New Roman" w:hAnsi="Times New Roman" w:cs="Times New Roman"/>
                <w:color w:val="auto"/>
                <w:lang w:eastAsia="zh-CN"/>
              </w:rPr>
              <w:t>激光下料烟尘定期更换的废布袋</w:t>
            </w:r>
            <w:r>
              <w:rPr>
                <w:rFonts w:hint="default" w:ascii="Times New Roman" w:hAnsi="Times New Roman" w:cs="Times New Roman"/>
                <w:color w:val="auto"/>
                <w:lang w:val="en-US" w:eastAsia="zh-CN"/>
              </w:rPr>
              <w:t>S1</w:t>
            </w:r>
            <w:r>
              <w:rPr>
                <w:rFonts w:hint="eastAsia" w:cs="Times New Roman"/>
                <w:color w:val="auto"/>
                <w:lang w:val="en-US" w:eastAsia="zh-CN"/>
              </w:rPr>
              <w:t>6</w:t>
            </w:r>
            <w:r>
              <w:rPr>
                <w:rFonts w:hint="default" w:ascii="Times New Roman" w:hAnsi="Times New Roman" w:cs="Times New Roman"/>
                <w:color w:val="auto"/>
                <w:lang w:val="en-US" w:eastAsia="zh-CN"/>
              </w:rPr>
              <w:t>，焊接使用的保护气废气瓶S1</w:t>
            </w:r>
            <w:r>
              <w:rPr>
                <w:rFonts w:hint="eastAsia" w:cs="Times New Roman"/>
                <w:color w:val="auto"/>
                <w:lang w:val="en-US" w:eastAsia="zh-CN"/>
              </w:rPr>
              <w:t>7</w:t>
            </w:r>
            <w:r>
              <w:rPr>
                <w:rFonts w:hint="default" w:ascii="Times New Roman" w:hAnsi="Times New Roman" w:cs="Times New Roman"/>
                <w:color w:val="auto"/>
                <w:lang w:val="en-US" w:eastAsia="zh-CN"/>
              </w:rPr>
              <w:t>；</w:t>
            </w:r>
            <w:r>
              <w:rPr>
                <w:rFonts w:hint="default" w:ascii="Times New Roman" w:hAnsi="Times New Roman" w:cs="Times New Roman"/>
                <w:color w:val="auto"/>
              </w:rPr>
              <w:t>员工生活会产生生活垃圾S1</w:t>
            </w:r>
            <w:r>
              <w:rPr>
                <w:rFonts w:hint="eastAsia" w:cs="Times New Roman"/>
                <w:color w:val="auto"/>
                <w:lang w:val="en-US" w:eastAsia="zh-CN"/>
              </w:rPr>
              <w:t>8</w:t>
            </w:r>
            <w:r>
              <w:rPr>
                <w:rFonts w:hint="default" w:ascii="Times New Roman" w:hAnsi="Times New Roman" w:cs="Times New Roman"/>
                <w:color w:val="auto"/>
                <w:lang w:val="en-US" w:eastAsia="zh-CN"/>
              </w:rPr>
              <w:t>、</w:t>
            </w:r>
            <w:r>
              <w:rPr>
                <w:rFonts w:hint="default" w:ascii="Times New Roman" w:hAnsi="Times New Roman" w:cs="Times New Roman"/>
                <w:color w:val="auto"/>
              </w:rPr>
              <w:t>生活污水W</w:t>
            </w:r>
            <w:r>
              <w:rPr>
                <w:rFonts w:hint="eastAsia" w:cs="Times New Roman"/>
                <w:color w:val="auto"/>
                <w:lang w:val="en-US" w:eastAsia="zh-CN"/>
              </w:rPr>
              <w:t>1、空压机冷凝水W2</w:t>
            </w:r>
            <w:r>
              <w:rPr>
                <w:rFonts w:hint="default" w:ascii="Times New Roman" w:hAnsi="Times New Roman" w:cs="Times New Roman"/>
                <w:color w:val="auto"/>
              </w:rPr>
              <w:t>。</w:t>
            </w:r>
          </w:p>
          <w:p w14:paraId="34C6D9CA">
            <w:pPr>
              <w:pStyle w:val="38"/>
              <w:spacing w:before="0" w:after="0" w:line="240" w:lineRule="auto"/>
              <w:ind w:right="0" w:firstLine="0" w:firstLineChars="0"/>
              <w:rPr>
                <w:rFonts w:hint="default" w:ascii="Times New Roman" w:hAnsi="Times New Roman" w:cs="Times New Roman"/>
                <w:color w:val="auto"/>
              </w:rPr>
            </w:pPr>
            <w:r>
              <w:rPr>
                <w:rFonts w:hint="default" w:ascii="Times New Roman" w:hAnsi="Times New Roman" w:cs="Times New Roman"/>
                <w:color w:val="auto"/>
              </w:rPr>
              <w:t>表2-1</w:t>
            </w:r>
            <w:r>
              <w:rPr>
                <w:rFonts w:hint="default" w:ascii="Times New Roman" w:hAnsi="Times New Roman" w:cs="Times New Roman"/>
                <w:color w:val="auto"/>
                <w:lang w:val="en-US" w:eastAsia="zh-CN"/>
              </w:rPr>
              <w:t>2</w:t>
            </w:r>
            <w:r>
              <w:rPr>
                <w:rFonts w:hint="default" w:ascii="Times New Roman" w:hAnsi="Times New Roman" w:cs="Times New Roman"/>
                <w:color w:val="auto"/>
              </w:rPr>
              <w:t xml:space="preserve">  项目产污环节污染物一览表</w:t>
            </w:r>
          </w:p>
          <w:tbl>
            <w:tblPr>
              <w:tblStyle w:val="31"/>
              <w:tblW w:w="851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80"/>
              <w:gridCol w:w="677"/>
              <w:gridCol w:w="2488"/>
              <w:gridCol w:w="1887"/>
              <w:gridCol w:w="2586"/>
            </w:tblGrid>
            <w:tr w14:paraId="66161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0" w:type="dxa"/>
                  <w:tcBorders>
                    <w:tl2br w:val="nil"/>
                    <w:tr2bl w:val="nil"/>
                  </w:tcBorders>
                  <w:vAlign w:val="center"/>
                </w:tcPr>
                <w:p w14:paraId="4B9DDEA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类别</w:t>
                  </w:r>
                </w:p>
              </w:tc>
              <w:tc>
                <w:tcPr>
                  <w:tcW w:w="677" w:type="dxa"/>
                  <w:tcBorders>
                    <w:tl2br w:val="nil"/>
                    <w:tr2bl w:val="nil"/>
                  </w:tcBorders>
                  <w:vAlign w:val="center"/>
                </w:tcPr>
                <w:p w14:paraId="027325A1">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编号</w:t>
                  </w:r>
                </w:p>
              </w:tc>
              <w:tc>
                <w:tcPr>
                  <w:tcW w:w="2488" w:type="dxa"/>
                  <w:tcBorders>
                    <w:tl2br w:val="nil"/>
                    <w:tr2bl w:val="nil"/>
                  </w:tcBorders>
                  <w:vAlign w:val="center"/>
                </w:tcPr>
                <w:p w14:paraId="1677421F">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污染源名称</w:t>
                  </w:r>
                </w:p>
              </w:tc>
              <w:tc>
                <w:tcPr>
                  <w:tcW w:w="1887" w:type="dxa"/>
                  <w:tcBorders>
                    <w:tl2br w:val="nil"/>
                    <w:tr2bl w:val="nil"/>
                  </w:tcBorders>
                  <w:vAlign w:val="center"/>
                </w:tcPr>
                <w:p w14:paraId="78304E51">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产生工序</w:t>
                  </w:r>
                </w:p>
              </w:tc>
              <w:tc>
                <w:tcPr>
                  <w:tcW w:w="2586" w:type="dxa"/>
                  <w:tcBorders>
                    <w:tl2br w:val="nil"/>
                    <w:tr2bl w:val="nil"/>
                  </w:tcBorders>
                  <w:vAlign w:val="center"/>
                </w:tcPr>
                <w:p w14:paraId="70396CF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rPr>
                    <w:t>主要污染因子</w:t>
                  </w:r>
                </w:p>
              </w:tc>
            </w:tr>
            <w:tr w14:paraId="1C7F12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restart"/>
                  <w:tcBorders>
                    <w:tl2br w:val="nil"/>
                    <w:tr2bl w:val="nil"/>
                  </w:tcBorders>
                  <w:vAlign w:val="center"/>
                </w:tcPr>
                <w:p w14:paraId="7969C193">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废气</w:t>
                  </w:r>
                </w:p>
              </w:tc>
              <w:tc>
                <w:tcPr>
                  <w:tcW w:w="677" w:type="dxa"/>
                  <w:tcBorders>
                    <w:tl2br w:val="nil"/>
                    <w:tr2bl w:val="nil"/>
                  </w:tcBorders>
                  <w:vAlign w:val="center"/>
                </w:tcPr>
                <w:p w14:paraId="69342521">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G1</w:t>
                  </w:r>
                </w:p>
              </w:tc>
              <w:tc>
                <w:tcPr>
                  <w:tcW w:w="2488" w:type="dxa"/>
                  <w:tcBorders>
                    <w:tl2br w:val="nil"/>
                    <w:tr2bl w:val="nil"/>
                  </w:tcBorders>
                  <w:vAlign w:val="center"/>
                </w:tcPr>
                <w:p w14:paraId="10813F3A">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lang w:val="en-US" w:eastAsia="zh-CN"/>
                    </w:rPr>
                    <w:t>激光切割废气</w:t>
                  </w:r>
                </w:p>
              </w:tc>
              <w:tc>
                <w:tcPr>
                  <w:tcW w:w="1887" w:type="dxa"/>
                  <w:tcBorders>
                    <w:tl2br w:val="nil"/>
                    <w:tr2bl w:val="nil"/>
                  </w:tcBorders>
                  <w:vAlign w:val="center"/>
                </w:tcPr>
                <w:p w14:paraId="49635E8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lang w:val="en-US" w:eastAsia="zh-CN"/>
                    </w:rPr>
                    <w:t>激光切割</w:t>
                  </w:r>
                </w:p>
              </w:tc>
              <w:tc>
                <w:tcPr>
                  <w:tcW w:w="2586" w:type="dxa"/>
                  <w:tcBorders>
                    <w:tl2br w:val="nil"/>
                    <w:tr2bl w:val="nil"/>
                  </w:tcBorders>
                  <w:vAlign w:val="center"/>
                </w:tcPr>
                <w:p w14:paraId="042F0FD5">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lang w:val="en-US" w:eastAsia="zh-CN"/>
                    </w:rPr>
                    <w:t>颗粒物</w:t>
                  </w:r>
                </w:p>
              </w:tc>
            </w:tr>
            <w:tr w14:paraId="64EC7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51EB2F95">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468D524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G2</w:t>
                  </w:r>
                </w:p>
              </w:tc>
              <w:tc>
                <w:tcPr>
                  <w:tcW w:w="2488" w:type="dxa"/>
                  <w:tcBorders>
                    <w:tl2br w:val="nil"/>
                    <w:tr2bl w:val="nil"/>
                  </w:tcBorders>
                  <w:vAlign w:val="center"/>
                </w:tcPr>
                <w:p w14:paraId="369A3DE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eastAsia="zh-CN"/>
                    </w:rPr>
                    <w:t>锯床切割废</w:t>
                  </w:r>
                  <w:r>
                    <w:rPr>
                      <w:rFonts w:hint="default" w:ascii="Times New Roman" w:hAnsi="Times New Roman" w:cs="Times New Roman"/>
                      <w:b w:val="0"/>
                      <w:bCs/>
                      <w:color w:val="auto"/>
                      <w:szCs w:val="21"/>
                    </w:rPr>
                    <w:t>气</w:t>
                  </w:r>
                </w:p>
              </w:tc>
              <w:tc>
                <w:tcPr>
                  <w:tcW w:w="1887" w:type="dxa"/>
                  <w:tcBorders>
                    <w:tl2br w:val="nil"/>
                    <w:tr2bl w:val="nil"/>
                  </w:tcBorders>
                  <w:vAlign w:val="center"/>
                </w:tcPr>
                <w:p w14:paraId="5645345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lang w:val="en-US" w:eastAsia="zh-CN"/>
                    </w:rPr>
                    <w:t>锯床切割</w:t>
                  </w:r>
                </w:p>
              </w:tc>
              <w:tc>
                <w:tcPr>
                  <w:tcW w:w="2586" w:type="dxa"/>
                  <w:tcBorders>
                    <w:tl2br w:val="nil"/>
                    <w:tr2bl w:val="nil"/>
                  </w:tcBorders>
                  <w:vAlign w:val="center"/>
                </w:tcPr>
                <w:p w14:paraId="37F59F49">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val="en-US" w:eastAsia="zh-CN"/>
                    </w:rPr>
                    <w:t>颗粒物</w:t>
                  </w:r>
                </w:p>
              </w:tc>
            </w:tr>
            <w:tr w14:paraId="1BD3A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0" w:type="dxa"/>
                  <w:vMerge w:val="continue"/>
                  <w:tcBorders>
                    <w:tl2br w:val="nil"/>
                    <w:tr2bl w:val="nil"/>
                  </w:tcBorders>
                  <w:vAlign w:val="center"/>
                </w:tcPr>
                <w:p w14:paraId="5EAD99F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44F94425">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G3</w:t>
                  </w:r>
                </w:p>
              </w:tc>
              <w:tc>
                <w:tcPr>
                  <w:tcW w:w="2488" w:type="dxa"/>
                  <w:tcBorders>
                    <w:tl2br w:val="nil"/>
                    <w:tr2bl w:val="nil"/>
                  </w:tcBorders>
                  <w:vAlign w:val="center"/>
                </w:tcPr>
                <w:p w14:paraId="29B812FD">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eastAsia="zh-CN"/>
                    </w:rPr>
                    <w:t>焊接</w:t>
                  </w:r>
                  <w:r>
                    <w:rPr>
                      <w:rFonts w:hint="default" w:ascii="Times New Roman" w:hAnsi="Times New Roman" w:cs="Times New Roman"/>
                      <w:b w:val="0"/>
                      <w:bCs/>
                      <w:color w:val="auto"/>
                      <w:szCs w:val="21"/>
                    </w:rPr>
                    <w:t>废气</w:t>
                  </w:r>
                </w:p>
              </w:tc>
              <w:tc>
                <w:tcPr>
                  <w:tcW w:w="1887" w:type="dxa"/>
                  <w:tcBorders>
                    <w:tl2br w:val="nil"/>
                    <w:tr2bl w:val="nil"/>
                  </w:tcBorders>
                  <w:vAlign w:val="center"/>
                </w:tcPr>
                <w:p w14:paraId="15BD3BB2">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lang w:val="en-US" w:eastAsia="zh-CN"/>
                    </w:rPr>
                    <w:t>焊接</w:t>
                  </w:r>
                </w:p>
              </w:tc>
              <w:tc>
                <w:tcPr>
                  <w:tcW w:w="2586" w:type="dxa"/>
                  <w:tcBorders>
                    <w:tl2br w:val="nil"/>
                    <w:tr2bl w:val="nil"/>
                  </w:tcBorders>
                  <w:vAlign w:val="center"/>
                </w:tcPr>
                <w:p w14:paraId="17A7CF98">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lang w:eastAsia="zh-CN"/>
                    </w:rPr>
                    <w:t>颗粒物（含锡及其化合物</w:t>
                  </w:r>
                  <w:r>
                    <w:rPr>
                      <w:rFonts w:hint="eastAsia" w:ascii="Times New Roman" w:hAnsi="Times New Roman" w:cs="Times New Roman"/>
                      <w:b w:val="0"/>
                      <w:bCs/>
                      <w:color w:val="auto"/>
                      <w:szCs w:val="21"/>
                      <w:lang w:eastAsia="zh-CN"/>
                    </w:rPr>
                    <w:t>、铜及其化合物</w:t>
                  </w:r>
                  <w:r>
                    <w:rPr>
                      <w:rFonts w:hint="default" w:ascii="Times New Roman" w:hAnsi="Times New Roman" w:cs="Times New Roman"/>
                      <w:b w:val="0"/>
                      <w:bCs/>
                      <w:color w:val="auto"/>
                      <w:szCs w:val="21"/>
                      <w:lang w:eastAsia="zh-CN"/>
                    </w:rPr>
                    <w:t>）</w:t>
                  </w:r>
                </w:p>
              </w:tc>
            </w:tr>
            <w:tr w14:paraId="2BFE5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0" w:type="dxa"/>
                  <w:vMerge w:val="continue"/>
                  <w:tcBorders>
                    <w:tl2br w:val="nil"/>
                    <w:tr2bl w:val="nil"/>
                  </w:tcBorders>
                  <w:vAlign w:val="center"/>
                </w:tcPr>
                <w:p w14:paraId="22063F7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64BE4885">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rPr>
                    <w:t>G</w:t>
                  </w:r>
                  <w:r>
                    <w:rPr>
                      <w:rFonts w:hint="default" w:ascii="Times New Roman" w:hAnsi="Times New Roman" w:cs="Times New Roman"/>
                      <w:b w:val="0"/>
                      <w:bCs/>
                      <w:color w:val="auto"/>
                      <w:szCs w:val="21"/>
                      <w:lang w:val="en-US" w:eastAsia="zh-CN"/>
                    </w:rPr>
                    <w:t>4</w:t>
                  </w:r>
                </w:p>
              </w:tc>
              <w:tc>
                <w:tcPr>
                  <w:tcW w:w="2488" w:type="dxa"/>
                  <w:tcBorders>
                    <w:tl2br w:val="nil"/>
                    <w:tr2bl w:val="nil"/>
                  </w:tcBorders>
                  <w:vAlign w:val="center"/>
                </w:tcPr>
                <w:p w14:paraId="72F0F34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喷漆废气</w:t>
                  </w:r>
                </w:p>
              </w:tc>
              <w:tc>
                <w:tcPr>
                  <w:tcW w:w="1887" w:type="dxa"/>
                  <w:tcBorders>
                    <w:tl2br w:val="nil"/>
                    <w:tr2bl w:val="nil"/>
                  </w:tcBorders>
                  <w:vAlign w:val="center"/>
                </w:tcPr>
                <w:p w14:paraId="20B2BAC6">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喷面漆</w:t>
                  </w:r>
                </w:p>
              </w:tc>
              <w:tc>
                <w:tcPr>
                  <w:tcW w:w="2586" w:type="dxa"/>
                  <w:tcBorders>
                    <w:tl2br w:val="nil"/>
                    <w:tr2bl w:val="nil"/>
                  </w:tcBorders>
                  <w:vAlign w:val="center"/>
                </w:tcPr>
                <w:p w14:paraId="03B403B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颗粒物、非甲烷总烃</w:t>
                  </w:r>
                </w:p>
              </w:tc>
            </w:tr>
            <w:tr w14:paraId="046C2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2" w:hRule="atLeast"/>
                <w:jc w:val="center"/>
              </w:trPr>
              <w:tc>
                <w:tcPr>
                  <w:tcW w:w="880" w:type="dxa"/>
                  <w:vMerge w:val="continue"/>
                  <w:tcBorders>
                    <w:tl2br w:val="nil"/>
                    <w:tr2bl w:val="nil"/>
                  </w:tcBorders>
                  <w:vAlign w:val="center"/>
                </w:tcPr>
                <w:p w14:paraId="570BCCDA">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7ABEA41A">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rPr>
                    <w:t>G</w:t>
                  </w:r>
                  <w:r>
                    <w:rPr>
                      <w:rFonts w:hint="default" w:ascii="Times New Roman" w:hAnsi="Times New Roman" w:cs="Times New Roman"/>
                      <w:b w:val="0"/>
                      <w:bCs/>
                      <w:color w:val="auto"/>
                      <w:szCs w:val="21"/>
                      <w:lang w:val="en-US" w:eastAsia="zh-CN"/>
                    </w:rPr>
                    <w:t>5</w:t>
                  </w:r>
                </w:p>
              </w:tc>
              <w:tc>
                <w:tcPr>
                  <w:tcW w:w="2488" w:type="dxa"/>
                  <w:tcBorders>
                    <w:tl2br w:val="nil"/>
                    <w:tr2bl w:val="nil"/>
                  </w:tcBorders>
                  <w:vAlign w:val="center"/>
                </w:tcPr>
                <w:p w14:paraId="7EAA82A3">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面漆晾干废气</w:t>
                  </w:r>
                </w:p>
              </w:tc>
              <w:tc>
                <w:tcPr>
                  <w:tcW w:w="1887" w:type="dxa"/>
                  <w:tcBorders>
                    <w:tl2br w:val="nil"/>
                    <w:tr2bl w:val="nil"/>
                  </w:tcBorders>
                  <w:vAlign w:val="center"/>
                </w:tcPr>
                <w:p w14:paraId="6E62978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面漆晾干</w:t>
                  </w:r>
                </w:p>
              </w:tc>
              <w:tc>
                <w:tcPr>
                  <w:tcW w:w="2586" w:type="dxa"/>
                  <w:tcBorders>
                    <w:tl2br w:val="nil"/>
                    <w:tr2bl w:val="nil"/>
                  </w:tcBorders>
                  <w:vAlign w:val="center"/>
                </w:tcPr>
                <w:p w14:paraId="575C2109">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非甲烷总烃</w:t>
                  </w:r>
                </w:p>
              </w:tc>
            </w:tr>
            <w:tr w14:paraId="57CCE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0" w:type="dxa"/>
                  <w:vMerge w:val="restart"/>
                  <w:tcBorders>
                    <w:tl2br w:val="nil"/>
                    <w:tr2bl w:val="nil"/>
                  </w:tcBorders>
                  <w:vAlign w:val="center"/>
                </w:tcPr>
                <w:p w14:paraId="6DF1D9DA">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废水</w:t>
                  </w:r>
                </w:p>
              </w:tc>
              <w:tc>
                <w:tcPr>
                  <w:tcW w:w="677" w:type="dxa"/>
                  <w:tcBorders>
                    <w:tl2br w:val="nil"/>
                    <w:tr2bl w:val="nil"/>
                  </w:tcBorders>
                  <w:vAlign w:val="center"/>
                </w:tcPr>
                <w:p w14:paraId="723F83B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W1</w:t>
                  </w:r>
                </w:p>
              </w:tc>
              <w:tc>
                <w:tcPr>
                  <w:tcW w:w="2488" w:type="dxa"/>
                  <w:tcBorders>
                    <w:tl2br w:val="nil"/>
                    <w:tr2bl w:val="nil"/>
                  </w:tcBorders>
                  <w:vAlign w:val="center"/>
                </w:tcPr>
                <w:p w14:paraId="09AC151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rPr>
                    <w:t>生活污水</w:t>
                  </w:r>
                </w:p>
              </w:tc>
              <w:tc>
                <w:tcPr>
                  <w:tcW w:w="1887" w:type="dxa"/>
                  <w:tcBorders>
                    <w:tl2br w:val="nil"/>
                    <w:tr2bl w:val="nil"/>
                  </w:tcBorders>
                  <w:vAlign w:val="center"/>
                </w:tcPr>
                <w:p w14:paraId="29B2BE19">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rPr>
                    <w:t>职工生活</w:t>
                  </w:r>
                </w:p>
              </w:tc>
              <w:tc>
                <w:tcPr>
                  <w:tcW w:w="2586" w:type="dxa"/>
                  <w:tcBorders>
                    <w:tl2br w:val="nil"/>
                    <w:tr2bl w:val="nil"/>
                  </w:tcBorders>
                  <w:vAlign w:val="center"/>
                </w:tcPr>
                <w:p w14:paraId="49338046">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COD、BOD</w:t>
                  </w:r>
                  <w:r>
                    <w:rPr>
                      <w:rFonts w:hint="default" w:ascii="Times New Roman" w:hAnsi="Times New Roman" w:cs="Times New Roman"/>
                      <w:b w:val="0"/>
                      <w:bCs/>
                      <w:color w:val="auto"/>
                      <w:szCs w:val="21"/>
                      <w:vertAlign w:val="subscript"/>
                    </w:rPr>
                    <w:t>5</w:t>
                  </w:r>
                  <w:r>
                    <w:rPr>
                      <w:rFonts w:hint="default" w:ascii="Times New Roman" w:hAnsi="Times New Roman" w:cs="Times New Roman"/>
                      <w:b w:val="0"/>
                      <w:bCs/>
                      <w:color w:val="auto"/>
                      <w:szCs w:val="21"/>
                    </w:rPr>
                    <w:t>、SS、NH</w:t>
                  </w:r>
                  <w:r>
                    <w:rPr>
                      <w:rFonts w:hint="default" w:ascii="Times New Roman" w:hAnsi="Times New Roman" w:cs="Times New Roman"/>
                      <w:b w:val="0"/>
                      <w:bCs/>
                      <w:color w:val="auto"/>
                      <w:szCs w:val="21"/>
                      <w:vertAlign w:val="subscript"/>
                    </w:rPr>
                    <w:t>3</w:t>
                  </w:r>
                  <w:r>
                    <w:rPr>
                      <w:rFonts w:hint="default" w:ascii="Times New Roman" w:hAnsi="Times New Roman" w:cs="Times New Roman"/>
                      <w:b w:val="0"/>
                      <w:bCs/>
                      <w:color w:val="auto"/>
                      <w:szCs w:val="21"/>
                    </w:rPr>
                    <w:t>-N</w:t>
                  </w:r>
                </w:p>
              </w:tc>
            </w:tr>
            <w:tr w14:paraId="3723E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4" w:hRule="atLeast"/>
                <w:jc w:val="center"/>
              </w:trPr>
              <w:tc>
                <w:tcPr>
                  <w:tcW w:w="880" w:type="dxa"/>
                  <w:vMerge w:val="continue"/>
                  <w:tcBorders>
                    <w:tl2br w:val="nil"/>
                    <w:tr2bl w:val="nil"/>
                  </w:tcBorders>
                  <w:vAlign w:val="center"/>
                </w:tcPr>
                <w:p w14:paraId="0FCB0171">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161E3A4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rPr>
                    <w:t>W</w:t>
                  </w:r>
                  <w:r>
                    <w:rPr>
                      <w:rFonts w:hint="eastAsia" w:ascii="Times New Roman" w:hAnsi="Times New Roman" w:cs="Times New Roman"/>
                      <w:b w:val="0"/>
                      <w:bCs/>
                      <w:color w:val="auto"/>
                      <w:szCs w:val="21"/>
                      <w:lang w:val="en-US" w:eastAsia="zh-CN"/>
                    </w:rPr>
                    <w:t>2</w:t>
                  </w:r>
                </w:p>
              </w:tc>
              <w:tc>
                <w:tcPr>
                  <w:tcW w:w="2488" w:type="dxa"/>
                  <w:tcBorders>
                    <w:tl2br w:val="nil"/>
                    <w:tr2bl w:val="nil"/>
                  </w:tcBorders>
                  <w:vAlign w:val="center"/>
                </w:tcPr>
                <w:p w14:paraId="6FFA4DB9">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空压机</w:t>
                  </w:r>
                </w:p>
              </w:tc>
              <w:tc>
                <w:tcPr>
                  <w:tcW w:w="1887" w:type="dxa"/>
                  <w:tcBorders>
                    <w:tl2br w:val="nil"/>
                    <w:tr2bl w:val="nil"/>
                  </w:tcBorders>
                  <w:vAlign w:val="center"/>
                </w:tcPr>
                <w:p w14:paraId="4FA5A66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color w:val="auto"/>
                      <w:szCs w:val="21"/>
                      <w:lang w:eastAsia="zh-CN"/>
                    </w:rPr>
                  </w:pPr>
                  <w:r>
                    <w:rPr>
                      <w:rFonts w:hint="eastAsia" w:ascii="Times New Roman" w:hAnsi="Times New Roman" w:cs="Times New Roman"/>
                      <w:b w:val="0"/>
                      <w:bCs/>
                      <w:color w:val="auto"/>
                      <w:szCs w:val="21"/>
                      <w:lang w:eastAsia="zh-CN"/>
                    </w:rPr>
                    <w:t>冷凝水</w:t>
                  </w:r>
                </w:p>
              </w:tc>
              <w:tc>
                <w:tcPr>
                  <w:tcW w:w="2586" w:type="dxa"/>
                  <w:tcBorders>
                    <w:tl2br w:val="nil"/>
                    <w:tr2bl w:val="nil"/>
                  </w:tcBorders>
                  <w:vAlign w:val="center"/>
                </w:tcPr>
                <w:p w14:paraId="3339ED1A">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COD、SS</w:t>
                  </w:r>
                </w:p>
              </w:tc>
            </w:tr>
            <w:tr w14:paraId="22781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tcBorders>
                    <w:tl2br w:val="nil"/>
                    <w:tr2bl w:val="nil"/>
                  </w:tcBorders>
                  <w:vAlign w:val="center"/>
                </w:tcPr>
                <w:p w14:paraId="6B4562E3">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噪声</w:t>
                  </w:r>
                </w:p>
              </w:tc>
              <w:tc>
                <w:tcPr>
                  <w:tcW w:w="677" w:type="dxa"/>
                  <w:tcBorders>
                    <w:tl2br w:val="nil"/>
                    <w:tr2bl w:val="nil"/>
                  </w:tcBorders>
                  <w:vAlign w:val="center"/>
                </w:tcPr>
                <w:p w14:paraId="5FEF934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w:t>
                  </w:r>
                </w:p>
              </w:tc>
              <w:tc>
                <w:tcPr>
                  <w:tcW w:w="2488" w:type="dxa"/>
                  <w:tcBorders>
                    <w:tl2br w:val="nil"/>
                    <w:tr2bl w:val="nil"/>
                  </w:tcBorders>
                  <w:vAlign w:val="center"/>
                </w:tcPr>
                <w:p w14:paraId="04F1EB88">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机械噪声</w:t>
                  </w:r>
                </w:p>
              </w:tc>
              <w:tc>
                <w:tcPr>
                  <w:tcW w:w="1887" w:type="dxa"/>
                  <w:tcBorders>
                    <w:tl2br w:val="nil"/>
                    <w:tr2bl w:val="nil"/>
                  </w:tcBorders>
                  <w:vAlign w:val="center"/>
                </w:tcPr>
                <w:p w14:paraId="4FE560A0">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生产设备</w:t>
                  </w:r>
                </w:p>
              </w:tc>
              <w:tc>
                <w:tcPr>
                  <w:tcW w:w="2586" w:type="dxa"/>
                  <w:tcBorders>
                    <w:tl2br w:val="nil"/>
                    <w:tr2bl w:val="nil"/>
                  </w:tcBorders>
                  <w:vAlign w:val="center"/>
                </w:tcPr>
                <w:p w14:paraId="2DB8B803">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LAeq</w:t>
                  </w:r>
                </w:p>
              </w:tc>
            </w:tr>
            <w:tr w14:paraId="00074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restart"/>
                  <w:tcBorders>
                    <w:tl2br w:val="nil"/>
                    <w:tr2bl w:val="nil"/>
                  </w:tcBorders>
                  <w:vAlign w:val="center"/>
                </w:tcPr>
                <w:p w14:paraId="73DA8AE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固废</w:t>
                  </w:r>
                </w:p>
              </w:tc>
              <w:tc>
                <w:tcPr>
                  <w:tcW w:w="677" w:type="dxa"/>
                  <w:tcBorders>
                    <w:tl2br w:val="nil"/>
                    <w:tr2bl w:val="nil"/>
                  </w:tcBorders>
                  <w:vAlign w:val="center"/>
                </w:tcPr>
                <w:p w14:paraId="220FA260">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S1</w:t>
                  </w:r>
                </w:p>
              </w:tc>
              <w:tc>
                <w:tcPr>
                  <w:tcW w:w="2488" w:type="dxa"/>
                  <w:tcBorders>
                    <w:tl2br w:val="nil"/>
                    <w:tr2bl w:val="nil"/>
                  </w:tcBorders>
                  <w:vAlign w:val="center"/>
                </w:tcPr>
                <w:p w14:paraId="4CD50A6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废包装材料</w:t>
                  </w:r>
                </w:p>
              </w:tc>
              <w:tc>
                <w:tcPr>
                  <w:tcW w:w="1887" w:type="dxa"/>
                  <w:tcBorders>
                    <w:tl2br w:val="nil"/>
                    <w:tr2bl w:val="nil"/>
                  </w:tcBorders>
                  <w:vAlign w:val="center"/>
                </w:tcPr>
                <w:p w14:paraId="23FDD15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组装、包装</w:t>
                  </w:r>
                </w:p>
              </w:tc>
              <w:tc>
                <w:tcPr>
                  <w:tcW w:w="2586" w:type="dxa"/>
                  <w:tcBorders>
                    <w:tl2br w:val="nil"/>
                    <w:tr2bl w:val="nil"/>
                  </w:tcBorders>
                  <w:vAlign w:val="center"/>
                </w:tcPr>
                <w:p w14:paraId="5B55A77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一般固废</w:t>
                  </w:r>
                </w:p>
              </w:tc>
            </w:tr>
            <w:tr w14:paraId="5AEF5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31C5829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012F83C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S2</w:t>
                  </w:r>
                </w:p>
              </w:tc>
              <w:tc>
                <w:tcPr>
                  <w:tcW w:w="2488" w:type="dxa"/>
                  <w:tcBorders>
                    <w:tl2br w:val="nil"/>
                    <w:tr2bl w:val="nil"/>
                  </w:tcBorders>
                  <w:vAlign w:val="center"/>
                </w:tcPr>
                <w:p w14:paraId="16DEE46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val="en-US" w:eastAsia="zh-CN"/>
                    </w:rPr>
                    <w:t>沉降</w:t>
                  </w:r>
                  <w:r>
                    <w:rPr>
                      <w:rFonts w:hint="default" w:ascii="Times New Roman" w:hAnsi="Times New Roman" w:cs="Times New Roman"/>
                      <w:b w:val="0"/>
                      <w:bCs/>
                      <w:color w:val="auto"/>
                      <w:szCs w:val="21"/>
                    </w:rPr>
                    <w:t>金属碎屑</w:t>
                  </w:r>
                </w:p>
              </w:tc>
              <w:tc>
                <w:tcPr>
                  <w:tcW w:w="1887" w:type="dxa"/>
                  <w:tcBorders>
                    <w:tl2br w:val="nil"/>
                    <w:tr2bl w:val="nil"/>
                  </w:tcBorders>
                  <w:vAlign w:val="center"/>
                </w:tcPr>
                <w:p w14:paraId="7FEDE47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lang w:val="en-US" w:eastAsia="zh-CN"/>
                    </w:rPr>
                    <w:t>锯床切割</w:t>
                  </w:r>
                </w:p>
              </w:tc>
              <w:tc>
                <w:tcPr>
                  <w:tcW w:w="2586" w:type="dxa"/>
                  <w:tcBorders>
                    <w:tl2br w:val="nil"/>
                    <w:tr2bl w:val="nil"/>
                  </w:tcBorders>
                  <w:vAlign w:val="center"/>
                </w:tcPr>
                <w:p w14:paraId="64639245">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rPr>
                    <w:t>一般固废</w:t>
                  </w:r>
                </w:p>
              </w:tc>
            </w:tr>
            <w:tr w14:paraId="24380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3" w:hRule="atLeast"/>
                <w:jc w:val="center"/>
              </w:trPr>
              <w:tc>
                <w:tcPr>
                  <w:tcW w:w="880" w:type="dxa"/>
                  <w:vMerge w:val="continue"/>
                  <w:tcBorders>
                    <w:tl2br w:val="nil"/>
                    <w:tr2bl w:val="nil"/>
                  </w:tcBorders>
                  <w:vAlign w:val="center"/>
                </w:tcPr>
                <w:p w14:paraId="2AF23712">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29376FB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S3</w:t>
                  </w:r>
                </w:p>
              </w:tc>
              <w:tc>
                <w:tcPr>
                  <w:tcW w:w="2488" w:type="dxa"/>
                  <w:tcBorders>
                    <w:tl2br w:val="nil"/>
                    <w:tr2bl w:val="nil"/>
                  </w:tcBorders>
                  <w:vAlign w:val="center"/>
                </w:tcPr>
                <w:p w14:paraId="4EC50EC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金属边角料</w:t>
                  </w:r>
                </w:p>
              </w:tc>
              <w:tc>
                <w:tcPr>
                  <w:tcW w:w="1887" w:type="dxa"/>
                  <w:tcBorders>
                    <w:tl2br w:val="nil"/>
                    <w:tr2bl w:val="nil"/>
                  </w:tcBorders>
                  <w:vAlign w:val="center"/>
                </w:tcPr>
                <w:p w14:paraId="78D4BF95">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机加工</w:t>
                  </w:r>
                </w:p>
              </w:tc>
              <w:tc>
                <w:tcPr>
                  <w:tcW w:w="2586" w:type="dxa"/>
                  <w:tcBorders>
                    <w:tl2br w:val="nil"/>
                    <w:tr2bl w:val="nil"/>
                  </w:tcBorders>
                  <w:vAlign w:val="center"/>
                </w:tcPr>
                <w:p w14:paraId="14C6A86C">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eastAsia="zh-CN"/>
                    </w:rPr>
                    <w:t>一般固废</w:t>
                  </w:r>
                </w:p>
              </w:tc>
            </w:tr>
            <w:tr w14:paraId="4F23E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13E2EF60">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0405DFEA">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S4</w:t>
                  </w:r>
                </w:p>
              </w:tc>
              <w:tc>
                <w:tcPr>
                  <w:tcW w:w="2488" w:type="dxa"/>
                  <w:tcBorders>
                    <w:tl2br w:val="nil"/>
                    <w:tr2bl w:val="nil"/>
                  </w:tcBorders>
                  <w:vAlign w:val="center"/>
                </w:tcPr>
                <w:p w14:paraId="706BC3A9">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val="en-US" w:eastAsia="zh-CN"/>
                    </w:rPr>
                    <w:t>过滤</w:t>
                  </w:r>
                  <w:r>
                    <w:rPr>
                      <w:rFonts w:hint="default" w:ascii="Times New Roman" w:hAnsi="Times New Roman" w:cs="Times New Roman"/>
                      <w:b w:val="0"/>
                      <w:bCs/>
                      <w:color w:val="auto"/>
                      <w:szCs w:val="21"/>
                    </w:rPr>
                    <w:t>金属碎屑</w:t>
                  </w:r>
                </w:p>
              </w:tc>
              <w:tc>
                <w:tcPr>
                  <w:tcW w:w="1887" w:type="dxa"/>
                  <w:tcBorders>
                    <w:tl2br w:val="nil"/>
                    <w:tr2bl w:val="nil"/>
                  </w:tcBorders>
                  <w:vAlign w:val="center"/>
                </w:tcPr>
                <w:p w14:paraId="713E185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机加工</w:t>
                  </w:r>
                </w:p>
              </w:tc>
              <w:tc>
                <w:tcPr>
                  <w:tcW w:w="2586" w:type="dxa"/>
                  <w:tcBorders>
                    <w:tl2br w:val="nil"/>
                    <w:tr2bl w:val="nil"/>
                  </w:tcBorders>
                  <w:vAlign w:val="center"/>
                </w:tcPr>
                <w:p w14:paraId="7637A0E2">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eastAsia="zh-CN"/>
                    </w:rPr>
                    <w:t>一般固废</w:t>
                  </w:r>
                </w:p>
              </w:tc>
            </w:tr>
            <w:tr w14:paraId="27BBF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7A6C6B3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30FB2443">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lang w:val="en-US" w:eastAsia="zh-CN"/>
                    </w:rPr>
                  </w:pPr>
                  <w:r>
                    <w:rPr>
                      <w:rFonts w:hint="default" w:ascii="Times New Roman" w:hAnsi="Times New Roman" w:cs="Times New Roman"/>
                      <w:b w:val="0"/>
                      <w:bCs/>
                      <w:color w:val="auto"/>
                      <w:szCs w:val="21"/>
                      <w:lang w:val="en-US" w:eastAsia="zh-CN"/>
                    </w:rPr>
                    <w:t>S5</w:t>
                  </w:r>
                </w:p>
              </w:tc>
              <w:tc>
                <w:tcPr>
                  <w:tcW w:w="2488" w:type="dxa"/>
                  <w:tcBorders>
                    <w:tl2br w:val="nil"/>
                    <w:tr2bl w:val="nil"/>
                  </w:tcBorders>
                  <w:vAlign w:val="center"/>
                </w:tcPr>
                <w:p w14:paraId="031B52C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eastAsia="zh-CN"/>
                    </w:rPr>
                  </w:pPr>
                  <w:r>
                    <w:rPr>
                      <w:rFonts w:hint="eastAsia" w:ascii="Times New Roman" w:hAnsi="Times New Roman" w:cs="Times New Roman"/>
                      <w:b w:val="0"/>
                      <w:bCs/>
                      <w:color w:val="auto"/>
                      <w:szCs w:val="21"/>
                      <w:lang w:eastAsia="zh-CN"/>
                    </w:rPr>
                    <w:t>机加工更换废液</w:t>
                  </w:r>
                </w:p>
              </w:tc>
              <w:tc>
                <w:tcPr>
                  <w:tcW w:w="1887" w:type="dxa"/>
                  <w:tcBorders>
                    <w:tl2br w:val="nil"/>
                    <w:tr2bl w:val="nil"/>
                  </w:tcBorders>
                  <w:vAlign w:val="center"/>
                </w:tcPr>
                <w:p w14:paraId="3E65616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eastAsia="zh-CN"/>
                    </w:rPr>
                  </w:pPr>
                  <w:r>
                    <w:rPr>
                      <w:rFonts w:hint="eastAsia" w:ascii="Times New Roman" w:hAnsi="Times New Roman" w:cs="Times New Roman"/>
                      <w:b w:val="0"/>
                      <w:bCs/>
                      <w:color w:val="auto"/>
                      <w:szCs w:val="21"/>
                      <w:lang w:eastAsia="zh-CN"/>
                    </w:rPr>
                    <w:t>机加工</w:t>
                  </w:r>
                </w:p>
              </w:tc>
              <w:tc>
                <w:tcPr>
                  <w:tcW w:w="2586" w:type="dxa"/>
                  <w:tcBorders>
                    <w:tl2br w:val="nil"/>
                    <w:tr2bl w:val="nil"/>
                  </w:tcBorders>
                  <w:vAlign w:val="center"/>
                </w:tcPr>
                <w:p w14:paraId="6415A8A5">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eastAsia" w:ascii="Times New Roman" w:hAnsi="Times New Roman" w:cs="Times New Roman"/>
                      <w:b w:val="0"/>
                      <w:bCs/>
                      <w:color w:val="auto"/>
                      <w:szCs w:val="21"/>
                      <w:lang w:val="en-US" w:eastAsia="zh-CN"/>
                    </w:rPr>
                    <w:t>危险废物</w:t>
                  </w:r>
                </w:p>
              </w:tc>
            </w:tr>
            <w:tr w14:paraId="3DE89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0E2A74D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783C9DD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lang w:val="en-US" w:eastAsia="zh-CN"/>
                    </w:rPr>
                    <w:t>S</w:t>
                  </w:r>
                  <w:r>
                    <w:rPr>
                      <w:rFonts w:hint="eastAsia" w:ascii="Times New Roman" w:hAnsi="Times New Roman" w:cs="Times New Roman"/>
                      <w:b w:val="0"/>
                      <w:bCs/>
                      <w:color w:val="auto"/>
                      <w:szCs w:val="21"/>
                      <w:lang w:val="en-US" w:eastAsia="zh-CN"/>
                    </w:rPr>
                    <w:t>6</w:t>
                  </w:r>
                </w:p>
              </w:tc>
              <w:tc>
                <w:tcPr>
                  <w:tcW w:w="2488" w:type="dxa"/>
                  <w:tcBorders>
                    <w:tl2br w:val="nil"/>
                    <w:tr2bl w:val="nil"/>
                  </w:tcBorders>
                  <w:vAlign w:val="center"/>
                </w:tcPr>
                <w:p w14:paraId="366D4F6F">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color w:val="auto"/>
                      <w:szCs w:val="21"/>
                      <w:lang w:eastAsia="zh-CN"/>
                    </w:rPr>
                  </w:pPr>
                  <w:r>
                    <w:rPr>
                      <w:rFonts w:hint="eastAsia" w:ascii="Times New Roman" w:hAnsi="Times New Roman" w:cs="Times New Roman"/>
                      <w:b w:val="0"/>
                      <w:bCs/>
                      <w:color w:val="auto"/>
                      <w:szCs w:val="21"/>
                      <w:lang w:eastAsia="zh-CN"/>
                    </w:rPr>
                    <w:t>焊渣</w:t>
                  </w:r>
                </w:p>
              </w:tc>
              <w:tc>
                <w:tcPr>
                  <w:tcW w:w="1887" w:type="dxa"/>
                  <w:tcBorders>
                    <w:tl2br w:val="nil"/>
                    <w:tr2bl w:val="nil"/>
                  </w:tcBorders>
                  <w:vAlign w:val="center"/>
                </w:tcPr>
                <w:p w14:paraId="79D5233F">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焊接</w:t>
                  </w:r>
                </w:p>
              </w:tc>
              <w:tc>
                <w:tcPr>
                  <w:tcW w:w="2586" w:type="dxa"/>
                  <w:tcBorders>
                    <w:tl2br w:val="nil"/>
                    <w:tr2bl w:val="nil"/>
                  </w:tcBorders>
                  <w:vAlign w:val="center"/>
                </w:tcPr>
                <w:p w14:paraId="5CB264E4">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color w:val="auto"/>
                      <w:szCs w:val="21"/>
                      <w:lang w:eastAsia="zh-CN"/>
                    </w:rPr>
                  </w:pPr>
                  <w:r>
                    <w:rPr>
                      <w:rFonts w:hint="eastAsia" w:ascii="Times New Roman" w:hAnsi="Times New Roman" w:cs="Times New Roman"/>
                      <w:b w:val="0"/>
                      <w:bCs/>
                      <w:color w:val="auto"/>
                      <w:szCs w:val="21"/>
                      <w:lang w:eastAsia="zh-CN"/>
                    </w:rPr>
                    <w:t>一般固废</w:t>
                  </w:r>
                </w:p>
              </w:tc>
            </w:tr>
            <w:tr w14:paraId="345BD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5BE623E1">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44EADBBF">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eastAsia="zh-CN"/>
                    </w:rPr>
                  </w:pPr>
                  <w:r>
                    <w:rPr>
                      <w:rFonts w:hint="default" w:ascii="Times New Roman" w:hAnsi="Times New Roman" w:cs="Times New Roman"/>
                      <w:b w:val="0"/>
                      <w:bCs/>
                      <w:color w:val="auto"/>
                      <w:szCs w:val="21"/>
                    </w:rPr>
                    <w:t>S</w:t>
                  </w:r>
                  <w:r>
                    <w:rPr>
                      <w:rFonts w:hint="default" w:ascii="Times New Roman" w:hAnsi="Times New Roman" w:cs="Times New Roman"/>
                      <w:b w:val="0"/>
                      <w:bCs/>
                      <w:color w:val="auto"/>
                      <w:szCs w:val="21"/>
                      <w:lang w:val="en-US" w:eastAsia="zh-CN"/>
                    </w:rPr>
                    <w:t>7</w:t>
                  </w:r>
                </w:p>
              </w:tc>
              <w:tc>
                <w:tcPr>
                  <w:tcW w:w="2488" w:type="dxa"/>
                  <w:tcBorders>
                    <w:tl2br w:val="nil"/>
                    <w:tr2bl w:val="nil"/>
                  </w:tcBorders>
                  <w:vAlign w:val="center"/>
                </w:tcPr>
                <w:p w14:paraId="41976BB6">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eastAsia="zh-CN"/>
                    </w:rPr>
                  </w:pPr>
                  <w:r>
                    <w:rPr>
                      <w:rFonts w:hint="default" w:ascii="Times New Roman" w:hAnsi="Times New Roman" w:cs="Times New Roman"/>
                      <w:b w:val="0"/>
                      <w:bCs/>
                      <w:color w:val="auto"/>
                      <w:szCs w:val="21"/>
                      <w:lang w:eastAsia="zh-CN"/>
                    </w:rPr>
                    <w:t>废</w:t>
                  </w:r>
                  <w:r>
                    <w:rPr>
                      <w:rFonts w:hint="default" w:ascii="Times New Roman" w:hAnsi="Times New Roman" w:cs="Times New Roman"/>
                      <w:b w:val="0"/>
                      <w:bCs/>
                      <w:color w:val="auto"/>
                      <w:szCs w:val="21"/>
                      <w:lang w:val="en-US" w:eastAsia="zh-CN"/>
                    </w:rPr>
                    <w:t>包装</w:t>
                  </w:r>
                  <w:r>
                    <w:rPr>
                      <w:rFonts w:hint="default" w:ascii="Times New Roman" w:hAnsi="Times New Roman" w:cs="Times New Roman"/>
                      <w:b w:val="0"/>
                      <w:bCs/>
                      <w:color w:val="auto"/>
                      <w:szCs w:val="21"/>
                      <w:lang w:eastAsia="zh-CN"/>
                    </w:rPr>
                    <w:t>桶</w:t>
                  </w:r>
                </w:p>
              </w:tc>
              <w:tc>
                <w:tcPr>
                  <w:tcW w:w="1887" w:type="dxa"/>
                  <w:tcBorders>
                    <w:tl2br w:val="nil"/>
                    <w:tr2bl w:val="nil"/>
                  </w:tcBorders>
                  <w:vAlign w:val="center"/>
                </w:tcPr>
                <w:p w14:paraId="342F70AB">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eastAsia="zh-CN"/>
                    </w:rPr>
                  </w:pPr>
                  <w:r>
                    <w:rPr>
                      <w:rFonts w:hint="default" w:ascii="Times New Roman" w:hAnsi="Times New Roman" w:cs="Times New Roman"/>
                      <w:b w:val="0"/>
                      <w:bCs/>
                      <w:color w:val="auto"/>
                      <w:szCs w:val="21"/>
                      <w:lang w:eastAsia="zh-CN"/>
                    </w:rPr>
                    <w:t>面漆、</w:t>
                  </w:r>
                  <w:r>
                    <w:rPr>
                      <w:rFonts w:hint="default" w:ascii="Times New Roman" w:hAnsi="Times New Roman" w:cs="Times New Roman"/>
                      <w:b w:val="0"/>
                      <w:bCs/>
                      <w:color w:val="auto"/>
                      <w:szCs w:val="21"/>
                      <w:lang w:val="en-US" w:eastAsia="zh-CN"/>
                    </w:rPr>
                    <w:t>润滑油包装</w:t>
                  </w:r>
                </w:p>
              </w:tc>
              <w:tc>
                <w:tcPr>
                  <w:tcW w:w="2586" w:type="dxa"/>
                  <w:tcBorders>
                    <w:tl2br w:val="nil"/>
                    <w:tr2bl w:val="nil"/>
                  </w:tcBorders>
                  <w:vAlign w:val="center"/>
                </w:tcPr>
                <w:p w14:paraId="7B21F3B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eastAsia="zh-CN"/>
                    </w:rPr>
                  </w:pPr>
                  <w:r>
                    <w:rPr>
                      <w:rFonts w:hint="default" w:ascii="Times New Roman" w:hAnsi="Times New Roman" w:cs="Times New Roman"/>
                      <w:b w:val="0"/>
                      <w:bCs/>
                      <w:color w:val="auto"/>
                      <w:szCs w:val="21"/>
                      <w:lang w:eastAsia="zh-CN"/>
                    </w:rPr>
                    <w:t>危险废物</w:t>
                  </w:r>
                </w:p>
              </w:tc>
            </w:tr>
            <w:tr w14:paraId="1913C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2867D81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285793A5">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rPr>
                    <w:t>S</w:t>
                  </w:r>
                  <w:r>
                    <w:rPr>
                      <w:rFonts w:hint="default" w:ascii="Times New Roman" w:hAnsi="Times New Roman" w:cs="Times New Roman"/>
                      <w:b w:val="0"/>
                      <w:bCs/>
                      <w:color w:val="auto"/>
                      <w:szCs w:val="21"/>
                      <w:lang w:val="en-US" w:eastAsia="zh-CN"/>
                    </w:rPr>
                    <w:t>8</w:t>
                  </w:r>
                </w:p>
              </w:tc>
              <w:tc>
                <w:tcPr>
                  <w:tcW w:w="2488" w:type="dxa"/>
                  <w:tcBorders>
                    <w:tl2br w:val="nil"/>
                    <w:tr2bl w:val="nil"/>
                  </w:tcBorders>
                  <w:vAlign w:val="center"/>
                </w:tcPr>
                <w:p w14:paraId="51A952B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漆渣</w:t>
                  </w:r>
                </w:p>
              </w:tc>
              <w:tc>
                <w:tcPr>
                  <w:tcW w:w="1887" w:type="dxa"/>
                  <w:tcBorders>
                    <w:tl2br w:val="nil"/>
                    <w:tr2bl w:val="nil"/>
                  </w:tcBorders>
                  <w:vAlign w:val="center"/>
                </w:tcPr>
                <w:p w14:paraId="43A6A424">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喷漆房地面清理</w:t>
                  </w:r>
                </w:p>
              </w:tc>
              <w:tc>
                <w:tcPr>
                  <w:tcW w:w="2586" w:type="dxa"/>
                  <w:tcBorders>
                    <w:tl2br w:val="nil"/>
                    <w:tr2bl w:val="nil"/>
                  </w:tcBorders>
                  <w:vAlign w:val="center"/>
                </w:tcPr>
                <w:p w14:paraId="46BA1DE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eastAsia="zh-CN"/>
                    </w:rPr>
                    <w:t>危险废物</w:t>
                  </w:r>
                </w:p>
              </w:tc>
            </w:tr>
            <w:tr w14:paraId="46454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3F5677BA">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2F20F88A">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rPr>
                    <w:t>S9</w:t>
                  </w:r>
                </w:p>
              </w:tc>
              <w:tc>
                <w:tcPr>
                  <w:tcW w:w="2488" w:type="dxa"/>
                  <w:tcBorders>
                    <w:tl2br w:val="nil"/>
                    <w:tr2bl w:val="nil"/>
                  </w:tcBorders>
                  <w:vAlign w:val="center"/>
                </w:tcPr>
                <w:p w14:paraId="1EEB8CF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color w:val="auto"/>
                      <w:szCs w:val="21"/>
                      <w:lang w:eastAsia="zh-CN"/>
                    </w:rPr>
                  </w:pPr>
                  <w:r>
                    <w:rPr>
                      <w:rFonts w:hint="eastAsia" w:ascii="Times New Roman" w:hAnsi="Times New Roman" w:cs="Times New Roman"/>
                      <w:b w:val="0"/>
                      <w:bCs/>
                      <w:color w:val="auto"/>
                      <w:szCs w:val="21"/>
                      <w:lang w:eastAsia="zh-CN"/>
                    </w:rPr>
                    <w:t>清洗废液</w:t>
                  </w:r>
                </w:p>
              </w:tc>
              <w:tc>
                <w:tcPr>
                  <w:tcW w:w="1887" w:type="dxa"/>
                  <w:tcBorders>
                    <w:tl2br w:val="nil"/>
                    <w:tr2bl w:val="nil"/>
                  </w:tcBorders>
                  <w:vAlign w:val="center"/>
                </w:tcPr>
                <w:p w14:paraId="4D8AC5FA">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color w:val="auto"/>
                      <w:szCs w:val="21"/>
                      <w:lang w:eastAsia="zh-CN"/>
                    </w:rPr>
                  </w:pPr>
                  <w:r>
                    <w:rPr>
                      <w:rFonts w:hint="eastAsia" w:ascii="Times New Roman" w:hAnsi="Times New Roman" w:cs="Times New Roman"/>
                      <w:b w:val="0"/>
                      <w:bCs/>
                      <w:color w:val="auto"/>
                      <w:szCs w:val="21"/>
                      <w:lang w:eastAsia="zh-CN"/>
                    </w:rPr>
                    <w:t>喷枪清洗</w:t>
                  </w:r>
                </w:p>
              </w:tc>
              <w:tc>
                <w:tcPr>
                  <w:tcW w:w="2586" w:type="dxa"/>
                  <w:tcBorders>
                    <w:tl2br w:val="nil"/>
                    <w:tr2bl w:val="nil"/>
                  </w:tcBorders>
                  <w:vAlign w:val="center"/>
                </w:tcPr>
                <w:p w14:paraId="5FD9EC26">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color w:val="auto"/>
                      <w:szCs w:val="21"/>
                      <w:lang w:eastAsia="zh-CN"/>
                    </w:rPr>
                  </w:pPr>
                  <w:r>
                    <w:rPr>
                      <w:rFonts w:hint="eastAsia" w:ascii="Times New Roman" w:hAnsi="Times New Roman" w:cs="Times New Roman"/>
                      <w:b w:val="0"/>
                      <w:bCs/>
                      <w:color w:val="auto"/>
                      <w:szCs w:val="21"/>
                      <w:lang w:eastAsia="zh-CN"/>
                    </w:rPr>
                    <w:t>危险废物</w:t>
                  </w:r>
                </w:p>
              </w:tc>
            </w:tr>
            <w:tr w14:paraId="45CBB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6C196841">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7869E35C">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rPr>
                    <w:t>S10</w:t>
                  </w:r>
                </w:p>
              </w:tc>
              <w:tc>
                <w:tcPr>
                  <w:tcW w:w="2488" w:type="dxa"/>
                  <w:tcBorders>
                    <w:tl2br w:val="nil"/>
                    <w:tr2bl w:val="nil"/>
                  </w:tcBorders>
                  <w:vAlign w:val="center"/>
                </w:tcPr>
                <w:p w14:paraId="2BD22AEE">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rPr>
                    <w:t>不合格品</w:t>
                  </w:r>
                </w:p>
              </w:tc>
              <w:tc>
                <w:tcPr>
                  <w:tcW w:w="1887" w:type="dxa"/>
                  <w:tcBorders>
                    <w:tl2br w:val="nil"/>
                    <w:tr2bl w:val="nil"/>
                  </w:tcBorders>
                  <w:vAlign w:val="center"/>
                </w:tcPr>
                <w:p w14:paraId="08DD092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rPr>
                    <w:t>人工检验</w:t>
                  </w:r>
                </w:p>
              </w:tc>
              <w:tc>
                <w:tcPr>
                  <w:tcW w:w="2586" w:type="dxa"/>
                  <w:tcBorders>
                    <w:tl2br w:val="nil"/>
                    <w:tr2bl w:val="nil"/>
                  </w:tcBorders>
                  <w:vAlign w:val="center"/>
                </w:tcPr>
                <w:p w14:paraId="2FCCBAF9">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rPr>
                    <w:t>一般固废</w:t>
                  </w:r>
                  <w:r>
                    <w:rPr>
                      <w:rFonts w:hint="default" w:ascii="Times New Roman" w:hAnsi="Times New Roman" w:cs="Times New Roman"/>
                      <w:b w:val="0"/>
                      <w:bCs/>
                      <w:color w:val="auto"/>
                      <w:szCs w:val="21"/>
                      <w:lang w:eastAsia="zh-CN"/>
                    </w:rPr>
                    <w:t>（</w:t>
                  </w:r>
                  <w:r>
                    <w:rPr>
                      <w:rFonts w:hint="default" w:ascii="Times New Roman" w:hAnsi="Times New Roman" w:cs="Times New Roman"/>
                      <w:b w:val="0"/>
                      <w:bCs/>
                      <w:color w:val="auto"/>
                      <w:szCs w:val="21"/>
                      <w:lang w:val="en-US" w:eastAsia="zh-CN"/>
                    </w:rPr>
                    <w:t>返修</w:t>
                  </w:r>
                  <w:r>
                    <w:rPr>
                      <w:rFonts w:hint="default" w:ascii="Times New Roman" w:hAnsi="Times New Roman" w:cs="Times New Roman"/>
                      <w:b w:val="0"/>
                      <w:bCs/>
                      <w:color w:val="auto"/>
                      <w:szCs w:val="21"/>
                      <w:lang w:eastAsia="zh-CN"/>
                    </w:rPr>
                    <w:t>）</w:t>
                  </w:r>
                </w:p>
              </w:tc>
            </w:tr>
            <w:tr w14:paraId="65856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4947DBD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25C1884A">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S11</w:t>
                  </w:r>
                </w:p>
              </w:tc>
              <w:tc>
                <w:tcPr>
                  <w:tcW w:w="2488" w:type="dxa"/>
                  <w:tcBorders>
                    <w:tl2br w:val="nil"/>
                    <w:tr2bl w:val="nil"/>
                  </w:tcBorders>
                  <w:vAlign w:val="center"/>
                </w:tcPr>
                <w:p w14:paraId="0C965055">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废润滑油</w:t>
                  </w:r>
                </w:p>
              </w:tc>
              <w:tc>
                <w:tcPr>
                  <w:tcW w:w="1887" w:type="dxa"/>
                  <w:tcBorders>
                    <w:tl2br w:val="nil"/>
                    <w:tr2bl w:val="nil"/>
                  </w:tcBorders>
                  <w:vAlign w:val="center"/>
                </w:tcPr>
                <w:p w14:paraId="7D94915C">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设备保养</w:t>
                  </w:r>
                </w:p>
              </w:tc>
              <w:tc>
                <w:tcPr>
                  <w:tcW w:w="2586" w:type="dxa"/>
                  <w:tcBorders>
                    <w:tl2br w:val="nil"/>
                    <w:tr2bl w:val="nil"/>
                  </w:tcBorders>
                  <w:vAlign w:val="center"/>
                </w:tcPr>
                <w:p w14:paraId="4799776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危险废物</w:t>
                  </w:r>
                </w:p>
              </w:tc>
            </w:tr>
            <w:tr w14:paraId="19797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0" w:type="dxa"/>
                  <w:vMerge w:val="continue"/>
                  <w:tcBorders>
                    <w:tl2br w:val="nil"/>
                    <w:tr2bl w:val="nil"/>
                  </w:tcBorders>
                  <w:vAlign w:val="center"/>
                </w:tcPr>
                <w:p w14:paraId="4A09D34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2ED0EBC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S12</w:t>
                  </w:r>
                </w:p>
              </w:tc>
              <w:tc>
                <w:tcPr>
                  <w:tcW w:w="2488" w:type="dxa"/>
                  <w:tcBorders>
                    <w:tl2br w:val="nil"/>
                    <w:tr2bl w:val="nil"/>
                  </w:tcBorders>
                  <w:vAlign w:val="center"/>
                </w:tcPr>
                <w:p w14:paraId="2A6A9DBB">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含油抹布、手套</w:t>
                  </w:r>
                </w:p>
              </w:tc>
              <w:tc>
                <w:tcPr>
                  <w:tcW w:w="1887" w:type="dxa"/>
                  <w:tcBorders>
                    <w:tl2br w:val="nil"/>
                    <w:tr2bl w:val="nil"/>
                  </w:tcBorders>
                  <w:vAlign w:val="center"/>
                </w:tcPr>
                <w:p w14:paraId="601BB2EA">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设备保养</w:t>
                  </w:r>
                </w:p>
              </w:tc>
              <w:tc>
                <w:tcPr>
                  <w:tcW w:w="2586" w:type="dxa"/>
                  <w:tcBorders>
                    <w:tl2br w:val="nil"/>
                    <w:tr2bl w:val="nil"/>
                  </w:tcBorders>
                  <w:vAlign w:val="center"/>
                </w:tcPr>
                <w:p w14:paraId="1412FE0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eastAsia="zh-CN"/>
                    </w:rPr>
                  </w:pPr>
                  <w:r>
                    <w:rPr>
                      <w:rFonts w:hint="default" w:ascii="Times New Roman" w:hAnsi="Times New Roman" w:cs="Times New Roman"/>
                      <w:b w:val="0"/>
                      <w:bCs/>
                      <w:color w:val="auto"/>
                      <w:szCs w:val="21"/>
                    </w:rPr>
                    <w:t>危险废物</w:t>
                  </w:r>
                </w:p>
              </w:tc>
            </w:tr>
            <w:tr w14:paraId="0079C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0" w:type="dxa"/>
                  <w:vMerge w:val="continue"/>
                  <w:tcBorders>
                    <w:tl2br w:val="nil"/>
                    <w:tr2bl w:val="nil"/>
                  </w:tcBorders>
                  <w:vAlign w:val="center"/>
                </w:tcPr>
                <w:p w14:paraId="170CAD6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31A0300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S13</w:t>
                  </w:r>
                </w:p>
              </w:tc>
              <w:tc>
                <w:tcPr>
                  <w:tcW w:w="2488" w:type="dxa"/>
                  <w:tcBorders>
                    <w:tl2br w:val="nil"/>
                    <w:tr2bl w:val="nil"/>
                  </w:tcBorders>
                  <w:vAlign w:val="center"/>
                </w:tcPr>
                <w:p w14:paraId="501D8974">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val="en-US" w:eastAsia="zh-CN"/>
                    </w:rPr>
                    <w:t>激光</w:t>
                  </w:r>
                  <w:r>
                    <w:rPr>
                      <w:rFonts w:hint="eastAsia" w:ascii="Times New Roman" w:hAnsi="Times New Roman" w:cs="Times New Roman"/>
                      <w:b w:val="0"/>
                      <w:bCs/>
                      <w:color w:val="auto"/>
                      <w:szCs w:val="21"/>
                      <w:lang w:val="en-US" w:eastAsia="zh-CN"/>
                    </w:rPr>
                    <w:t>、锯床</w:t>
                  </w:r>
                  <w:r>
                    <w:rPr>
                      <w:rFonts w:hint="default" w:ascii="Times New Roman" w:hAnsi="Times New Roman" w:cs="Times New Roman"/>
                      <w:b w:val="0"/>
                      <w:bCs/>
                      <w:color w:val="auto"/>
                      <w:szCs w:val="21"/>
                      <w:lang w:val="en-US" w:eastAsia="zh-CN"/>
                    </w:rPr>
                    <w:t>切割收集粉尘</w:t>
                  </w:r>
                </w:p>
              </w:tc>
              <w:tc>
                <w:tcPr>
                  <w:tcW w:w="1887" w:type="dxa"/>
                  <w:tcBorders>
                    <w:tl2br w:val="nil"/>
                    <w:tr2bl w:val="nil"/>
                  </w:tcBorders>
                  <w:vAlign w:val="center"/>
                </w:tcPr>
                <w:p w14:paraId="5BC831B4">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val="en-US" w:eastAsia="zh-CN"/>
                    </w:rPr>
                    <w:t>废气处理</w:t>
                  </w:r>
                </w:p>
              </w:tc>
              <w:tc>
                <w:tcPr>
                  <w:tcW w:w="2586" w:type="dxa"/>
                  <w:tcBorders>
                    <w:tl2br w:val="nil"/>
                    <w:tr2bl w:val="nil"/>
                  </w:tcBorders>
                  <w:vAlign w:val="center"/>
                </w:tcPr>
                <w:p w14:paraId="4C8ED313">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eastAsia="zh-CN"/>
                    </w:rPr>
                  </w:pPr>
                  <w:r>
                    <w:rPr>
                      <w:rFonts w:hint="default" w:ascii="Times New Roman" w:hAnsi="Times New Roman" w:cs="Times New Roman"/>
                      <w:b w:val="0"/>
                      <w:bCs/>
                      <w:color w:val="auto"/>
                      <w:szCs w:val="21"/>
                      <w:lang w:val="en-US" w:eastAsia="zh-CN"/>
                    </w:rPr>
                    <w:t>一般固废</w:t>
                  </w:r>
                </w:p>
              </w:tc>
            </w:tr>
            <w:tr w14:paraId="4B609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0" w:type="dxa"/>
                  <w:vMerge w:val="continue"/>
                  <w:tcBorders>
                    <w:tl2br w:val="nil"/>
                    <w:tr2bl w:val="nil"/>
                  </w:tcBorders>
                  <w:vAlign w:val="center"/>
                </w:tcPr>
                <w:p w14:paraId="302FF2B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75FB18A4">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val="en-US" w:eastAsia="zh-CN"/>
                    </w:rPr>
                    <w:t>S14</w:t>
                  </w:r>
                </w:p>
              </w:tc>
              <w:tc>
                <w:tcPr>
                  <w:tcW w:w="2488" w:type="dxa"/>
                  <w:tcBorders>
                    <w:tl2br w:val="nil"/>
                    <w:tr2bl w:val="nil"/>
                  </w:tcBorders>
                  <w:vAlign w:val="center"/>
                </w:tcPr>
                <w:p w14:paraId="3CED413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废</w:t>
                  </w:r>
                  <w:r>
                    <w:rPr>
                      <w:rFonts w:hint="default" w:ascii="Times New Roman" w:hAnsi="Times New Roman" w:cs="Times New Roman"/>
                      <w:b w:val="0"/>
                      <w:bCs/>
                      <w:color w:val="auto"/>
                      <w:szCs w:val="21"/>
                      <w:lang w:eastAsia="zh-CN"/>
                    </w:rPr>
                    <w:t>布袋</w:t>
                  </w:r>
                </w:p>
              </w:tc>
              <w:tc>
                <w:tcPr>
                  <w:tcW w:w="1887" w:type="dxa"/>
                  <w:tcBorders>
                    <w:tl2br w:val="nil"/>
                    <w:tr2bl w:val="nil"/>
                  </w:tcBorders>
                  <w:vAlign w:val="center"/>
                </w:tcPr>
                <w:p w14:paraId="74EBBBB6">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处理颗粒物</w:t>
                  </w:r>
                </w:p>
              </w:tc>
              <w:tc>
                <w:tcPr>
                  <w:tcW w:w="2586" w:type="dxa"/>
                  <w:tcBorders>
                    <w:tl2br w:val="nil"/>
                    <w:tr2bl w:val="nil"/>
                  </w:tcBorders>
                  <w:vAlign w:val="center"/>
                </w:tcPr>
                <w:p w14:paraId="128D221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一般固废</w:t>
                  </w:r>
                </w:p>
              </w:tc>
            </w:tr>
            <w:tr w14:paraId="5969A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0" w:type="dxa"/>
                  <w:vMerge w:val="continue"/>
                  <w:tcBorders>
                    <w:tl2br w:val="nil"/>
                    <w:tr2bl w:val="nil"/>
                  </w:tcBorders>
                  <w:vAlign w:val="center"/>
                </w:tcPr>
                <w:p w14:paraId="54946619">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5C1DA5DF">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S1</w:t>
                  </w:r>
                  <w:r>
                    <w:rPr>
                      <w:rFonts w:hint="default" w:ascii="Times New Roman" w:hAnsi="Times New Roman" w:cs="Times New Roman"/>
                      <w:b w:val="0"/>
                      <w:bCs/>
                      <w:color w:val="auto"/>
                      <w:szCs w:val="21"/>
                      <w:lang w:val="en-US" w:eastAsia="zh-CN"/>
                    </w:rPr>
                    <w:t>5</w:t>
                  </w:r>
                </w:p>
              </w:tc>
              <w:tc>
                <w:tcPr>
                  <w:tcW w:w="2488" w:type="dxa"/>
                  <w:tcBorders>
                    <w:tl2br w:val="nil"/>
                    <w:tr2bl w:val="nil"/>
                  </w:tcBorders>
                  <w:vAlign w:val="center"/>
                </w:tcPr>
                <w:p w14:paraId="78713F3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color w:val="auto"/>
                      <w:szCs w:val="21"/>
                      <w:lang w:eastAsia="zh-CN"/>
                    </w:rPr>
                  </w:pPr>
                  <w:r>
                    <w:rPr>
                      <w:rFonts w:hint="default" w:ascii="Times New Roman" w:hAnsi="Times New Roman" w:cs="Times New Roman"/>
                      <w:b w:val="0"/>
                      <w:bCs/>
                      <w:color w:val="auto"/>
                      <w:szCs w:val="21"/>
                    </w:rPr>
                    <w:t>废</w:t>
                  </w:r>
                  <w:r>
                    <w:rPr>
                      <w:rFonts w:hint="eastAsia" w:ascii="Times New Roman" w:hAnsi="Times New Roman" w:cs="Times New Roman"/>
                      <w:b w:val="0"/>
                      <w:bCs/>
                      <w:color w:val="auto"/>
                      <w:szCs w:val="21"/>
                      <w:lang w:eastAsia="zh-CN"/>
                    </w:rPr>
                    <w:t>滤芯</w:t>
                  </w:r>
                </w:p>
              </w:tc>
              <w:tc>
                <w:tcPr>
                  <w:tcW w:w="1887" w:type="dxa"/>
                  <w:tcBorders>
                    <w:tl2br w:val="nil"/>
                    <w:tr2bl w:val="nil"/>
                  </w:tcBorders>
                  <w:vAlign w:val="center"/>
                </w:tcPr>
                <w:p w14:paraId="2B930DB4">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处理颗粒物</w:t>
                  </w:r>
                </w:p>
              </w:tc>
              <w:tc>
                <w:tcPr>
                  <w:tcW w:w="2586" w:type="dxa"/>
                  <w:tcBorders>
                    <w:tl2br w:val="nil"/>
                    <w:tr2bl w:val="nil"/>
                  </w:tcBorders>
                  <w:vAlign w:val="center"/>
                </w:tcPr>
                <w:p w14:paraId="43817B72">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eastAsia="zh-CN"/>
                    </w:rPr>
                    <w:t>危险废物</w:t>
                  </w:r>
                </w:p>
              </w:tc>
            </w:tr>
            <w:tr w14:paraId="75E35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0" w:type="dxa"/>
                  <w:vMerge w:val="continue"/>
                  <w:tcBorders>
                    <w:tl2br w:val="nil"/>
                    <w:tr2bl w:val="nil"/>
                  </w:tcBorders>
                  <w:vAlign w:val="center"/>
                </w:tcPr>
                <w:p w14:paraId="5A5062C1">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4E268C79">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rPr>
                    <w:t>S</w:t>
                  </w:r>
                  <w:r>
                    <w:rPr>
                      <w:rFonts w:hint="eastAsia" w:ascii="Times New Roman" w:hAnsi="Times New Roman" w:cs="Times New Roman"/>
                      <w:b w:val="0"/>
                      <w:bCs/>
                      <w:color w:val="auto"/>
                      <w:szCs w:val="21"/>
                      <w:lang w:val="en-US" w:eastAsia="zh-CN"/>
                    </w:rPr>
                    <w:t>16</w:t>
                  </w:r>
                </w:p>
              </w:tc>
              <w:tc>
                <w:tcPr>
                  <w:tcW w:w="2488" w:type="dxa"/>
                  <w:tcBorders>
                    <w:tl2br w:val="nil"/>
                    <w:tr2bl w:val="nil"/>
                  </w:tcBorders>
                  <w:vAlign w:val="center"/>
                </w:tcPr>
                <w:p w14:paraId="434EED62">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rPr>
                    <w:t>废活性炭</w:t>
                  </w:r>
                </w:p>
              </w:tc>
              <w:tc>
                <w:tcPr>
                  <w:tcW w:w="1887" w:type="dxa"/>
                  <w:tcBorders>
                    <w:tl2br w:val="nil"/>
                    <w:tr2bl w:val="nil"/>
                  </w:tcBorders>
                  <w:vAlign w:val="center"/>
                </w:tcPr>
                <w:p w14:paraId="125E0B1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rPr>
                    <w:t>处理有机废气</w:t>
                  </w:r>
                </w:p>
              </w:tc>
              <w:tc>
                <w:tcPr>
                  <w:tcW w:w="2586" w:type="dxa"/>
                  <w:tcBorders>
                    <w:tl2br w:val="nil"/>
                    <w:tr2bl w:val="nil"/>
                  </w:tcBorders>
                  <w:vAlign w:val="center"/>
                </w:tcPr>
                <w:p w14:paraId="5666424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rPr>
                    <w:t>危险废物</w:t>
                  </w:r>
                </w:p>
              </w:tc>
            </w:tr>
            <w:tr w14:paraId="2E3AB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5A84082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735F54E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rPr>
                    <w:t>S</w:t>
                  </w:r>
                  <w:r>
                    <w:rPr>
                      <w:rFonts w:hint="eastAsia" w:ascii="Times New Roman" w:hAnsi="Times New Roman" w:cs="Times New Roman"/>
                      <w:b w:val="0"/>
                      <w:bCs/>
                      <w:color w:val="auto"/>
                      <w:szCs w:val="21"/>
                      <w:lang w:val="en-US" w:eastAsia="zh-CN"/>
                    </w:rPr>
                    <w:t>17</w:t>
                  </w:r>
                </w:p>
              </w:tc>
              <w:tc>
                <w:tcPr>
                  <w:tcW w:w="2488" w:type="dxa"/>
                  <w:tcBorders>
                    <w:tl2br w:val="nil"/>
                    <w:tr2bl w:val="nil"/>
                  </w:tcBorders>
                  <w:vAlign w:val="center"/>
                </w:tcPr>
                <w:p w14:paraId="2B483ED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val="en-US" w:eastAsia="zh-CN"/>
                    </w:rPr>
                    <w:t>废</w:t>
                  </w:r>
                  <w:r>
                    <w:rPr>
                      <w:rFonts w:hint="eastAsia" w:ascii="Times New Roman" w:hAnsi="Times New Roman" w:cs="Times New Roman"/>
                      <w:b w:val="0"/>
                      <w:bCs/>
                      <w:color w:val="auto"/>
                      <w:szCs w:val="21"/>
                      <w:lang w:val="en-US" w:eastAsia="zh-CN"/>
                    </w:rPr>
                    <w:t>气瓶</w:t>
                  </w:r>
                </w:p>
              </w:tc>
              <w:tc>
                <w:tcPr>
                  <w:tcW w:w="1887" w:type="dxa"/>
                  <w:tcBorders>
                    <w:tl2br w:val="nil"/>
                    <w:tr2bl w:val="nil"/>
                  </w:tcBorders>
                  <w:vAlign w:val="center"/>
                </w:tcPr>
                <w:p w14:paraId="0DA07955">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val="en-US" w:eastAsia="zh-CN"/>
                    </w:rPr>
                    <w:t>焊接</w:t>
                  </w:r>
                </w:p>
              </w:tc>
              <w:tc>
                <w:tcPr>
                  <w:tcW w:w="2586" w:type="dxa"/>
                  <w:tcBorders>
                    <w:tl2br w:val="nil"/>
                    <w:tr2bl w:val="nil"/>
                  </w:tcBorders>
                  <w:vAlign w:val="center"/>
                </w:tcPr>
                <w:p w14:paraId="605B6B92">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lang w:val="en-US" w:eastAsia="zh-CN"/>
                    </w:rPr>
                    <w:t>一般固废</w:t>
                  </w:r>
                </w:p>
              </w:tc>
            </w:tr>
            <w:tr w14:paraId="7BD43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880" w:type="dxa"/>
                  <w:vMerge w:val="continue"/>
                  <w:tcBorders>
                    <w:tl2br w:val="nil"/>
                    <w:tr2bl w:val="nil"/>
                  </w:tcBorders>
                  <w:vAlign w:val="center"/>
                </w:tcPr>
                <w:p w14:paraId="139310E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p>
              </w:tc>
              <w:tc>
                <w:tcPr>
                  <w:tcW w:w="677" w:type="dxa"/>
                  <w:tcBorders>
                    <w:tl2br w:val="nil"/>
                    <w:tr2bl w:val="nil"/>
                  </w:tcBorders>
                  <w:vAlign w:val="center"/>
                </w:tcPr>
                <w:p w14:paraId="0781FE5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lang w:val="en-US"/>
                    </w:rPr>
                  </w:pPr>
                  <w:r>
                    <w:rPr>
                      <w:rFonts w:hint="default" w:ascii="Times New Roman" w:hAnsi="Times New Roman" w:cs="Times New Roman"/>
                      <w:b w:val="0"/>
                      <w:bCs/>
                      <w:color w:val="auto"/>
                      <w:szCs w:val="21"/>
                    </w:rPr>
                    <w:t>S</w:t>
                  </w:r>
                  <w:r>
                    <w:rPr>
                      <w:rFonts w:hint="eastAsia" w:ascii="Times New Roman" w:hAnsi="Times New Roman" w:cs="Times New Roman"/>
                      <w:b w:val="0"/>
                      <w:bCs/>
                      <w:color w:val="auto"/>
                      <w:szCs w:val="21"/>
                      <w:lang w:val="en-US" w:eastAsia="zh-CN"/>
                    </w:rPr>
                    <w:t>18</w:t>
                  </w:r>
                </w:p>
              </w:tc>
              <w:tc>
                <w:tcPr>
                  <w:tcW w:w="2488" w:type="dxa"/>
                  <w:tcBorders>
                    <w:tl2br w:val="nil"/>
                    <w:tr2bl w:val="nil"/>
                  </w:tcBorders>
                  <w:vAlign w:val="center"/>
                </w:tcPr>
                <w:p w14:paraId="5BE55F0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生活垃圾</w:t>
                  </w:r>
                </w:p>
              </w:tc>
              <w:tc>
                <w:tcPr>
                  <w:tcW w:w="1887" w:type="dxa"/>
                  <w:tcBorders>
                    <w:tl2br w:val="nil"/>
                    <w:tr2bl w:val="nil"/>
                  </w:tcBorders>
                  <w:vAlign w:val="center"/>
                </w:tcPr>
                <w:p w14:paraId="6AB53D0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职工生活</w:t>
                  </w:r>
                </w:p>
              </w:tc>
              <w:tc>
                <w:tcPr>
                  <w:tcW w:w="2586" w:type="dxa"/>
                  <w:tcBorders>
                    <w:tl2br w:val="nil"/>
                    <w:tr2bl w:val="nil"/>
                  </w:tcBorders>
                  <w:vAlign w:val="center"/>
                </w:tcPr>
                <w:p w14:paraId="6814780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生活垃圾</w:t>
                  </w:r>
                </w:p>
              </w:tc>
            </w:tr>
          </w:tbl>
          <w:p w14:paraId="7E7D49B0">
            <w:pPr>
              <w:ind w:left="0" w:leftChars="0" w:firstLine="0" w:firstLineChars="0"/>
              <w:rPr>
                <w:rFonts w:hint="default" w:ascii="Times New Roman" w:hAnsi="Times New Roman" w:eastAsia="宋体" w:cs="Times New Roman"/>
                <w:color w:val="auto"/>
                <w:kern w:val="0"/>
                <w:sz w:val="24"/>
                <w:szCs w:val="24"/>
                <w:lang w:val="en-US" w:eastAsia="zh-CN" w:bidi="ar"/>
              </w:rPr>
            </w:pPr>
          </w:p>
        </w:tc>
      </w:tr>
      <w:tr w14:paraId="2B485822">
        <w:tblPrEx>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CellMar>
            <w:top w:w="0" w:type="dxa"/>
            <w:left w:w="108" w:type="dxa"/>
            <w:bottom w:w="0" w:type="dxa"/>
            <w:right w:w="108" w:type="dxa"/>
          </w:tblCellMar>
        </w:tblPrEx>
        <w:trPr>
          <w:trHeight w:val="13204" w:hRule="atLeast"/>
          <w:jc w:val="center"/>
        </w:trPr>
        <w:tc>
          <w:tcPr>
            <w:tcW w:w="739" w:type="dxa"/>
            <w:tcBorders>
              <w:tl2br w:val="nil"/>
              <w:tr2bl w:val="nil"/>
            </w:tcBorders>
            <w:noWrap w:val="0"/>
            <w:vAlign w:val="center"/>
          </w:tcPr>
          <w:p w14:paraId="535329E0">
            <w:pPr>
              <w:numPr>
                <w:ilvl w:val="0"/>
                <w:numId w:val="0"/>
              </w:numPr>
              <w:ind w:left="0" w:leftChars="0" w:firstLine="0" w:firstLineChars="0"/>
              <w:jc w:val="center"/>
              <w:rPr>
                <w:rFonts w:hint="default" w:ascii="Times New Roman" w:hAnsi="Times New Roman" w:cs="Times New Roman"/>
                <w:color w:val="auto"/>
              </w:rPr>
            </w:pPr>
            <w:r>
              <w:rPr>
                <w:rFonts w:hint="default" w:ascii="Times New Roman" w:hAnsi="Times New Roman" w:cs="Times New Roman"/>
                <w:color w:val="auto"/>
                <w:kern w:val="0"/>
                <w:sz w:val="24"/>
              </w:rPr>
              <w:t>与项目有关的原有环境污染问题</w:t>
            </w:r>
          </w:p>
        </w:tc>
        <w:tc>
          <w:tcPr>
            <w:tcW w:w="8760" w:type="dxa"/>
            <w:tcBorders>
              <w:tl2br w:val="nil"/>
              <w:tr2bl w:val="nil"/>
            </w:tcBorders>
            <w:noWrap w:val="0"/>
            <w:vAlign w:val="center"/>
          </w:tcPr>
          <w:p w14:paraId="7C0691ED">
            <w:pPr>
              <w:pStyle w:val="24"/>
              <w:ind w:left="0" w:leftChars="0" w:firstLine="0" w:firstLineChars="0"/>
              <w:rPr>
                <w:rFonts w:hint="default" w:ascii="Times New Roman" w:hAnsi="Times New Roman" w:cs="Times New Roman"/>
                <w:b/>
                <w:bCs/>
                <w:color w:val="auto"/>
                <w:lang w:val="en-US" w:eastAsia="zh-CN"/>
              </w:rPr>
            </w:pPr>
            <w:r>
              <w:rPr>
                <w:rFonts w:hint="default" w:ascii="Times New Roman" w:hAnsi="Times New Roman" w:eastAsia="宋体" w:cs="Times New Roman"/>
                <w:b/>
                <w:bCs/>
                <w:color w:val="auto"/>
                <w:sz w:val="24"/>
                <w:lang w:val="en-US" w:eastAsia="zh-CN"/>
              </w:rPr>
              <w:t>2.</w:t>
            </w:r>
            <w:r>
              <w:rPr>
                <w:rFonts w:hint="default" w:ascii="Times New Roman" w:hAnsi="Times New Roman" w:cs="Times New Roman"/>
                <w:b/>
                <w:bCs/>
                <w:color w:val="auto"/>
                <w:sz w:val="24"/>
                <w:lang w:val="en-US" w:eastAsia="zh-CN"/>
              </w:rPr>
              <w:t xml:space="preserve">11 </w:t>
            </w:r>
            <w:r>
              <w:rPr>
                <w:rFonts w:hint="default" w:ascii="Times New Roman" w:hAnsi="Times New Roman" w:eastAsia="宋体" w:cs="Times New Roman"/>
                <w:b/>
                <w:bCs/>
                <w:color w:val="auto"/>
                <w:sz w:val="24"/>
                <w:szCs w:val="24"/>
                <w:lang w:val="en-US" w:eastAsia="zh-CN"/>
              </w:rPr>
              <w:t>本项目所在区域</w:t>
            </w:r>
            <w:r>
              <w:rPr>
                <w:rFonts w:hint="default" w:ascii="Times New Roman" w:hAnsi="Times New Roman" w:eastAsia="宋体" w:cs="Times New Roman"/>
                <w:b/>
                <w:bCs/>
                <w:color w:val="auto"/>
                <w:sz w:val="24"/>
                <w:lang w:val="en-US" w:eastAsia="zh-CN"/>
              </w:rPr>
              <w:t>现状调查</w:t>
            </w:r>
          </w:p>
          <w:p w14:paraId="3C9F7FCA">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2"/>
                <w:sz w:val="24"/>
                <w:szCs w:val="24"/>
                <w:lang w:val="en-US" w:eastAsia="zh-CN" w:bidi="ar-SA"/>
              </w:rPr>
              <w:t>经</w:t>
            </w:r>
            <w:r>
              <w:rPr>
                <w:rFonts w:hint="default" w:ascii="Times New Roman" w:hAnsi="Times New Roman" w:cs="Times New Roman"/>
                <w:color w:val="auto"/>
                <w:kern w:val="2"/>
                <w:sz w:val="24"/>
                <w:szCs w:val="24"/>
                <w:lang w:val="en-US" w:eastAsia="zh-CN" w:bidi="ar-SA"/>
              </w:rPr>
              <w:t>现场勘查</w:t>
            </w:r>
            <w:r>
              <w:rPr>
                <w:rFonts w:hint="default" w:ascii="Times New Roman" w:hAnsi="Times New Roman" w:eastAsia="宋体" w:cs="Times New Roman"/>
                <w:color w:val="auto"/>
                <w:kern w:val="2"/>
                <w:sz w:val="24"/>
                <w:szCs w:val="24"/>
                <w:lang w:val="en-US" w:eastAsia="zh-CN" w:bidi="ar-SA"/>
              </w:rPr>
              <w:t>，本项目入场之前为</w:t>
            </w:r>
            <w:r>
              <w:rPr>
                <w:rFonts w:hint="eastAsia" w:ascii="Times New Roman" w:hAnsi="Times New Roman" w:cs="Times New Roman"/>
                <w:color w:val="auto"/>
                <w:kern w:val="2"/>
                <w:sz w:val="24"/>
                <w:szCs w:val="24"/>
                <w:lang w:val="en-US" w:eastAsia="zh-CN" w:bidi="ar-SA"/>
              </w:rPr>
              <w:t>新建</w:t>
            </w:r>
            <w:r>
              <w:rPr>
                <w:rFonts w:hint="default" w:ascii="Times New Roman" w:hAnsi="Times New Roman" w:cs="Times New Roman"/>
                <w:color w:val="auto"/>
                <w:kern w:val="2"/>
                <w:sz w:val="24"/>
                <w:szCs w:val="24"/>
                <w:lang w:val="en-US" w:eastAsia="zh-CN" w:bidi="ar-SA"/>
              </w:rPr>
              <w:t>空置厂房</w:t>
            </w:r>
            <w:r>
              <w:rPr>
                <w:rFonts w:hint="default" w:ascii="Times New Roman" w:hAnsi="Times New Roman" w:eastAsia="宋体" w:cs="Times New Roman"/>
                <w:color w:val="auto"/>
                <w:kern w:val="2"/>
                <w:sz w:val="24"/>
                <w:szCs w:val="24"/>
                <w:lang w:val="en-US" w:eastAsia="zh-CN" w:bidi="ar-SA"/>
              </w:rPr>
              <w:t>，不存在原有污染。</w:t>
            </w:r>
          </w:p>
        </w:tc>
      </w:tr>
    </w:tbl>
    <w:p w14:paraId="7917E645">
      <w:pPr>
        <w:bidi w:val="0"/>
        <w:rPr>
          <w:rFonts w:hint="eastAsia"/>
          <w:color w:val="auto"/>
        </w:rPr>
        <w:sectPr>
          <w:footerReference r:id="rId8" w:type="default"/>
          <w:pgSz w:w="11905" w:h="16838"/>
          <w:pgMar w:top="1701" w:right="1531" w:bottom="1701" w:left="1531" w:header="1134" w:footer="1020" w:gutter="0"/>
          <w:pgBorders>
            <w:top w:val="none" w:sz="0" w:space="0"/>
            <w:left w:val="none" w:sz="0" w:space="0"/>
            <w:bottom w:val="none" w:sz="0" w:space="0"/>
            <w:right w:val="none" w:sz="0" w:space="0"/>
          </w:pgBorders>
          <w:pgNumType w:fmt="decimal"/>
          <w:cols w:space="720" w:num="1"/>
          <w:rtlGutter w:val="0"/>
          <w:docGrid w:linePitch="312" w:charSpace="0"/>
        </w:sectPr>
      </w:pPr>
    </w:p>
    <w:p w14:paraId="2BBD2FA0">
      <w:pPr>
        <w:pStyle w:val="4"/>
        <w:bidi w:val="0"/>
        <w:rPr>
          <w:rFonts w:hint="eastAsia"/>
          <w:color w:val="auto"/>
        </w:rPr>
      </w:pPr>
      <w:r>
        <w:rPr>
          <w:rFonts w:hint="eastAsia"/>
          <w:color w:val="auto"/>
        </w:rPr>
        <w:t>三、区域环境质量现状、环境保护目标及评价标准</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9"/>
        <w:gridCol w:w="8560"/>
      </w:tblGrid>
      <w:tr w14:paraId="08D2F9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719" w:type="dxa"/>
            <w:tcBorders>
              <w:tl2br w:val="nil"/>
              <w:tr2bl w:val="nil"/>
            </w:tcBorders>
            <w:noWrap w:val="0"/>
            <w:vAlign w:val="center"/>
          </w:tcPr>
          <w:p w14:paraId="728C0B02">
            <w:pPr>
              <w:keepNext w:val="0"/>
              <w:keepLines w:val="0"/>
              <w:pageBreakBefore w:val="0"/>
              <w:widowControl w:val="0"/>
              <w:kinsoku w:val="0"/>
              <w:wordWrap/>
              <w:overflowPunct w:val="0"/>
              <w:topLinePunct w:val="0"/>
              <w:autoSpaceDE/>
              <w:autoSpaceDN/>
              <w:bidi w:val="0"/>
              <w:adjustRightInd w:val="0"/>
              <w:snapToGrid w:val="0"/>
              <w:spacing w:line="240" w:lineRule="auto"/>
              <w:ind w:left="0" w:leftChars="0" w:firstLine="0" w:firstLineChars="0"/>
              <w:jc w:val="center"/>
              <w:textAlignment w:val="auto"/>
              <w:rPr>
                <w:rFonts w:hint="default" w:ascii="宋体" w:hAnsi="宋体" w:eastAsia="宋体" w:cs="宋体"/>
                <w:color w:val="auto"/>
                <w:kern w:val="0"/>
                <w:sz w:val="24"/>
                <w:lang w:val="en-US" w:eastAsia="zh-CN"/>
              </w:rPr>
            </w:pPr>
            <w:r>
              <w:rPr>
                <w:rFonts w:hint="eastAsia" w:ascii="宋体" w:hAnsi="宋体" w:cs="宋体"/>
                <w:color w:val="auto"/>
                <w:kern w:val="0"/>
                <w:sz w:val="24"/>
                <w:lang w:val="en-US" w:eastAsia="zh-CN"/>
              </w:rPr>
              <w:t>区域环境质量现状</w:t>
            </w:r>
          </w:p>
        </w:tc>
        <w:tc>
          <w:tcPr>
            <w:tcW w:w="8560" w:type="dxa"/>
            <w:tcBorders>
              <w:tl2br w:val="nil"/>
              <w:tr2bl w:val="nil"/>
            </w:tcBorders>
            <w:noWrap w:val="0"/>
            <w:vAlign w:val="center"/>
          </w:tcPr>
          <w:p w14:paraId="7201F296">
            <w:pPr>
              <w:keepLines w:val="0"/>
              <w:pageBreakBefore w:val="0"/>
              <w:wordWrap/>
              <w:topLinePunct w:val="0"/>
              <w:bidi w:val="0"/>
              <w:adjustRightInd w:val="0"/>
              <w:snapToGrid w:val="0"/>
              <w:ind w:left="0" w:leftChars="0" w:firstLine="0" w:firstLineChars="0"/>
              <w:textAlignment w:val="auto"/>
              <w:rPr>
                <w:rFonts w:hint="default"/>
                <w:b/>
                <w:bCs/>
                <w:color w:val="auto"/>
              </w:rPr>
            </w:pPr>
            <w:r>
              <w:rPr>
                <w:rFonts w:hint="eastAsia"/>
                <w:b/>
                <w:bCs/>
                <w:color w:val="auto"/>
                <w:lang w:val="en-US" w:eastAsia="zh-CN"/>
              </w:rPr>
              <w:t>3.1</w:t>
            </w:r>
            <w:r>
              <w:rPr>
                <w:rFonts w:hint="default"/>
                <w:b/>
                <w:bCs/>
                <w:color w:val="auto"/>
              </w:rPr>
              <w:t>区域环境质量现状</w:t>
            </w:r>
          </w:p>
          <w:p w14:paraId="68635E27">
            <w:pPr>
              <w:keepLines w:val="0"/>
              <w:pageBreakBefore w:val="0"/>
              <w:wordWrap/>
              <w:topLinePunct w:val="0"/>
              <w:bidi w:val="0"/>
              <w:adjustRightInd w:val="0"/>
              <w:snapToGrid w:val="0"/>
              <w:ind w:left="0" w:leftChars="0" w:firstLine="0" w:firstLineChars="0"/>
              <w:textAlignment w:val="auto"/>
              <w:rPr>
                <w:rFonts w:hint="default"/>
                <w:b/>
                <w:bCs/>
                <w:color w:val="auto"/>
              </w:rPr>
            </w:pPr>
            <w:r>
              <w:rPr>
                <w:rFonts w:hint="eastAsia"/>
                <w:b/>
                <w:bCs/>
                <w:color w:val="auto"/>
                <w:lang w:val="en-US" w:eastAsia="zh-CN"/>
              </w:rPr>
              <w:t>3.1.1</w:t>
            </w:r>
            <w:r>
              <w:rPr>
                <w:rFonts w:hint="default"/>
                <w:b/>
                <w:bCs/>
                <w:color w:val="auto"/>
              </w:rPr>
              <w:t>空气环境</w:t>
            </w:r>
          </w:p>
          <w:p w14:paraId="63C3CAE8">
            <w:pPr>
              <w:keepLines w:val="0"/>
              <w:pageBreakBefore w:val="0"/>
              <w:wordWrap/>
              <w:topLinePunct w:val="0"/>
              <w:bidi w:val="0"/>
              <w:adjustRightInd w:val="0"/>
              <w:snapToGrid w:val="0"/>
              <w:textAlignment w:val="auto"/>
              <w:rPr>
                <w:rFonts w:hint="default"/>
                <w:color w:val="auto"/>
              </w:rPr>
            </w:pPr>
            <w:r>
              <w:rPr>
                <w:rFonts w:hint="eastAsia"/>
                <w:b/>
                <w:bCs/>
                <w:color w:val="auto"/>
                <w:lang w:val="en-US" w:eastAsia="zh-CN"/>
              </w:rPr>
              <w:t>（1）</w:t>
            </w:r>
            <w:r>
              <w:rPr>
                <w:rFonts w:hint="default"/>
                <w:b/>
                <w:bCs/>
                <w:color w:val="auto"/>
              </w:rPr>
              <w:t>基本污染物环境质量现状</w:t>
            </w:r>
          </w:p>
          <w:p w14:paraId="71DCEBFD">
            <w:pPr>
              <w:keepLines w:val="0"/>
              <w:pageBreakBefore w:val="0"/>
              <w:wordWrap/>
              <w:topLinePunct w:val="0"/>
              <w:bidi w:val="0"/>
              <w:adjustRightInd w:val="0"/>
              <w:snapToGrid w:val="0"/>
              <w:spacing w:line="360" w:lineRule="auto"/>
              <w:textAlignment w:val="auto"/>
              <w:rPr>
                <w:rFonts w:hint="default" w:ascii="Times New Roman" w:hAnsi="Times New Roman" w:cs="Times New Roman"/>
                <w:color w:val="auto"/>
                <w:sz w:val="24"/>
                <w:szCs w:val="24"/>
                <w:lang w:val="en-US" w:eastAsia="zh-CN"/>
              </w:rPr>
            </w:pPr>
            <w:r>
              <w:rPr>
                <w:rFonts w:hint="eastAsia"/>
                <w:color w:val="auto"/>
                <w:sz w:val="24"/>
                <w:szCs w:val="24"/>
                <w:lang w:val="en-US" w:eastAsia="zh-CN"/>
              </w:rPr>
              <w:t>①环境空气</w:t>
            </w:r>
            <w:r>
              <w:rPr>
                <w:rFonts w:hint="default" w:ascii="Times New Roman" w:hAnsi="Times New Roman" w:cs="Times New Roman"/>
                <w:color w:val="auto"/>
                <w:sz w:val="24"/>
                <w:szCs w:val="24"/>
                <w:lang w:val="en-US" w:eastAsia="zh-CN"/>
              </w:rPr>
              <w:t>达标区判定</w:t>
            </w:r>
          </w:p>
          <w:p w14:paraId="7FA81AF9">
            <w:pPr>
              <w:keepLines w:val="0"/>
              <w:pageBreakBefore w:val="0"/>
              <w:wordWrap/>
              <w:topLinePunct w:val="0"/>
              <w:bidi w:val="0"/>
              <w:adjustRightInd w:val="0"/>
              <w:snapToGrid w:val="0"/>
              <w:textAlignment w:val="auto"/>
              <w:rPr>
                <w:rFonts w:hint="default"/>
                <w:color w:val="auto"/>
                <w:sz w:val="24"/>
                <w:szCs w:val="24"/>
              </w:rPr>
            </w:pPr>
            <w:r>
              <w:rPr>
                <w:rFonts w:hint="default"/>
                <w:color w:val="auto"/>
                <w:sz w:val="24"/>
                <w:szCs w:val="24"/>
              </w:rPr>
              <w:t>根据《环境影响评价技术导则大气环境》（HJ2.2-2018），项目所在区域达标判定优先采用国家或地方生态环境主管部门公开发布的评价基准年环境质量公告或环境质量报告中的数据或结论。本次评价取基准年2024年。根据2024年青阳县环境质量状况公报：</w:t>
            </w:r>
          </w:p>
          <w:p w14:paraId="748CE156">
            <w:pPr>
              <w:keepLines w:val="0"/>
              <w:pageBreakBefore w:val="0"/>
              <w:wordWrap/>
              <w:topLinePunct w:val="0"/>
              <w:bidi w:val="0"/>
              <w:adjustRightInd w:val="0"/>
              <w:snapToGrid w:val="0"/>
              <w:textAlignment w:val="auto"/>
              <w:rPr>
                <w:rFonts w:hint="default"/>
                <w:color w:val="auto"/>
                <w:sz w:val="24"/>
                <w:szCs w:val="24"/>
              </w:rPr>
            </w:pPr>
            <w:r>
              <w:rPr>
                <w:rFonts w:hint="default"/>
                <w:color w:val="auto"/>
                <w:sz w:val="24"/>
                <w:szCs w:val="24"/>
              </w:rPr>
              <w:t>2024年，青阳县城区环境空气质量达到优、良天数共341天，优良率93.4%，较去年同期相比提高了1.1%。影响城区环境空气质量的主要污染物是可吸入颗粒物、细颗粒物和臭氧。环境空气中二氧化硫（SO</w:t>
            </w:r>
            <w:r>
              <w:rPr>
                <w:rFonts w:hint="default"/>
                <w:color w:val="auto"/>
                <w:sz w:val="24"/>
                <w:szCs w:val="24"/>
                <w:vertAlign w:val="subscript"/>
              </w:rPr>
              <w:t>2</w:t>
            </w:r>
            <w:r>
              <w:rPr>
                <w:rFonts w:hint="default"/>
                <w:color w:val="auto"/>
                <w:sz w:val="24"/>
                <w:szCs w:val="24"/>
              </w:rPr>
              <w:t>）、二氧化氮（NO</w:t>
            </w:r>
            <w:r>
              <w:rPr>
                <w:rFonts w:hint="default"/>
                <w:color w:val="auto"/>
                <w:sz w:val="24"/>
                <w:szCs w:val="24"/>
                <w:vertAlign w:val="subscript"/>
              </w:rPr>
              <w:t>2</w:t>
            </w:r>
            <w:r>
              <w:rPr>
                <w:rFonts w:hint="default"/>
                <w:color w:val="auto"/>
                <w:sz w:val="24"/>
                <w:szCs w:val="24"/>
              </w:rPr>
              <w:t>）、可吸入颗粒物（PM</w:t>
            </w:r>
            <w:r>
              <w:rPr>
                <w:rFonts w:hint="default"/>
                <w:color w:val="auto"/>
                <w:sz w:val="24"/>
                <w:szCs w:val="24"/>
                <w:vertAlign w:val="subscript"/>
              </w:rPr>
              <w:t>10</w:t>
            </w:r>
            <w:r>
              <w:rPr>
                <w:rFonts w:hint="default"/>
                <w:color w:val="auto"/>
                <w:sz w:val="24"/>
                <w:szCs w:val="24"/>
              </w:rPr>
              <w:t>）、细颗粒物（PM</w:t>
            </w:r>
            <w:r>
              <w:rPr>
                <w:rFonts w:hint="default"/>
                <w:color w:val="auto"/>
                <w:sz w:val="24"/>
                <w:szCs w:val="24"/>
                <w:vertAlign w:val="subscript"/>
              </w:rPr>
              <w:t>2.5</w:t>
            </w:r>
            <w:r>
              <w:rPr>
                <w:rFonts w:hint="default"/>
                <w:color w:val="auto"/>
                <w:sz w:val="24"/>
                <w:szCs w:val="24"/>
              </w:rPr>
              <w:t>）年均浓度分别为7微克/立方米、17微克/立方米、54微克/立方米、29微克/立方米，一氧化碳（CO）24小时平均第95百分位数浓度为1.1毫克/立方米，臭氧（O</w:t>
            </w:r>
            <w:r>
              <w:rPr>
                <w:rFonts w:hint="default"/>
                <w:color w:val="auto"/>
                <w:sz w:val="24"/>
                <w:szCs w:val="24"/>
                <w:vertAlign w:val="subscript"/>
              </w:rPr>
              <w:t>3</w:t>
            </w:r>
            <w:r>
              <w:rPr>
                <w:rFonts w:hint="default"/>
                <w:color w:val="auto"/>
                <w:sz w:val="24"/>
                <w:szCs w:val="24"/>
              </w:rPr>
              <w:t>）日最大八小时平均第90百分位数浓度为138微克/立方米。PM</w:t>
            </w:r>
            <w:r>
              <w:rPr>
                <w:rFonts w:hint="default"/>
                <w:color w:val="auto"/>
                <w:sz w:val="24"/>
                <w:szCs w:val="24"/>
                <w:vertAlign w:val="subscript"/>
              </w:rPr>
              <w:t>10</w:t>
            </w:r>
            <w:r>
              <w:rPr>
                <w:rFonts w:hint="default"/>
                <w:color w:val="auto"/>
                <w:sz w:val="24"/>
                <w:szCs w:val="24"/>
              </w:rPr>
              <w:t>较去年同期相比保持不变，PM</w:t>
            </w:r>
            <w:r>
              <w:rPr>
                <w:rFonts w:hint="default"/>
                <w:color w:val="auto"/>
                <w:sz w:val="24"/>
                <w:szCs w:val="24"/>
                <w:vertAlign w:val="subscript"/>
              </w:rPr>
              <w:t>2.5</w:t>
            </w:r>
            <w:r>
              <w:rPr>
                <w:rFonts w:hint="default"/>
                <w:color w:val="auto"/>
                <w:sz w:val="24"/>
                <w:szCs w:val="24"/>
              </w:rPr>
              <w:t>较去年同期相比上升了7.4％。城区降水pH值年均值为7.34，全年未出现酸雨。城区空气降尘量为1.9吨/平方千米•月。</w:t>
            </w:r>
          </w:p>
          <w:p w14:paraId="68296280">
            <w:pPr>
              <w:keepLines w:val="0"/>
              <w:pageBreakBefore w:val="0"/>
              <w:wordWrap/>
              <w:topLinePunct w:val="0"/>
              <w:bidi w:val="0"/>
              <w:adjustRightInd w:val="0"/>
              <w:snapToGrid w:val="0"/>
              <w:textAlignment w:val="auto"/>
              <w:rPr>
                <w:rFonts w:hint="default"/>
                <w:color w:val="auto"/>
                <w:sz w:val="24"/>
                <w:szCs w:val="24"/>
              </w:rPr>
            </w:pPr>
            <w:r>
              <w:rPr>
                <w:rFonts w:hint="default"/>
                <w:color w:val="auto"/>
                <w:sz w:val="24"/>
                <w:szCs w:val="24"/>
                <w:lang w:val="en-US" w:eastAsia="zh-CN"/>
              </w:rPr>
              <w:t>项目所在区域内环境空气质量现状评价见下表。</w:t>
            </w:r>
          </w:p>
          <w:p w14:paraId="226D1A52">
            <w:pPr>
              <w:pStyle w:val="38"/>
              <w:keepNext w:val="0"/>
              <w:keepLines w:val="0"/>
              <w:pageBreakBefore w:val="0"/>
              <w:widowControl w:val="0"/>
              <w:kinsoku/>
              <w:wordWrap/>
              <w:overflowPunct/>
              <w:topLinePunct w:val="0"/>
              <w:autoSpaceDE/>
              <w:autoSpaceDN/>
              <w:bidi w:val="0"/>
              <w:adjustRightInd w:val="0"/>
              <w:snapToGrid w:val="0"/>
              <w:spacing w:after="0"/>
              <w:textAlignment w:val="auto"/>
              <w:rPr>
                <w:color w:val="auto"/>
              </w:rPr>
            </w:pPr>
            <w:r>
              <w:rPr>
                <w:rFonts w:hint="default" w:ascii="Times New Roman" w:hAnsi="Times New Roman" w:cs="Times New Roman"/>
                <w:color w:val="auto"/>
              </w:rPr>
              <w:t>表</w:t>
            </w:r>
            <w:r>
              <w:rPr>
                <w:rFonts w:hint="eastAsia" w:ascii="Times New Roman" w:hAnsi="Times New Roman" w:cs="Times New Roman"/>
                <w:color w:val="auto"/>
                <w:lang w:val="en-US" w:eastAsia="zh-CN"/>
              </w:rPr>
              <w:t>3.1</w:t>
            </w:r>
            <w:r>
              <w:rPr>
                <w:rFonts w:hint="default" w:ascii="Times New Roman" w:hAnsi="Times New Roman" w:cs="Times New Roman"/>
                <w:color w:val="auto"/>
              </w:rPr>
              <w:t>-1</w:t>
            </w:r>
            <w:r>
              <w:rPr>
                <w:rFonts w:hint="eastAsia" w:ascii="Times New Roman" w:hAnsi="Times New Roman" w:cs="Times New Roman"/>
                <w:color w:val="auto"/>
                <w:lang w:val="en-US" w:eastAsia="zh-CN"/>
              </w:rPr>
              <w:t xml:space="preserve">  </w:t>
            </w:r>
            <w:r>
              <w:rPr>
                <w:rFonts w:hint="default" w:ascii="Times New Roman" w:hAnsi="Times New Roman" w:cs="Times New Roman"/>
                <w:color w:val="auto"/>
              </w:rPr>
              <w:t>项目所在区域空气质量现状评价结果一览表</w:t>
            </w:r>
          </w:p>
          <w:tbl>
            <w:tblPr>
              <w:tblStyle w:val="31"/>
              <w:tblW w:w="83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07"/>
              <w:gridCol w:w="2463"/>
              <w:gridCol w:w="1725"/>
              <w:gridCol w:w="1387"/>
              <w:gridCol w:w="1013"/>
              <w:gridCol w:w="902"/>
            </w:tblGrid>
            <w:tr w14:paraId="20A5C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3" w:hRule="atLeast"/>
                <w:jc w:val="center"/>
              </w:trPr>
              <w:tc>
                <w:tcPr>
                  <w:tcW w:w="540" w:type="pct"/>
                  <w:tcBorders>
                    <w:tl2br w:val="nil"/>
                    <w:tr2bl w:val="nil"/>
                  </w:tcBorders>
                  <w:noWrap w:val="0"/>
                  <w:vAlign w:val="center"/>
                </w:tcPr>
                <w:p w14:paraId="090CA16F">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r>
                    <w:rPr>
                      <w:rFonts w:hint="default" w:ascii="Times New Roman" w:hAnsi="Times New Roman" w:cs="Times New Roman"/>
                      <w:color w:val="auto"/>
                    </w:rPr>
                    <w:t>污染物</w:t>
                  </w:r>
                </w:p>
              </w:tc>
              <w:tc>
                <w:tcPr>
                  <w:tcW w:w="1466" w:type="pct"/>
                  <w:tcBorders>
                    <w:tl2br w:val="nil"/>
                    <w:tr2bl w:val="nil"/>
                  </w:tcBorders>
                  <w:noWrap w:val="0"/>
                  <w:vAlign w:val="center"/>
                </w:tcPr>
                <w:p w14:paraId="67D5396C">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r>
                    <w:rPr>
                      <w:rFonts w:hint="default" w:ascii="Times New Roman" w:hAnsi="Times New Roman" w:cs="Times New Roman"/>
                      <w:color w:val="auto"/>
                    </w:rPr>
                    <w:t>年评价指标</w:t>
                  </w:r>
                </w:p>
              </w:tc>
              <w:tc>
                <w:tcPr>
                  <w:tcW w:w="1027" w:type="pct"/>
                  <w:tcBorders>
                    <w:tl2br w:val="nil"/>
                    <w:tr2bl w:val="nil"/>
                  </w:tcBorders>
                  <w:noWrap w:val="0"/>
                  <w:vAlign w:val="center"/>
                </w:tcPr>
                <w:p w14:paraId="33C57945">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r>
                    <w:rPr>
                      <w:rFonts w:hint="default" w:ascii="Times New Roman" w:hAnsi="Times New Roman" w:cs="Times New Roman"/>
                      <w:color w:val="auto"/>
                    </w:rPr>
                    <w:t>202</w:t>
                  </w:r>
                  <w:r>
                    <w:rPr>
                      <w:rFonts w:hint="default" w:ascii="Times New Roman" w:hAnsi="Times New Roman" w:cs="Times New Roman"/>
                      <w:color w:val="auto"/>
                      <w:lang w:val="en-US" w:eastAsia="zh-CN"/>
                    </w:rPr>
                    <w:t>4</w:t>
                  </w:r>
                  <w:r>
                    <w:rPr>
                      <w:rFonts w:hint="default" w:ascii="Times New Roman" w:hAnsi="Times New Roman" w:cs="Times New Roman"/>
                      <w:color w:val="auto"/>
                    </w:rPr>
                    <w:t>年现</w:t>
                  </w:r>
                  <w:r>
                    <w:rPr>
                      <w:rFonts w:hint="default" w:ascii="Times New Roman" w:hAnsi="Times New Roman" w:cs="Times New Roman"/>
                      <w:color w:val="auto"/>
                      <w:lang w:eastAsia="zh-CN"/>
                    </w:rPr>
                    <w:t>状</w:t>
                  </w:r>
                  <w:r>
                    <w:rPr>
                      <w:rFonts w:hint="default" w:ascii="Times New Roman" w:hAnsi="Times New Roman" w:cs="Times New Roman"/>
                      <w:color w:val="auto"/>
                    </w:rPr>
                    <w:cr/>
                  </w:r>
                  <w:r>
                    <w:rPr>
                      <w:rFonts w:hint="default" w:ascii="Times New Roman" w:hAnsi="Times New Roman" w:cs="Times New Roman"/>
                      <w:color w:val="auto"/>
                    </w:rPr>
                    <w:t>浓度</w:t>
                  </w:r>
                </w:p>
              </w:tc>
              <w:tc>
                <w:tcPr>
                  <w:tcW w:w="825" w:type="pct"/>
                  <w:tcBorders>
                    <w:tl2br w:val="nil"/>
                    <w:tr2bl w:val="nil"/>
                  </w:tcBorders>
                  <w:noWrap w:val="0"/>
                  <w:vAlign w:val="center"/>
                </w:tcPr>
                <w:p w14:paraId="1342DAA7">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r>
                    <w:rPr>
                      <w:rFonts w:hint="default" w:ascii="Times New Roman" w:hAnsi="Times New Roman" w:cs="Times New Roman"/>
                      <w:color w:val="auto"/>
                    </w:rPr>
                    <w:t>标准值</w:t>
                  </w:r>
                </w:p>
              </w:tc>
              <w:tc>
                <w:tcPr>
                  <w:tcW w:w="603" w:type="pct"/>
                  <w:tcBorders>
                    <w:tl2br w:val="nil"/>
                    <w:tr2bl w:val="nil"/>
                  </w:tcBorders>
                  <w:noWrap w:val="0"/>
                  <w:vAlign w:val="center"/>
                </w:tcPr>
                <w:p w14:paraId="1EE75B1D">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r>
                    <w:rPr>
                      <w:rFonts w:hint="default" w:ascii="Times New Roman" w:hAnsi="Times New Roman" w:cs="Times New Roman"/>
                      <w:color w:val="auto"/>
                    </w:rPr>
                    <w:t>占标率</w:t>
                  </w:r>
                  <w:r>
                    <w:rPr>
                      <w:rFonts w:hint="default" w:ascii="Times New Roman" w:hAnsi="Times New Roman" w:cs="Times New Roman"/>
                      <w:color w:val="auto"/>
                      <w:lang w:eastAsia="zh-CN"/>
                    </w:rPr>
                    <w:t>（</w:t>
                  </w:r>
                  <w:r>
                    <w:rPr>
                      <w:rFonts w:hint="default" w:ascii="Times New Roman" w:hAnsi="Times New Roman" w:cs="Times New Roman"/>
                      <w:color w:val="auto"/>
                    </w:rPr>
                    <w:t>%</w:t>
                  </w:r>
                  <w:r>
                    <w:rPr>
                      <w:rFonts w:hint="default" w:ascii="Times New Roman" w:hAnsi="Times New Roman" w:cs="Times New Roman"/>
                      <w:color w:val="auto"/>
                      <w:lang w:eastAsia="zh-CN"/>
                    </w:rPr>
                    <w:t>）</w:t>
                  </w:r>
                </w:p>
              </w:tc>
              <w:tc>
                <w:tcPr>
                  <w:tcW w:w="537" w:type="pct"/>
                  <w:tcBorders>
                    <w:tl2br w:val="nil"/>
                    <w:tr2bl w:val="nil"/>
                  </w:tcBorders>
                  <w:noWrap w:val="0"/>
                  <w:vAlign w:val="center"/>
                </w:tcPr>
                <w:p w14:paraId="54D30E60">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r>
                    <w:rPr>
                      <w:rFonts w:hint="default" w:ascii="Times New Roman" w:hAnsi="Times New Roman" w:cs="Times New Roman"/>
                      <w:color w:val="auto"/>
                    </w:rPr>
                    <w:t>达标情况</w:t>
                  </w:r>
                </w:p>
              </w:tc>
            </w:tr>
            <w:tr w14:paraId="715AC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40" w:type="pct"/>
                  <w:tcBorders>
                    <w:tl2br w:val="nil"/>
                    <w:tr2bl w:val="nil"/>
                  </w:tcBorders>
                  <w:noWrap w:val="0"/>
                  <w:vAlign w:val="center"/>
                </w:tcPr>
                <w:p w14:paraId="7EC2E15C">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SO</w:t>
                  </w:r>
                  <w:r>
                    <w:rPr>
                      <w:rFonts w:hint="default" w:ascii="Times New Roman" w:hAnsi="Times New Roman" w:cs="Times New Roman"/>
                      <w:b w:val="0"/>
                      <w:bCs/>
                      <w:color w:val="auto"/>
                      <w:vertAlign w:val="subscript"/>
                    </w:rPr>
                    <w:t>2</w:t>
                  </w:r>
                </w:p>
              </w:tc>
              <w:tc>
                <w:tcPr>
                  <w:tcW w:w="1466" w:type="pct"/>
                  <w:tcBorders>
                    <w:tl2br w:val="nil"/>
                    <w:tr2bl w:val="nil"/>
                  </w:tcBorders>
                  <w:noWrap w:val="0"/>
                  <w:vAlign w:val="center"/>
                </w:tcPr>
                <w:p w14:paraId="2CF6E4A2">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年平均质量浓度</w:t>
                  </w:r>
                </w:p>
              </w:tc>
              <w:tc>
                <w:tcPr>
                  <w:tcW w:w="1027" w:type="pct"/>
                  <w:tcBorders>
                    <w:tl2br w:val="nil"/>
                    <w:tr2bl w:val="nil"/>
                  </w:tcBorders>
                  <w:noWrap w:val="0"/>
                  <w:vAlign w:val="center"/>
                </w:tcPr>
                <w:p w14:paraId="4F8D25D9">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7</w:t>
                  </w:r>
                  <w:r>
                    <w:rPr>
                      <w:rFonts w:hint="default" w:ascii="Times New Roman" w:hAnsi="Times New Roman" w:cs="Times New Roman"/>
                      <w:b w:val="0"/>
                      <w:bCs/>
                      <w:color w:val="auto"/>
                    </w:rPr>
                    <w:t>μg/m</w:t>
                  </w:r>
                  <w:r>
                    <w:rPr>
                      <w:rFonts w:hint="default" w:ascii="Times New Roman" w:hAnsi="Times New Roman" w:cs="Times New Roman"/>
                      <w:b w:val="0"/>
                      <w:bCs/>
                      <w:color w:val="auto"/>
                      <w:vertAlign w:val="superscript"/>
                    </w:rPr>
                    <w:t>3</w:t>
                  </w:r>
                </w:p>
              </w:tc>
              <w:tc>
                <w:tcPr>
                  <w:tcW w:w="825" w:type="pct"/>
                  <w:tcBorders>
                    <w:tl2br w:val="nil"/>
                    <w:tr2bl w:val="nil"/>
                  </w:tcBorders>
                  <w:noWrap w:val="0"/>
                  <w:vAlign w:val="center"/>
                </w:tcPr>
                <w:p w14:paraId="52152FD5">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60μg/m</w:t>
                  </w:r>
                  <w:r>
                    <w:rPr>
                      <w:rFonts w:hint="default" w:ascii="Times New Roman" w:hAnsi="Times New Roman" w:cs="Times New Roman"/>
                      <w:b w:val="0"/>
                      <w:bCs/>
                      <w:color w:val="auto"/>
                      <w:vertAlign w:val="superscript"/>
                    </w:rPr>
                    <w:t>3</w:t>
                  </w:r>
                </w:p>
              </w:tc>
              <w:tc>
                <w:tcPr>
                  <w:tcW w:w="603" w:type="pct"/>
                  <w:tcBorders>
                    <w:tl2br w:val="nil"/>
                    <w:tr2bl w:val="nil"/>
                  </w:tcBorders>
                  <w:noWrap w:val="0"/>
                  <w:vAlign w:val="center"/>
                </w:tcPr>
                <w:p w14:paraId="71763B20">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11.67</w:t>
                  </w:r>
                </w:p>
              </w:tc>
              <w:tc>
                <w:tcPr>
                  <w:tcW w:w="537" w:type="pct"/>
                  <w:tcBorders>
                    <w:tl2br w:val="nil"/>
                    <w:tr2bl w:val="nil"/>
                  </w:tcBorders>
                  <w:noWrap w:val="0"/>
                  <w:vAlign w:val="center"/>
                </w:tcPr>
                <w:p w14:paraId="0B71D421">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达标</w:t>
                  </w:r>
                </w:p>
              </w:tc>
            </w:tr>
            <w:tr w14:paraId="489C7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40" w:type="pct"/>
                  <w:tcBorders>
                    <w:tl2br w:val="nil"/>
                    <w:tr2bl w:val="nil"/>
                  </w:tcBorders>
                  <w:noWrap w:val="0"/>
                  <w:vAlign w:val="center"/>
                </w:tcPr>
                <w:p w14:paraId="6909075A">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NO</w:t>
                  </w:r>
                  <w:r>
                    <w:rPr>
                      <w:rFonts w:hint="default" w:ascii="Times New Roman" w:hAnsi="Times New Roman" w:cs="Times New Roman"/>
                      <w:b w:val="0"/>
                      <w:bCs/>
                      <w:color w:val="auto"/>
                      <w:vertAlign w:val="subscript"/>
                    </w:rPr>
                    <w:t>2</w:t>
                  </w:r>
                </w:p>
              </w:tc>
              <w:tc>
                <w:tcPr>
                  <w:tcW w:w="1466" w:type="pct"/>
                  <w:tcBorders>
                    <w:tl2br w:val="nil"/>
                    <w:tr2bl w:val="nil"/>
                  </w:tcBorders>
                  <w:noWrap w:val="0"/>
                  <w:vAlign w:val="center"/>
                </w:tcPr>
                <w:p w14:paraId="38091704">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年平均质量浓度</w:t>
                  </w:r>
                </w:p>
              </w:tc>
              <w:tc>
                <w:tcPr>
                  <w:tcW w:w="1027" w:type="pct"/>
                  <w:tcBorders>
                    <w:tl2br w:val="nil"/>
                    <w:tr2bl w:val="nil"/>
                  </w:tcBorders>
                  <w:noWrap w:val="0"/>
                  <w:vAlign w:val="center"/>
                </w:tcPr>
                <w:p w14:paraId="401C9023">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17</w:t>
                  </w:r>
                  <w:r>
                    <w:rPr>
                      <w:rFonts w:hint="default" w:ascii="Times New Roman" w:hAnsi="Times New Roman" w:cs="Times New Roman"/>
                      <w:b w:val="0"/>
                      <w:bCs/>
                      <w:color w:val="auto"/>
                    </w:rPr>
                    <w:t>μg/m</w:t>
                  </w:r>
                  <w:r>
                    <w:rPr>
                      <w:rFonts w:hint="default" w:ascii="Times New Roman" w:hAnsi="Times New Roman" w:cs="Times New Roman"/>
                      <w:b w:val="0"/>
                      <w:bCs/>
                      <w:color w:val="auto"/>
                      <w:vertAlign w:val="superscript"/>
                    </w:rPr>
                    <w:t>3</w:t>
                  </w:r>
                </w:p>
              </w:tc>
              <w:tc>
                <w:tcPr>
                  <w:tcW w:w="825" w:type="pct"/>
                  <w:tcBorders>
                    <w:tl2br w:val="nil"/>
                    <w:tr2bl w:val="nil"/>
                  </w:tcBorders>
                  <w:noWrap w:val="0"/>
                  <w:vAlign w:val="center"/>
                </w:tcPr>
                <w:p w14:paraId="46F03EC7">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eastAsia" w:cs="Times New Roman"/>
                      <w:b w:val="0"/>
                      <w:bCs/>
                      <w:color w:val="auto"/>
                      <w:lang w:val="en-US" w:eastAsia="zh-CN"/>
                    </w:rPr>
                    <w:t>4</w:t>
                  </w:r>
                  <w:r>
                    <w:rPr>
                      <w:rFonts w:hint="default" w:ascii="Times New Roman" w:hAnsi="Times New Roman" w:cs="Times New Roman"/>
                      <w:b w:val="0"/>
                      <w:bCs/>
                      <w:color w:val="auto"/>
                    </w:rPr>
                    <w:t>0μg/m</w:t>
                  </w:r>
                  <w:r>
                    <w:rPr>
                      <w:rFonts w:hint="default" w:ascii="Times New Roman" w:hAnsi="Times New Roman" w:cs="Times New Roman"/>
                      <w:b w:val="0"/>
                      <w:bCs/>
                      <w:color w:val="auto"/>
                      <w:vertAlign w:val="superscript"/>
                    </w:rPr>
                    <w:t>3</w:t>
                  </w:r>
                </w:p>
              </w:tc>
              <w:tc>
                <w:tcPr>
                  <w:tcW w:w="603" w:type="pct"/>
                  <w:tcBorders>
                    <w:tl2br w:val="nil"/>
                    <w:tr2bl w:val="nil"/>
                  </w:tcBorders>
                  <w:noWrap w:val="0"/>
                  <w:vAlign w:val="center"/>
                </w:tcPr>
                <w:p w14:paraId="679D3220">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42.50</w:t>
                  </w:r>
                </w:p>
              </w:tc>
              <w:tc>
                <w:tcPr>
                  <w:tcW w:w="537" w:type="pct"/>
                  <w:tcBorders>
                    <w:tl2br w:val="nil"/>
                    <w:tr2bl w:val="nil"/>
                  </w:tcBorders>
                  <w:noWrap w:val="0"/>
                  <w:vAlign w:val="center"/>
                </w:tcPr>
                <w:p w14:paraId="25674C56">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达标</w:t>
                  </w:r>
                </w:p>
              </w:tc>
            </w:tr>
            <w:tr w14:paraId="3BCB9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40" w:type="pct"/>
                  <w:tcBorders>
                    <w:tl2br w:val="nil"/>
                    <w:tr2bl w:val="nil"/>
                  </w:tcBorders>
                  <w:noWrap w:val="0"/>
                  <w:vAlign w:val="center"/>
                </w:tcPr>
                <w:p w14:paraId="362D5749">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PM</w:t>
                  </w:r>
                  <w:r>
                    <w:rPr>
                      <w:rFonts w:hint="default" w:ascii="Times New Roman" w:hAnsi="Times New Roman" w:cs="Times New Roman"/>
                      <w:b w:val="0"/>
                      <w:bCs/>
                      <w:color w:val="auto"/>
                      <w:vertAlign w:val="subscript"/>
                    </w:rPr>
                    <w:t>10</w:t>
                  </w:r>
                </w:p>
              </w:tc>
              <w:tc>
                <w:tcPr>
                  <w:tcW w:w="1466" w:type="pct"/>
                  <w:tcBorders>
                    <w:tl2br w:val="nil"/>
                    <w:tr2bl w:val="nil"/>
                  </w:tcBorders>
                  <w:noWrap w:val="0"/>
                  <w:vAlign w:val="center"/>
                </w:tcPr>
                <w:p w14:paraId="6E86D73E">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年平均质量浓度</w:t>
                  </w:r>
                </w:p>
              </w:tc>
              <w:tc>
                <w:tcPr>
                  <w:tcW w:w="1027" w:type="pct"/>
                  <w:tcBorders>
                    <w:tl2br w:val="nil"/>
                    <w:tr2bl w:val="nil"/>
                  </w:tcBorders>
                  <w:noWrap w:val="0"/>
                  <w:vAlign w:val="center"/>
                </w:tcPr>
                <w:p w14:paraId="36064F84">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54</w:t>
                  </w:r>
                  <w:r>
                    <w:rPr>
                      <w:rFonts w:hint="default" w:ascii="Times New Roman" w:hAnsi="Times New Roman" w:cs="Times New Roman"/>
                      <w:b w:val="0"/>
                      <w:bCs/>
                      <w:color w:val="auto"/>
                    </w:rPr>
                    <w:t>μg/Nm</w:t>
                  </w:r>
                  <w:r>
                    <w:rPr>
                      <w:rFonts w:hint="default" w:ascii="Times New Roman" w:hAnsi="Times New Roman" w:cs="Times New Roman"/>
                      <w:b w:val="0"/>
                      <w:bCs/>
                      <w:color w:val="auto"/>
                      <w:vertAlign w:val="superscript"/>
                    </w:rPr>
                    <w:t>3</w:t>
                  </w:r>
                </w:p>
              </w:tc>
              <w:tc>
                <w:tcPr>
                  <w:tcW w:w="825" w:type="pct"/>
                  <w:tcBorders>
                    <w:tl2br w:val="nil"/>
                    <w:tr2bl w:val="nil"/>
                  </w:tcBorders>
                  <w:noWrap w:val="0"/>
                  <w:vAlign w:val="center"/>
                </w:tcPr>
                <w:p w14:paraId="1CAADAF9">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eastAsia" w:cs="Times New Roman"/>
                      <w:b w:val="0"/>
                      <w:bCs/>
                      <w:color w:val="auto"/>
                      <w:lang w:val="en-US" w:eastAsia="zh-CN"/>
                    </w:rPr>
                    <w:t>6</w:t>
                  </w:r>
                  <w:r>
                    <w:rPr>
                      <w:rFonts w:hint="default" w:ascii="Times New Roman" w:hAnsi="Times New Roman" w:cs="Times New Roman"/>
                      <w:b w:val="0"/>
                      <w:bCs/>
                      <w:color w:val="auto"/>
                    </w:rPr>
                    <w:t>0μg/m</w:t>
                  </w:r>
                  <w:r>
                    <w:rPr>
                      <w:rFonts w:hint="default" w:ascii="Times New Roman" w:hAnsi="Times New Roman" w:cs="Times New Roman"/>
                      <w:b w:val="0"/>
                      <w:bCs/>
                      <w:color w:val="auto"/>
                      <w:vertAlign w:val="superscript"/>
                    </w:rPr>
                    <w:t>3</w:t>
                  </w:r>
                </w:p>
              </w:tc>
              <w:tc>
                <w:tcPr>
                  <w:tcW w:w="603" w:type="pct"/>
                  <w:tcBorders>
                    <w:tl2br w:val="nil"/>
                    <w:tr2bl w:val="nil"/>
                  </w:tcBorders>
                  <w:noWrap w:val="0"/>
                  <w:vAlign w:val="center"/>
                </w:tcPr>
                <w:p w14:paraId="7B91434B">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cs="Times New Roman"/>
                      <w:b w:val="0"/>
                      <w:bCs/>
                      <w:color w:val="auto"/>
                      <w:lang w:val="en-US" w:eastAsia="zh-CN"/>
                    </w:rPr>
                    <w:t>90.0</w:t>
                  </w:r>
                </w:p>
              </w:tc>
              <w:tc>
                <w:tcPr>
                  <w:tcW w:w="537" w:type="pct"/>
                  <w:tcBorders>
                    <w:tl2br w:val="nil"/>
                    <w:tr2bl w:val="nil"/>
                  </w:tcBorders>
                  <w:noWrap w:val="0"/>
                  <w:vAlign w:val="center"/>
                </w:tcPr>
                <w:p w14:paraId="01D07484">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达标</w:t>
                  </w:r>
                </w:p>
              </w:tc>
            </w:tr>
            <w:tr w14:paraId="21030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40" w:type="pct"/>
                  <w:tcBorders>
                    <w:tl2br w:val="nil"/>
                    <w:tr2bl w:val="nil"/>
                  </w:tcBorders>
                  <w:noWrap w:val="0"/>
                  <w:vAlign w:val="center"/>
                </w:tcPr>
                <w:p w14:paraId="19E76F34">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PM</w:t>
                  </w:r>
                  <w:r>
                    <w:rPr>
                      <w:rFonts w:hint="default" w:ascii="Times New Roman" w:hAnsi="Times New Roman" w:cs="Times New Roman"/>
                      <w:b w:val="0"/>
                      <w:bCs/>
                      <w:color w:val="auto"/>
                      <w:vertAlign w:val="subscript"/>
                    </w:rPr>
                    <w:t>2.5</w:t>
                  </w:r>
                </w:p>
              </w:tc>
              <w:tc>
                <w:tcPr>
                  <w:tcW w:w="1466" w:type="pct"/>
                  <w:tcBorders>
                    <w:tl2br w:val="nil"/>
                    <w:tr2bl w:val="nil"/>
                  </w:tcBorders>
                  <w:noWrap w:val="0"/>
                  <w:vAlign w:val="center"/>
                </w:tcPr>
                <w:p w14:paraId="69889149">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年平均质量浓度</w:t>
                  </w:r>
                </w:p>
              </w:tc>
              <w:tc>
                <w:tcPr>
                  <w:tcW w:w="1027" w:type="pct"/>
                  <w:tcBorders>
                    <w:tl2br w:val="nil"/>
                    <w:tr2bl w:val="nil"/>
                  </w:tcBorders>
                  <w:noWrap w:val="0"/>
                  <w:vAlign w:val="center"/>
                </w:tcPr>
                <w:p w14:paraId="760C0881">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29</w:t>
                  </w:r>
                  <w:r>
                    <w:rPr>
                      <w:rFonts w:hint="default" w:ascii="Times New Roman" w:hAnsi="Times New Roman" w:cs="Times New Roman"/>
                      <w:b w:val="0"/>
                      <w:bCs/>
                      <w:color w:val="auto"/>
                    </w:rPr>
                    <w:t>μg/Nm</w:t>
                  </w:r>
                  <w:r>
                    <w:rPr>
                      <w:rFonts w:hint="default" w:ascii="Times New Roman" w:hAnsi="Times New Roman" w:cs="Times New Roman"/>
                      <w:b w:val="0"/>
                      <w:bCs/>
                      <w:color w:val="auto"/>
                      <w:vertAlign w:val="superscript"/>
                    </w:rPr>
                    <w:t>3</w:t>
                  </w:r>
                </w:p>
              </w:tc>
              <w:tc>
                <w:tcPr>
                  <w:tcW w:w="825" w:type="pct"/>
                  <w:tcBorders>
                    <w:tl2br w:val="nil"/>
                    <w:tr2bl w:val="nil"/>
                  </w:tcBorders>
                  <w:noWrap w:val="0"/>
                  <w:vAlign w:val="center"/>
                </w:tcPr>
                <w:p w14:paraId="0699096C">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3</w:t>
                  </w:r>
                  <w:r>
                    <w:rPr>
                      <w:rFonts w:hint="eastAsia" w:cs="Times New Roman"/>
                      <w:b w:val="0"/>
                      <w:bCs/>
                      <w:color w:val="auto"/>
                      <w:lang w:val="en-US" w:eastAsia="zh-CN"/>
                    </w:rPr>
                    <w:t>0</w:t>
                  </w:r>
                  <w:r>
                    <w:rPr>
                      <w:rFonts w:hint="default" w:ascii="Times New Roman" w:hAnsi="Times New Roman" w:cs="Times New Roman"/>
                      <w:b w:val="0"/>
                      <w:bCs/>
                      <w:color w:val="auto"/>
                    </w:rPr>
                    <w:t>μg/m</w:t>
                  </w:r>
                  <w:r>
                    <w:rPr>
                      <w:rFonts w:hint="default" w:ascii="Times New Roman" w:hAnsi="Times New Roman" w:cs="Times New Roman"/>
                      <w:b w:val="0"/>
                      <w:bCs/>
                      <w:color w:val="auto"/>
                      <w:vertAlign w:val="superscript"/>
                    </w:rPr>
                    <w:t>3</w:t>
                  </w:r>
                </w:p>
              </w:tc>
              <w:tc>
                <w:tcPr>
                  <w:tcW w:w="603" w:type="pct"/>
                  <w:tcBorders>
                    <w:tl2br w:val="nil"/>
                    <w:tr2bl w:val="nil"/>
                  </w:tcBorders>
                  <w:noWrap w:val="0"/>
                  <w:vAlign w:val="center"/>
                </w:tcPr>
                <w:p w14:paraId="7D55C6C2">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cs="Times New Roman"/>
                      <w:b w:val="0"/>
                      <w:bCs/>
                      <w:color w:val="auto"/>
                      <w:lang w:val="en-US" w:eastAsia="zh-CN"/>
                    </w:rPr>
                    <w:t>96.67</w:t>
                  </w:r>
                </w:p>
              </w:tc>
              <w:tc>
                <w:tcPr>
                  <w:tcW w:w="537" w:type="pct"/>
                  <w:tcBorders>
                    <w:tl2br w:val="nil"/>
                    <w:tr2bl w:val="nil"/>
                  </w:tcBorders>
                  <w:noWrap w:val="0"/>
                  <w:vAlign w:val="center"/>
                </w:tcPr>
                <w:p w14:paraId="63417968">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达标</w:t>
                  </w:r>
                </w:p>
              </w:tc>
            </w:tr>
            <w:tr w14:paraId="223F2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4" w:hRule="atLeast"/>
                <w:jc w:val="center"/>
              </w:trPr>
              <w:tc>
                <w:tcPr>
                  <w:tcW w:w="540" w:type="pct"/>
                  <w:tcBorders>
                    <w:tl2br w:val="nil"/>
                    <w:tr2bl w:val="nil"/>
                  </w:tcBorders>
                  <w:noWrap w:val="0"/>
                  <w:vAlign w:val="center"/>
                </w:tcPr>
                <w:p w14:paraId="325E8B0D">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CO</w:t>
                  </w:r>
                </w:p>
              </w:tc>
              <w:tc>
                <w:tcPr>
                  <w:tcW w:w="1466" w:type="pct"/>
                  <w:tcBorders>
                    <w:tl2br w:val="nil"/>
                    <w:tr2bl w:val="nil"/>
                  </w:tcBorders>
                  <w:noWrap w:val="0"/>
                  <w:vAlign w:val="center"/>
                </w:tcPr>
                <w:p w14:paraId="52CEF7AF">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24小时平均质量浓度*</w:t>
                  </w:r>
                </w:p>
              </w:tc>
              <w:tc>
                <w:tcPr>
                  <w:tcW w:w="1027" w:type="pct"/>
                  <w:tcBorders>
                    <w:tl2br w:val="nil"/>
                    <w:tr2bl w:val="nil"/>
                  </w:tcBorders>
                  <w:noWrap w:val="0"/>
                  <w:vAlign w:val="center"/>
                </w:tcPr>
                <w:p w14:paraId="7CBD7024">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1100</w:t>
                  </w:r>
                  <w:r>
                    <w:rPr>
                      <w:rFonts w:hint="default" w:ascii="Times New Roman" w:hAnsi="Times New Roman" w:cs="Times New Roman"/>
                      <w:b w:val="0"/>
                      <w:bCs/>
                      <w:color w:val="auto"/>
                    </w:rPr>
                    <w:t>μg/Nm</w:t>
                  </w:r>
                  <w:r>
                    <w:rPr>
                      <w:rFonts w:hint="default" w:ascii="Times New Roman" w:hAnsi="Times New Roman" w:cs="Times New Roman"/>
                      <w:b w:val="0"/>
                      <w:bCs/>
                      <w:color w:val="auto"/>
                      <w:vertAlign w:val="superscript"/>
                    </w:rPr>
                    <w:t>3</w:t>
                  </w:r>
                </w:p>
              </w:tc>
              <w:tc>
                <w:tcPr>
                  <w:tcW w:w="825" w:type="pct"/>
                  <w:tcBorders>
                    <w:tl2br w:val="nil"/>
                    <w:tr2bl w:val="nil"/>
                  </w:tcBorders>
                  <w:noWrap w:val="0"/>
                  <w:vAlign w:val="center"/>
                </w:tcPr>
                <w:p w14:paraId="1F9A3911">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4</w:t>
                  </w:r>
                  <w:r>
                    <w:rPr>
                      <w:rFonts w:hint="default" w:ascii="Times New Roman" w:hAnsi="Times New Roman" w:cs="Times New Roman"/>
                      <w:b w:val="0"/>
                      <w:bCs/>
                      <w:color w:val="auto"/>
                      <w:lang w:val="en-US" w:eastAsia="zh-CN"/>
                    </w:rPr>
                    <w:t>000</w:t>
                  </w:r>
                  <w:r>
                    <w:rPr>
                      <w:rFonts w:hint="default" w:ascii="Times New Roman" w:hAnsi="Times New Roman" w:cs="Times New Roman"/>
                      <w:b w:val="0"/>
                      <w:bCs/>
                      <w:color w:val="auto"/>
                    </w:rPr>
                    <w:t>μg/m</w:t>
                  </w:r>
                  <w:r>
                    <w:rPr>
                      <w:rFonts w:hint="default" w:ascii="Times New Roman" w:hAnsi="Times New Roman" w:cs="Times New Roman"/>
                      <w:b w:val="0"/>
                      <w:bCs/>
                      <w:color w:val="auto"/>
                      <w:vertAlign w:val="superscript"/>
                    </w:rPr>
                    <w:t>3</w:t>
                  </w:r>
                </w:p>
              </w:tc>
              <w:tc>
                <w:tcPr>
                  <w:tcW w:w="603" w:type="pct"/>
                  <w:tcBorders>
                    <w:tl2br w:val="nil"/>
                    <w:tr2bl w:val="nil"/>
                  </w:tcBorders>
                  <w:noWrap w:val="0"/>
                  <w:vAlign w:val="center"/>
                </w:tcPr>
                <w:p w14:paraId="69B2C0EB">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27.50</w:t>
                  </w:r>
                </w:p>
              </w:tc>
              <w:tc>
                <w:tcPr>
                  <w:tcW w:w="537" w:type="pct"/>
                  <w:tcBorders>
                    <w:tl2br w:val="nil"/>
                    <w:tr2bl w:val="nil"/>
                  </w:tcBorders>
                  <w:noWrap w:val="0"/>
                  <w:vAlign w:val="center"/>
                </w:tcPr>
                <w:p w14:paraId="0EAF77A0">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达标</w:t>
                  </w:r>
                </w:p>
              </w:tc>
            </w:tr>
            <w:tr w14:paraId="1D083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40" w:type="pct"/>
                  <w:tcBorders>
                    <w:tl2br w:val="nil"/>
                    <w:tr2bl w:val="nil"/>
                  </w:tcBorders>
                  <w:noWrap w:val="0"/>
                  <w:vAlign w:val="center"/>
                </w:tcPr>
                <w:p w14:paraId="5BAE55DE">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O</w:t>
                  </w:r>
                  <w:r>
                    <w:rPr>
                      <w:rFonts w:hint="default" w:ascii="Times New Roman" w:hAnsi="Times New Roman" w:cs="Times New Roman"/>
                      <w:b w:val="0"/>
                      <w:bCs/>
                      <w:color w:val="auto"/>
                      <w:vertAlign w:val="subscript"/>
                    </w:rPr>
                    <w:t>3</w:t>
                  </w:r>
                </w:p>
              </w:tc>
              <w:tc>
                <w:tcPr>
                  <w:tcW w:w="1466" w:type="pct"/>
                  <w:tcBorders>
                    <w:tl2br w:val="nil"/>
                    <w:tr2bl w:val="nil"/>
                  </w:tcBorders>
                  <w:noWrap w:val="0"/>
                  <w:vAlign w:val="center"/>
                </w:tcPr>
                <w:p w14:paraId="28DB41AC">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日最大8小时平均**</w:t>
                  </w:r>
                </w:p>
              </w:tc>
              <w:tc>
                <w:tcPr>
                  <w:tcW w:w="1027" w:type="pct"/>
                  <w:tcBorders>
                    <w:tl2br w:val="nil"/>
                    <w:tr2bl w:val="nil"/>
                  </w:tcBorders>
                  <w:noWrap w:val="0"/>
                  <w:vAlign w:val="center"/>
                </w:tcPr>
                <w:p w14:paraId="083B62B9">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138</w:t>
                  </w:r>
                  <w:r>
                    <w:rPr>
                      <w:rFonts w:hint="default" w:ascii="Times New Roman" w:hAnsi="Times New Roman" w:cs="Times New Roman"/>
                      <w:b w:val="0"/>
                      <w:bCs/>
                      <w:color w:val="auto"/>
                    </w:rPr>
                    <w:t>μg/Nm</w:t>
                  </w:r>
                  <w:r>
                    <w:rPr>
                      <w:rFonts w:hint="default" w:ascii="Times New Roman" w:hAnsi="Times New Roman" w:cs="Times New Roman"/>
                      <w:b w:val="0"/>
                      <w:bCs/>
                      <w:color w:val="auto"/>
                      <w:vertAlign w:val="superscript"/>
                    </w:rPr>
                    <w:t>3</w:t>
                  </w:r>
                </w:p>
              </w:tc>
              <w:tc>
                <w:tcPr>
                  <w:tcW w:w="825" w:type="pct"/>
                  <w:tcBorders>
                    <w:tl2br w:val="nil"/>
                    <w:tr2bl w:val="nil"/>
                  </w:tcBorders>
                  <w:noWrap w:val="0"/>
                  <w:vAlign w:val="center"/>
                </w:tcPr>
                <w:p w14:paraId="461A0A56">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160μg/m</w:t>
                  </w:r>
                  <w:r>
                    <w:rPr>
                      <w:rFonts w:hint="default" w:ascii="Times New Roman" w:hAnsi="Times New Roman" w:cs="Times New Roman"/>
                      <w:b w:val="0"/>
                      <w:bCs/>
                      <w:color w:val="auto"/>
                      <w:vertAlign w:val="superscript"/>
                    </w:rPr>
                    <w:t>3</w:t>
                  </w:r>
                </w:p>
              </w:tc>
              <w:tc>
                <w:tcPr>
                  <w:tcW w:w="603" w:type="pct"/>
                  <w:tcBorders>
                    <w:tl2br w:val="nil"/>
                    <w:tr2bl w:val="nil"/>
                  </w:tcBorders>
                  <w:noWrap w:val="0"/>
                  <w:vAlign w:val="center"/>
                </w:tcPr>
                <w:p w14:paraId="25802AF2">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86.25</w:t>
                  </w:r>
                </w:p>
              </w:tc>
              <w:tc>
                <w:tcPr>
                  <w:tcW w:w="537" w:type="pct"/>
                  <w:tcBorders>
                    <w:tl2br w:val="nil"/>
                    <w:tr2bl w:val="nil"/>
                  </w:tcBorders>
                  <w:noWrap w:val="0"/>
                  <w:vAlign w:val="center"/>
                </w:tcPr>
                <w:p w14:paraId="6697305A">
                  <w:pPr>
                    <w:pStyle w:val="38"/>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达标</w:t>
                  </w:r>
                </w:p>
              </w:tc>
            </w:tr>
          </w:tbl>
          <w:p w14:paraId="4E2EF1A0">
            <w:pPr>
              <w:keepLines w:val="0"/>
              <w:pageBreakBefore w:val="0"/>
              <w:wordWrap/>
              <w:topLinePunct w:val="0"/>
              <w:bidi w:val="0"/>
              <w:adjustRightInd w:val="0"/>
              <w:snapToGrid w:val="0"/>
              <w:spacing w:line="240" w:lineRule="auto"/>
              <w:textAlignment w:val="auto"/>
              <w:rPr>
                <w:b/>
                <w:bCs/>
                <w:color w:val="auto"/>
                <w:sz w:val="21"/>
                <w:szCs w:val="21"/>
              </w:rPr>
            </w:pPr>
            <w:r>
              <w:rPr>
                <w:rFonts w:hint="eastAsia"/>
                <w:b/>
                <w:bCs/>
                <w:color w:val="auto"/>
                <w:sz w:val="21"/>
                <w:szCs w:val="21"/>
              </w:rPr>
              <w:t>注：</w:t>
            </w:r>
            <w:r>
              <w:rPr>
                <w:b/>
                <w:bCs/>
                <w:color w:val="auto"/>
                <w:sz w:val="21"/>
                <w:szCs w:val="21"/>
              </w:rPr>
              <w:t>**为空气中一氧化碳日均第95百分位数浓度值</w:t>
            </w:r>
            <w:r>
              <w:rPr>
                <w:rFonts w:hint="eastAsia"/>
                <w:b/>
                <w:bCs/>
                <w:color w:val="auto"/>
                <w:sz w:val="21"/>
                <w:szCs w:val="21"/>
              </w:rPr>
              <w:t>；</w:t>
            </w:r>
            <w:r>
              <w:rPr>
                <w:b/>
                <w:bCs/>
                <w:color w:val="auto"/>
                <w:sz w:val="21"/>
                <w:szCs w:val="21"/>
              </w:rPr>
              <w:t>*为空气中臭氧日最大8小时滑动平均第90百分位数浓度值</w:t>
            </w:r>
            <w:r>
              <w:rPr>
                <w:rFonts w:hint="eastAsia"/>
                <w:b/>
                <w:bCs/>
                <w:color w:val="auto"/>
                <w:sz w:val="21"/>
                <w:szCs w:val="21"/>
              </w:rPr>
              <w:t>。</w:t>
            </w:r>
          </w:p>
          <w:p w14:paraId="6E1D2607">
            <w:pPr>
              <w:keepLines w:val="0"/>
              <w:pageBreakBefore w:val="0"/>
              <w:wordWrap/>
              <w:topLinePunct w:val="0"/>
              <w:bidi w:val="0"/>
              <w:adjustRightInd w:val="0"/>
              <w:snapToGrid w:val="0"/>
              <w:textAlignment w:val="auto"/>
              <w:rPr>
                <w:rFonts w:hint="default"/>
                <w:color w:val="auto"/>
                <w:sz w:val="24"/>
                <w:szCs w:val="24"/>
                <w:lang w:val="en-US" w:eastAsia="zh-CN"/>
              </w:rPr>
            </w:pPr>
            <w:r>
              <w:rPr>
                <w:rFonts w:hint="default"/>
                <w:color w:val="auto"/>
                <w:sz w:val="24"/>
                <w:szCs w:val="24"/>
                <w:lang w:val="en-US" w:eastAsia="zh-CN"/>
              </w:rPr>
              <w:t>根据《环境影响评价技术导则大气环境》</w:t>
            </w:r>
            <w:r>
              <w:rPr>
                <w:rFonts w:hint="eastAsia"/>
                <w:color w:val="auto"/>
                <w:sz w:val="24"/>
                <w:szCs w:val="24"/>
                <w:lang w:val="en-US" w:eastAsia="zh-CN"/>
              </w:rPr>
              <w:t>（</w:t>
            </w:r>
            <w:r>
              <w:rPr>
                <w:rFonts w:hint="default"/>
                <w:color w:val="auto"/>
                <w:sz w:val="24"/>
                <w:szCs w:val="24"/>
                <w:lang w:val="en-US" w:eastAsia="zh-CN"/>
              </w:rPr>
              <w:t>H</w:t>
            </w:r>
            <w:r>
              <w:rPr>
                <w:rFonts w:hint="eastAsia"/>
                <w:color w:val="auto"/>
                <w:sz w:val="24"/>
                <w:szCs w:val="24"/>
                <w:lang w:val="en-US" w:eastAsia="zh-CN"/>
              </w:rPr>
              <w:t>J</w:t>
            </w:r>
            <w:r>
              <w:rPr>
                <w:rFonts w:hint="default"/>
                <w:color w:val="auto"/>
                <w:sz w:val="24"/>
                <w:szCs w:val="24"/>
                <w:lang w:val="en-US" w:eastAsia="zh-CN"/>
              </w:rPr>
              <w:t>2</w:t>
            </w:r>
            <w:r>
              <w:rPr>
                <w:rFonts w:hint="eastAsia"/>
                <w:color w:val="auto"/>
                <w:sz w:val="24"/>
                <w:szCs w:val="24"/>
                <w:lang w:val="en-US" w:eastAsia="zh-CN"/>
              </w:rPr>
              <w:t>.</w:t>
            </w:r>
            <w:r>
              <w:rPr>
                <w:rFonts w:hint="default"/>
                <w:color w:val="auto"/>
                <w:sz w:val="24"/>
                <w:szCs w:val="24"/>
                <w:lang w:val="en-US" w:eastAsia="zh-CN"/>
              </w:rPr>
              <w:t>2</w:t>
            </w:r>
            <w:r>
              <w:rPr>
                <w:rFonts w:hint="eastAsia"/>
                <w:color w:val="auto"/>
                <w:sz w:val="24"/>
                <w:szCs w:val="24"/>
                <w:lang w:val="en-US" w:eastAsia="zh-CN"/>
              </w:rPr>
              <w:t>-</w:t>
            </w:r>
            <w:r>
              <w:rPr>
                <w:rFonts w:hint="default"/>
                <w:color w:val="auto"/>
                <w:sz w:val="24"/>
                <w:szCs w:val="24"/>
                <w:lang w:val="en-US" w:eastAsia="zh-CN"/>
              </w:rPr>
              <w:t>2018</w:t>
            </w:r>
            <w:r>
              <w:rPr>
                <w:rFonts w:hint="eastAsia"/>
                <w:color w:val="auto"/>
                <w:sz w:val="24"/>
                <w:szCs w:val="24"/>
                <w:lang w:val="en-US" w:eastAsia="zh-CN"/>
              </w:rPr>
              <w:t>）</w:t>
            </w:r>
            <w:r>
              <w:rPr>
                <w:rFonts w:hint="default"/>
                <w:color w:val="auto"/>
                <w:sz w:val="24"/>
                <w:szCs w:val="24"/>
                <w:lang w:val="en-US" w:eastAsia="zh-CN"/>
              </w:rPr>
              <w:t>要求</w:t>
            </w:r>
            <w:r>
              <w:rPr>
                <w:rFonts w:hint="eastAsia"/>
                <w:color w:val="auto"/>
                <w:sz w:val="24"/>
                <w:szCs w:val="24"/>
                <w:lang w:val="en-US" w:eastAsia="zh-CN"/>
              </w:rPr>
              <w:t>，本项目</w:t>
            </w:r>
            <w:r>
              <w:rPr>
                <w:rFonts w:hint="default"/>
                <w:color w:val="auto"/>
                <w:sz w:val="24"/>
                <w:szCs w:val="24"/>
                <w:lang w:val="en-US" w:eastAsia="zh-CN"/>
              </w:rPr>
              <w:t>所在区域环境空气质量达标情况评价指标为SO</w:t>
            </w:r>
            <w:r>
              <w:rPr>
                <w:rFonts w:hint="default"/>
                <w:color w:val="auto"/>
                <w:sz w:val="24"/>
                <w:szCs w:val="24"/>
                <w:vertAlign w:val="subscript"/>
                <w:lang w:val="en-US" w:eastAsia="zh-CN"/>
              </w:rPr>
              <w:t>2</w:t>
            </w:r>
            <w:r>
              <w:rPr>
                <w:rFonts w:hint="default"/>
                <w:color w:val="auto"/>
                <w:sz w:val="24"/>
                <w:szCs w:val="24"/>
                <w:lang w:val="en-US" w:eastAsia="zh-CN"/>
              </w:rPr>
              <w:t>、NO</w:t>
            </w:r>
            <w:r>
              <w:rPr>
                <w:rFonts w:hint="default"/>
                <w:color w:val="auto"/>
                <w:sz w:val="24"/>
                <w:szCs w:val="24"/>
                <w:vertAlign w:val="subscript"/>
                <w:lang w:val="en-US" w:eastAsia="zh-CN"/>
              </w:rPr>
              <w:t>2</w:t>
            </w:r>
            <w:r>
              <w:rPr>
                <w:rFonts w:hint="default"/>
                <w:color w:val="auto"/>
                <w:sz w:val="24"/>
                <w:szCs w:val="24"/>
                <w:lang w:val="en-US" w:eastAsia="zh-CN"/>
              </w:rPr>
              <w:t>、PM</w:t>
            </w:r>
            <w:r>
              <w:rPr>
                <w:rFonts w:hint="eastAsia"/>
                <w:color w:val="auto"/>
                <w:sz w:val="24"/>
                <w:szCs w:val="24"/>
                <w:vertAlign w:val="subscript"/>
                <w:lang w:val="en-US" w:eastAsia="zh-CN"/>
              </w:rPr>
              <w:t>10</w:t>
            </w:r>
            <w:r>
              <w:rPr>
                <w:rFonts w:hint="default"/>
                <w:color w:val="auto"/>
                <w:sz w:val="24"/>
                <w:szCs w:val="24"/>
                <w:lang w:val="en-US" w:eastAsia="zh-CN"/>
              </w:rPr>
              <w:t>、PM</w:t>
            </w:r>
            <w:r>
              <w:rPr>
                <w:rFonts w:hint="default"/>
                <w:color w:val="auto"/>
                <w:sz w:val="24"/>
                <w:szCs w:val="24"/>
                <w:vertAlign w:val="subscript"/>
                <w:lang w:val="en-US" w:eastAsia="zh-CN"/>
              </w:rPr>
              <w:t>2</w:t>
            </w:r>
            <w:r>
              <w:rPr>
                <w:rFonts w:hint="eastAsia"/>
                <w:color w:val="auto"/>
                <w:sz w:val="24"/>
                <w:szCs w:val="24"/>
                <w:vertAlign w:val="subscript"/>
                <w:lang w:val="en-US" w:eastAsia="zh-CN"/>
              </w:rPr>
              <w:t>.5</w:t>
            </w:r>
            <w:r>
              <w:rPr>
                <w:rFonts w:hint="eastAsia"/>
                <w:color w:val="auto"/>
                <w:sz w:val="24"/>
                <w:szCs w:val="24"/>
                <w:vertAlign w:val="baseline"/>
                <w:lang w:val="en-US" w:eastAsia="zh-CN"/>
              </w:rPr>
              <w:t>、</w:t>
            </w:r>
            <w:r>
              <w:rPr>
                <w:rFonts w:hint="default"/>
                <w:color w:val="auto"/>
                <w:sz w:val="24"/>
                <w:szCs w:val="24"/>
                <w:lang w:val="en-US" w:eastAsia="zh-CN"/>
              </w:rPr>
              <w:t>CO</w:t>
            </w:r>
            <w:r>
              <w:rPr>
                <w:rFonts w:hint="eastAsia"/>
                <w:color w:val="auto"/>
                <w:sz w:val="24"/>
                <w:szCs w:val="24"/>
                <w:lang w:val="en-US" w:eastAsia="zh-CN"/>
              </w:rPr>
              <w:t>和</w:t>
            </w:r>
            <w:r>
              <w:rPr>
                <w:rFonts w:hint="default"/>
                <w:color w:val="auto"/>
                <w:sz w:val="24"/>
                <w:szCs w:val="24"/>
                <w:lang w:val="en-US" w:eastAsia="zh-CN"/>
              </w:rPr>
              <w:t>O</w:t>
            </w:r>
            <w:r>
              <w:rPr>
                <w:rFonts w:hint="default"/>
                <w:color w:val="auto"/>
                <w:sz w:val="24"/>
                <w:szCs w:val="24"/>
                <w:vertAlign w:val="subscript"/>
                <w:lang w:val="en-US" w:eastAsia="zh-CN"/>
              </w:rPr>
              <w:t>3</w:t>
            </w:r>
            <w:r>
              <w:rPr>
                <w:rFonts w:hint="eastAsia"/>
                <w:color w:val="auto"/>
                <w:sz w:val="24"/>
                <w:szCs w:val="24"/>
                <w:lang w:val="en-US" w:eastAsia="zh-CN"/>
              </w:rPr>
              <w:t>，年均值</w:t>
            </w:r>
            <w:r>
              <w:rPr>
                <w:rFonts w:hint="default"/>
                <w:color w:val="auto"/>
                <w:sz w:val="24"/>
                <w:szCs w:val="24"/>
                <w:lang w:val="en-US" w:eastAsia="zh-CN"/>
              </w:rPr>
              <w:t>均满足GB3095中的浓度限值要求，故</w:t>
            </w:r>
            <w:r>
              <w:rPr>
                <w:rFonts w:hint="eastAsia"/>
                <w:color w:val="auto"/>
                <w:sz w:val="24"/>
                <w:szCs w:val="24"/>
                <w:lang w:val="en-US" w:eastAsia="zh-CN"/>
              </w:rPr>
              <w:t>青阳县</w:t>
            </w:r>
            <w:r>
              <w:rPr>
                <w:rFonts w:hint="default"/>
                <w:color w:val="auto"/>
                <w:sz w:val="24"/>
                <w:szCs w:val="24"/>
                <w:lang w:val="en-US" w:eastAsia="zh-CN"/>
              </w:rPr>
              <w:t>202</w:t>
            </w:r>
            <w:r>
              <w:rPr>
                <w:rFonts w:hint="eastAsia"/>
                <w:color w:val="auto"/>
                <w:sz w:val="24"/>
                <w:szCs w:val="24"/>
                <w:lang w:val="en-US" w:eastAsia="zh-CN"/>
              </w:rPr>
              <w:t>4</w:t>
            </w:r>
            <w:r>
              <w:rPr>
                <w:rFonts w:hint="default"/>
                <w:color w:val="auto"/>
                <w:sz w:val="24"/>
                <w:szCs w:val="24"/>
                <w:lang w:val="en-US" w:eastAsia="zh-CN"/>
              </w:rPr>
              <w:t>年属于达标城市。</w:t>
            </w:r>
          </w:p>
          <w:p w14:paraId="58BA54C2">
            <w:pPr>
              <w:keepLines w:val="0"/>
              <w:pageBreakBefore w:val="0"/>
              <w:wordWrap/>
              <w:topLinePunct w:val="0"/>
              <w:bidi w:val="0"/>
              <w:adjustRightInd w:val="0"/>
              <w:snapToGrid w:val="0"/>
              <w:textAlignment w:val="auto"/>
              <w:rPr>
                <w:rFonts w:hint="default"/>
                <w:b/>
                <w:bCs/>
                <w:color w:val="auto"/>
              </w:rPr>
            </w:pPr>
            <w:r>
              <w:rPr>
                <w:rFonts w:hint="eastAsia"/>
                <w:b/>
                <w:bCs/>
                <w:color w:val="auto"/>
                <w:lang w:val="en-US" w:eastAsia="zh-CN"/>
              </w:rPr>
              <w:t>（2）特征污染物</w:t>
            </w:r>
            <w:r>
              <w:rPr>
                <w:rFonts w:hint="default"/>
                <w:b/>
                <w:bCs/>
                <w:color w:val="auto"/>
              </w:rPr>
              <w:t>环境质量现状</w:t>
            </w:r>
          </w:p>
          <w:p w14:paraId="717B0085">
            <w:pPr>
              <w:keepNext w:val="0"/>
              <w:keepLines w:val="0"/>
              <w:pageBreakBefore w:val="0"/>
              <w:widowControl w:val="0"/>
              <w:kinsoku/>
              <w:wordWrap/>
              <w:overflowPunct/>
              <w:topLinePunct w:val="0"/>
              <w:autoSpaceDE/>
              <w:autoSpaceDN/>
              <w:bidi w:val="0"/>
              <w:adjustRightInd w:val="0"/>
              <w:snapToGrid w:val="0"/>
              <w:spacing w:before="63" w:beforeLines="20" w:after="0" w:line="360" w:lineRule="auto"/>
              <w:ind w:firstLine="480" w:firstLineChars="200"/>
              <w:jc w:val="left"/>
              <w:textAlignment w:val="auto"/>
              <w:rPr>
                <w:rFonts w:hint="eastAsia" w:cs="Times New Roman"/>
                <w:color w:val="auto"/>
                <w:kern w:val="0"/>
                <w:sz w:val="24"/>
                <w:szCs w:val="24"/>
                <w:highlight w:val="none"/>
                <w:lang w:val="en-US" w:eastAsia="zh-CN" w:bidi="ar-SA"/>
              </w:rPr>
            </w:pPr>
            <w:r>
              <w:rPr>
                <w:rFonts w:hint="eastAsia" w:cs="Times New Roman"/>
                <w:color w:val="auto"/>
                <w:kern w:val="0"/>
                <w:sz w:val="24"/>
                <w:szCs w:val="24"/>
                <w:highlight w:val="none"/>
                <w:lang w:val="en-US" w:eastAsia="zh-CN" w:bidi="ar-SA"/>
              </w:rPr>
              <w:t>本项目运营期废气污染因子为TSP、锡及其化合物、铜及其化合物和非甲烷总烃。</w:t>
            </w:r>
            <w:r>
              <w:rPr>
                <w:rFonts w:hint="eastAsia" w:ascii="Times New Roman" w:hAnsi="Times New Roman" w:eastAsia="宋体" w:cs="Times New Roman"/>
                <w:color w:val="auto"/>
                <w:kern w:val="0"/>
                <w:sz w:val="24"/>
                <w:szCs w:val="24"/>
                <w:highlight w:val="none"/>
                <w:lang w:val="en-US" w:eastAsia="zh-CN" w:bidi="ar-SA"/>
              </w:rPr>
              <w:t>根据《环境空气质量标准》（GB3095-20</w:t>
            </w:r>
            <w:r>
              <w:rPr>
                <w:rFonts w:hint="eastAsia" w:cs="Times New Roman"/>
                <w:color w:val="auto"/>
                <w:kern w:val="0"/>
                <w:sz w:val="24"/>
                <w:szCs w:val="24"/>
                <w:highlight w:val="none"/>
                <w:lang w:val="en-US" w:eastAsia="zh-CN" w:bidi="ar-SA"/>
              </w:rPr>
              <w:t>26</w:t>
            </w:r>
            <w:r>
              <w:rPr>
                <w:rFonts w:hint="eastAsia" w:ascii="Times New Roman" w:hAnsi="Times New Roman" w:eastAsia="宋体" w:cs="Times New Roman"/>
                <w:color w:val="auto"/>
                <w:kern w:val="0"/>
                <w:sz w:val="24"/>
                <w:szCs w:val="24"/>
                <w:highlight w:val="none"/>
                <w:lang w:val="en-US" w:eastAsia="zh-CN" w:bidi="ar-SA"/>
              </w:rPr>
              <w:t>），本项目中特征污染物为</w:t>
            </w:r>
            <w:r>
              <w:rPr>
                <w:rFonts w:hint="default" w:ascii="Times New Roman" w:hAnsi="Times New Roman" w:eastAsia="宋体" w:cs="Times New Roman"/>
                <w:color w:val="auto"/>
                <w:kern w:val="2"/>
                <w:sz w:val="24"/>
                <w:szCs w:val="24"/>
                <w:lang w:val="en-US" w:eastAsia="zh-CN"/>
              </w:rPr>
              <w:t>TSP</w:t>
            </w:r>
            <w:r>
              <w:rPr>
                <w:rFonts w:hint="eastAsia" w:cs="Times New Roman"/>
                <w:color w:val="auto"/>
                <w:kern w:val="2"/>
                <w:sz w:val="24"/>
                <w:szCs w:val="24"/>
                <w:lang w:val="en-US" w:eastAsia="zh-CN"/>
              </w:rPr>
              <w:t>，</w:t>
            </w:r>
            <w:r>
              <w:rPr>
                <w:rFonts w:hint="eastAsia" w:cs="Times New Roman"/>
                <w:color w:val="auto"/>
                <w:kern w:val="0"/>
                <w:sz w:val="24"/>
                <w:szCs w:val="24"/>
                <w:highlight w:val="none"/>
                <w:lang w:val="en-US" w:eastAsia="zh-CN" w:bidi="ar-SA"/>
              </w:rPr>
              <w:t>锡及其化合物、铜及其化合物和非甲烷总烃不属于特征污染物。根据《建设项目环境影响报告表编制技术指南》（环办环评〔2020〕33号）排放国家、地方环境空气质量标准中有标准限值要求的特征污染物时，引用建设项目周边5千米范围内近3年的现有监测数据。</w:t>
            </w:r>
          </w:p>
          <w:p w14:paraId="533BDD47">
            <w:pPr>
              <w:keepNext w:val="0"/>
              <w:keepLines w:val="0"/>
              <w:pageBreakBefore w:val="0"/>
              <w:widowControl w:val="0"/>
              <w:kinsoku/>
              <w:wordWrap/>
              <w:overflowPunct/>
              <w:topLinePunct w:val="0"/>
              <w:autoSpaceDE/>
              <w:autoSpaceDN/>
              <w:bidi w:val="0"/>
              <w:adjustRightInd w:val="0"/>
              <w:snapToGrid w:val="0"/>
              <w:spacing w:before="63" w:beforeLines="20" w:after="0"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SA"/>
              </w:rPr>
            </w:pPr>
            <w:r>
              <w:rPr>
                <w:rFonts w:hint="eastAsia" w:cs="Times New Roman"/>
                <w:color w:val="auto"/>
                <w:kern w:val="0"/>
                <w:sz w:val="24"/>
                <w:szCs w:val="24"/>
                <w:highlight w:val="none"/>
                <w:lang w:val="en-US" w:eastAsia="zh-CN" w:bidi="ar-SA"/>
              </w:rPr>
              <w:t>本项目</w:t>
            </w:r>
            <w:r>
              <w:rPr>
                <w:rFonts w:hint="default" w:ascii="Times New Roman" w:hAnsi="Times New Roman" w:eastAsia="宋体" w:cs="Times New Roman"/>
                <w:color w:val="auto"/>
                <w:kern w:val="2"/>
                <w:sz w:val="24"/>
                <w:szCs w:val="24"/>
                <w:lang w:val="en-US" w:eastAsia="zh-CN"/>
              </w:rPr>
              <w:t>TSP</w:t>
            </w:r>
            <w:r>
              <w:rPr>
                <w:rFonts w:hint="eastAsia" w:cs="Times New Roman"/>
                <w:color w:val="auto"/>
                <w:kern w:val="0"/>
                <w:sz w:val="24"/>
                <w:szCs w:val="24"/>
                <w:highlight w:val="none"/>
                <w:lang w:val="en-US" w:eastAsia="zh-CN" w:bidi="ar-SA"/>
              </w:rPr>
              <w:t>现状数据引用安徽鑫程检测科技有限公司于2023年7月28日至2023年8月3日对安徽华瑞达木业有限公司的《年产2万套高档环保家具加工项目》进行的现状监测数据，该项目大气监测点位位于本项目的东南侧，距离约3.8km，故</w:t>
            </w:r>
            <w:r>
              <w:rPr>
                <w:rFonts w:hint="default" w:ascii="Times New Roman" w:hAnsi="Times New Roman" w:eastAsia="宋体" w:cs="Times New Roman"/>
                <w:color w:val="auto"/>
                <w:kern w:val="2"/>
                <w:sz w:val="24"/>
                <w:szCs w:val="24"/>
                <w:lang w:val="en-US" w:eastAsia="zh-CN"/>
              </w:rPr>
              <w:t>引用数据是可行的。</w:t>
            </w:r>
            <w:r>
              <w:rPr>
                <w:rFonts w:hint="default" w:ascii="Times New Roman" w:hAnsi="Times New Roman" w:eastAsia="宋体" w:cs="Times New Roman"/>
                <w:color w:val="auto"/>
                <w:kern w:val="0"/>
                <w:sz w:val="24"/>
                <w:szCs w:val="24"/>
                <w:highlight w:val="none"/>
                <w:lang w:val="en-US" w:eastAsia="zh-CN" w:bidi="ar-SA"/>
              </w:rPr>
              <w:t>具体监测结果如下。</w:t>
            </w:r>
          </w:p>
          <w:p w14:paraId="04C13AF4">
            <w:pPr>
              <w:pStyle w:val="38"/>
              <w:bidi w:val="0"/>
              <w:rPr>
                <w:rFonts w:hint="default"/>
                <w:color w:val="auto"/>
                <w:lang w:eastAsia="zh-CN"/>
              </w:rPr>
            </w:pPr>
            <w:r>
              <w:rPr>
                <w:rFonts w:hint="default"/>
                <w:color w:val="auto"/>
                <w:lang w:eastAsia="zh-CN"/>
              </w:rPr>
              <w:t>表3-2  大气环境质量现状评价结果一览表</w:t>
            </w:r>
          </w:p>
          <w:tbl>
            <w:tblPr>
              <w:tblStyle w:val="31"/>
              <w:tblW w:w="8372" w:type="dxa"/>
              <w:jc w:val="center"/>
              <w:tblBorders>
                <w:top w:val="single" w:color="auto" w:sz="6" w:space="0"/>
                <w:left w:val="single" w:color="auto" w:sz="6" w:space="0"/>
                <w:bottom w:val="single" w:color="auto" w:sz="6" w:space="0"/>
                <w:right w:val="single" w:color="auto" w:sz="6" w:space="0"/>
                <w:insideH w:val="single" w:color="000000" w:sz="6" w:space="0"/>
                <w:insideV w:val="single" w:color="000000" w:sz="6" w:space="0"/>
              </w:tblBorders>
              <w:tblLayout w:type="fixed"/>
              <w:tblCellMar>
                <w:top w:w="0" w:type="dxa"/>
                <w:left w:w="0" w:type="dxa"/>
                <w:bottom w:w="0" w:type="dxa"/>
                <w:right w:w="0" w:type="dxa"/>
              </w:tblCellMar>
            </w:tblPr>
            <w:tblGrid>
              <w:gridCol w:w="1053"/>
              <w:gridCol w:w="1043"/>
              <w:gridCol w:w="1160"/>
              <w:gridCol w:w="1184"/>
              <w:gridCol w:w="1563"/>
              <w:gridCol w:w="1044"/>
              <w:gridCol w:w="784"/>
              <w:gridCol w:w="541"/>
            </w:tblGrid>
            <w:tr w14:paraId="07765F0B">
              <w:tblPrEx>
                <w:tblBorders>
                  <w:top w:val="single" w:color="auto" w:sz="6" w:space="0"/>
                  <w:left w:val="single" w:color="auto" w:sz="6" w:space="0"/>
                  <w:bottom w:val="single" w:color="auto" w:sz="6" w:space="0"/>
                  <w:right w:val="single" w:color="auto" w:sz="6"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628" w:type="pct"/>
                  <w:vMerge w:val="restart"/>
                  <w:tcBorders>
                    <w:tl2br w:val="nil"/>
                    <w:tr2bl w:val="nil"/>
                  </w:tcBorders>
                  <w:noWrap w:val="0"/>
                  <w:vAlign w:val="center"/>
                </w:tcPr>
                <w:p w14:paraId="588F522D">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监测点位</w:t>
                  </w:r>
                </w:p>
              </w:tc>
              <w:tc>
                <w:tcPr>
                  <w:tcW w:w="622" w:type="pct"/>
                  <w:vMerge w:val="restart"/>
                  <w:tcBorders>
                    <w:tl2br w:val="nil"/>
                    <w:tr2bl w:val="nil"/>
                  </w:tcBorders>
                  <w:noWrap w:val="0"/>
                  <w:vAlign w:val="center"/>
                </w:tcPr>
                <w:p w14:paraId="3BEAC969">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692" w:type="pct"/>
                  <w:vMerge w:val="restart"/>
                  <w:tcBorders>
                    <w:tl2br w:val="nil"/>
                    <w:tr2bl w:val="nil"/>
                  </w:tcBorders>
                  <w:noWrap w:val="0"/>
                  <w:vAlign w:val="center"/>
                </w:tcPr>
                <w:p w14:paraId="772B9F07">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平均时间</w:t>
                  </w:r>
                </w:p>
              </w:tc>
              <w:tc>
                <w:tcPr>
                  <w:tcW w:w="707" w:type="pct"/>
                  <w:vMerge w:val="restart"/>
                  <w:tcBorders>
                    <w:tl2br w:val="nil"/>
                    <w:tr2bl w:val="nil"/>
                  </w:tcBorders>
                  <w:noWrap w:val="0"/>
                  <w:vAlign w:val="center"/>
                </w:tcPr>
                <w:p w14:paraId="3D8048F3">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评价标准</w:t>
                  </w:r>
                  <w:r>
                    <w:rPr>
                      <w:rFonts w:hint="default" w:ascii="Times New Roman" w:hAnsi="Times New Roman" w:eastAsia="宋体" w:cs="Times New Roman"/>
                      <w:b/>
                      <w:bCs/>
                      <w:color w:val="auto"/>
                      <w:sz w:val="21"/>
                      <w:szCs w:val="21"/>
                      <w:highlight w:val="none"/>
                      <w:lang w:val="en-US" w:eastAsia="zh-CN"/>
                    </w:rPr>
                    <w:t>m</w:t>
                  </w:r>
                  <w:r>
                    <w:rPr>
                      <w:rFonts w:hint="default" w:ascii="Times New Roman" w:hAnsi="Times New Roman" w:eastAsia="宋体" w:cs="Times New Roman"/>
                      <w:b/>
                      <w:bCs/>
                      <w:color w:val="auto"/>
                      <w:sz w:val="21"/>
                      <w:szCs w:val="21"/>
                      <w:highlight w:val="none"/>
                    </w:rPr>
                    <w:t>g/m</w:t>
                  </w:r>
                  <w:r>
                    <w:rPr>
                      <w:rFonts w:hint="default" w:ascii="Times New Roman" w:hAnsi="Times New Roman" w:eastAsia="宋体" w:cs="Times New Roman"/>
                      <w:b/>
                      <w:bCs/>
                      <w:color w:val="auto"/>
                      <w:sz w:val="21"/>
                      <w:szCs w:val="21"/>
                      <w:highlight w:val="none"/>
                      <w:vertAlign w:val="superscript"/>
                    </w:rPr>
                    <w:t>3</w:t>
                  </w:r>
                </w:p>
              </w:tc>
              <w:tc>
                <w:tcPr>
                  <w:tcW w:w="933" w:type="pct"/>
                  <w:vMerge w:val="restart"/>
                  <w:tcBorders>
                    <w:tl2br w:val="nil"/>
                    <w:tr2bl w:val="nil"/>
                  </w:tcBorders>
                  <w:noWrap w:val="0"/>
                  <w:vAlign w:val="center"/>
                </w:tcPr>
                <w:p w14:paraId="1DCAAF18">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监测浓度范围</w:t>
                  </w:r>
                  <w:r>
                    <w:rPr>
                      <w:rFonts w:hint="default" w:ascii="Times New Roman" w:hAnsi="Times New Roman" w:eastAsia="宋体" w:cs="Times New Roman"/>
                      <w:b/>
                      <w:bCs/>
                      <w:color w:val="auto"/>
                      <w:sz w:val="21"/>
                      <w:szCs w:val="21"/>
                      <w:highlight w:val="none"/>
                      <w:lang w:val="en-US" w:eastAsia="zh-CN"/>
                    </w:rPr>
                    <w:t>m</w:t>
                  </w:r>
                  <w:r>
                    <w:rPr>
                      <w:rFonts w:hint="default" w:ascii="Times New Roman" w:hAnsi="Times New Roman" w:eastAsia="宋体" w:cs="Times New Roman"/>
                      <w:b/>
                      <w:bCs/>
                      <w:color w:val="auto"/>
                      <w:sz w:val="21"/>
                      <w:szCs w:val="21"/>
                      <w:highlight w:val="none"/>
                    </w:rPr>
                    <w:t>g/m</w:t>
                  </w:r>
                  <w:r>
                    <w:rPr>
                      <w:rFonts w:hint="default" w:ascii="Times New Roman" w:hAnsi="Times New Roman" w:eastAsia="宋体" w:cs="Times New Roman"/>
                      <w:b/>
                      <w:bCs/>
                      <w:color w:val="auto"/>
                      <w:sz w:val="21"/>
                      <w:szCs w:val="21"/>
                      <w:highlight w:val="none"/>
                      <w:vertAlign w:val="superscript"/>
                    </w:rPr>
                    <w:t>3</w:t>
                  </w:r>
                </w:p>
              </w:tc>
              <w:tc>
                <w:tcPr>
                  <w:tcW w:w="623" w:type="pct"/>
                  <w:vMerge w:val="restart"/>
                  <w:tcBorders>
                    <w:tl2br w:val="nil"/>
                    <w:tr2bl w:val="nil"/>
                  </w:tcBorders>
                  <w:noWrap w:val="0"/>
                  <w:vAlign w:val="center"/>
                </w:tcPr>
                <w:p w14:paraId="59E11154">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最大浓度占标率%</w:t>
                  </w:r>
                </w:p>
              </w:tc>
              <w:tc>
                <w:tcPr>
                  <w:tcW w:w="468" w:type="pct"/>
                  <w:vMerge w:val="restart"/>
                  <w:tcBorders>
                    <w:tl2br w:val="nil"/>
                    <w:tr2bl w:val="nil"/>
                  </w:tcBorders>
                  <w:noWrap w:val="0"/>
                  <w:vAlign w:val="center"/>
                </w:tcPr>
                <w:p w14:paraId="6F247176">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超标率%</w:t>
                  </w:r>
                </w:p>
              </w:tc>
              <w:tc>
                <w:tcPr>
                  <w:tcW w:w="323" w:type="pct"/>
                  <w:vMerge w:val="restart"/>
                  <w:tcBorders>
                    <w:tl2br w:val="nil"/>
                    <w:tr2bl w:val="nil"/>
                  </w:tcBorders>
                  <w:noWrap w:val="0"/>
                  <w:vAlign w:val="center"/>
                </w:tcPr>
                <w:p w14:paraId="4D9735C5">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r>
            <w:tr w14:paraId="5D2E9D04">
              <w:tblPrEx>
                <w:tblBorders>
                  <w:top w:val="single" w:color="auto" w:sz="6" w:space="0"/>
                  <w:left w:val="single" w:color="auto" w:sz="6" w:space="0"/>
                  <w:bottom w:val="single" w:color="auto" w:sz="6" w:space="0"/>
                  <w:right w:val="single" w:color="auto" w:sz="6" w:space="0"/>
                  <w:insideH w:val="single" w:color="000000" w:sz="6" w:space="0"/>
                  <w:insideV w:val="single" w:color="000000" w:sz="6" w:space="0"/>
                </w:tblBorders>
                <w:tblCellMar>
                  <w:top w:w="0" w:type="dxa"/>
                  <w:left w:w="0" w:type="dxa"/>
                  <w:bottom w:w="0" w:type="dxa"/>
                  <w:right w:w="0" w:type="dxa"/>
                </w:tblCellMar>
              </w:tblPrEx>
              <w:trPr>
                <w:trHeight w:val="312" w:hRule="atLeast"/>
                <w:jc w:val="center"/>
              </w:trPr>
              <w:tc>
                <w:tcPr>
                  <w:tcW w:w="628" w:type="pct"/>
                  <w:vMerge w:val="continue"/>
                  <w:tcBorders>
                    <w:tl2br w:val="nil"/>
                    <w:tr2bl w:val="nil"/>
                  </w:tcBorders>
                  <w:noWrap w:val="0"/>
                  <w:vAlign w:val="center"/>
                </w:tcPr>
                <w:p w14:paraId="479248FA">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c>
                <w:tcPr>
                  <w:tcW w:w="622" w:type="pct"/>
                  <w:vMerge w:val="continue"/>
                  <w:tcBorders>
                    <w:tl2br w:val="nil"/>
                    <w:tr2bl w:val="nil"/>
                  </w:tcBorders>
                  <w:noWrap w:val="0"/>
                  <w:vAlign w:val="center"/>
                </w:tcPr>
                <w:p w14:paraId="03649CF7">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c>
                <w:tcPr>
                  <w:tcW w:w="692" w:type="pct"/>
                  <w:vMerge w:val="continue"/>
                  <w:tcBorders>
                    <w:tl2br w:val="nil"/>
                    <w:tr2bl w:val="nil"/>
                  </w:tcBorders>
                  <w:noWrap w:val="0"/>
                  <w:vAlign w:val="center"/>
                </w:tcPr>
                <w:p w14:paraId="0502D8FE">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c>
                <w:tcPr>
                  <w:tcW w:w="707" w:type="pct"/>
                  <w:vMerge w:val="continue"/>
                  <w:tcBorders>
                    <w:tl2br w:val="nil"/>
                    <w:tr2bl w:val="nil"/>
                  </w:tcBorders>
                  <w:noWrap w:val="0"/>
                  <w:vAlign w:val="center"/>
                </w:tcPr>
                <w:p w14:paraId="004FD70F">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c>
                <w:tcPr>
                  <w:tcW w:w="933" w:type="pct"/>
                  <w:vMerge w:val="continue"/>
                  <w:tcBorders>
                    <w:tl2br w:val="nil"/>
                    <w:tr2bl w:val="nil"/>
                  </w:tcBorders>
                  <w:noWrap w:val="0"/>
                  <w:vAlign w:val="center"/>
                </w:tcPr>
                <w:p w14:paraId="5FE95419">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c>
                <w:tcPr>
                  <w:tcW w:w="623" w:type="pct"/>
                  <w:vMerge w:val="continue"/>
                  <w:tcBorders>
                    <w:tl2br w:val="nil"/>
                    <w:tr2bl w:val="nil"/>
                  </w:tcBorders>
                  <w:noWrap w:val="0"/>
                  <w:vAlign w:val="center"/>
                </w:tcPr>
                <w:p w14:paraId="0C8B7B5A">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c>
                <w:tcPr>
                  <w:tcW w:w="468" w:type="pct"/>
                  <w:vMerge w:val="continue"/>
                  <w:tcBorders>
                    <w:tl2br w:val="nil"/>
                    <w:tr2bl w:val="nil"/>
                  </w:tcBorders>
                  <w:noWrap w:val="0"/>
                  <w:vAlign w:val="center"/>
                </w:tcPr>
                <w:p w14:paraId="0FB0D710">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c>
                <w:tcPr>
                  <w:tcW w:w="323" w:type="pct"/>
                  <w:vMerge w:val="continue"/>
                  <w:tcBorders>
                    <w:tl2br w:val="nil"/>
                    <w:tr2bl w:val="nil"/>
                  </w:tcBorders>
                  <w:noWrap w:val="0"/>
                  <w:vAlign w:val="center"/>
                </w:tcPr>
                <w:p w14:paraId="4772AA25">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rPr>
                  </w:pPr>
                </w:p>
              </w:tc>
            </w:tr>
            <w:tr w14:paraId="63F8F234">
              <w:tblPrEx>
                <w:tblBorders>
                  <w:top w:val="single" w:color="auto" w:sz="6" w:space="0"/>
                  <w:left w:val="single" w:color="auto" w:sz="6" w:space="0"/>
                  <w:bottom w:val="single" w:color="auto" w:sz="6" w:space="0"/>
                  <w:right w:val="single" w:color="auto" w:sz="6"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628" w:type="pct"/>
                  <w:tcBorders>
                    <w:tl2br w:val="nil"/>
                    <w:tr2bl w:val="nil"/>
                  </w:tcBorders>
                  <w:noWrap w:val="0"/>
                  <w:vAlign w:val="center"/>
                </w:tcPr>
                <w:p w14:paraId="736A6348">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安徽华瑞达木业</w:t>
                  </w:r>
                </w:p>
              </w:tc>
              <w:tc>
                <w:tcPr>
                  <w:tcW w:w="622" w:type="pct"/>
                  <w:tcBorders>
                    <w:tl2br w:val="nil"/>
                    <w:tr2bl w:val="nil"/>
                  </w:tcBorders>
                  <w:noWrap w:val="0"/>
                  <w:vAlign w:val="center"/>
                </w:tcPr>
                <w:p w14:paraId="4F1DA00E">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TSP</w:t>
                  </w:r>
                </w:p>
              </w:tc>
              <w:tc>
                <w:tcPr>
                  <w:tcW w:w="692" w:type="pct"/>
                  <w:tcBorders>
                    <w:tl2br w:val="nil"/>
                    <w:tr2bl w:val="nil"/>
                  </w:tcBorders>
                  <w:noWrap w:val="0"/>
                  <w:vAlign w:val="center"/>
                </w:tcPr>
                <w:p w14:paraId="452FB608">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日均值</w:t>
                  </w:r>
                </w:p>
              </w:tc>
              <w:tc>
                <w:tcPr>
                  <w:tcW w:w="707" w:type="pct"/>
                  <w:tcBorders>
                    <w:tl2br w:val="nil"/>
                    <w:tr2bl w:val="nil"/>
                  </w:tcBorders>
                  <w:noWrap w:val="0"/>
                  <w:vAlign w:val="center"/>
                </w:tcPr>
                <w:p w14:paraId="62911F12">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0.3</w:t>
                  </w:r>
                </w:p>
              </w:tc>
              <w:tc>
                <w:tcPr>
                  <w:tcW w:w="933" w:type="pct"/>
                  <w:tcBorders>
                    <w:tl2br w:val="nil"/>
                    <w:tr2bl w:val="nil"/>
                  </w:tcBorders>
                  <w:noWrap w:val="0"/>
                  <w:vAlign w:val="center"/>
                </w:tcPr>
                <w:p w14:paraId="7204F9A9">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0.1</w:t>
                  </w:r>
                  <w:r>
                    <w:rPr>
                      <w:rFonts w:hint="eastAsia" w:ascii="Times New Roman" w:hAnsi="Times New Roman" w:cs="Times New Roman"/>
                      <w:b w:val="0"/>
                      <w:bCs/>
                      <w:color w:val="auto"/>
                      <w:sz w:val="21"/>
                      <w:szCs w:val="21"/>
                      <w:highlight w:val="none"/>
                      <w:lang w:val="en-US" w:eastAsia="zh-CN"/>
                    </w:rPr>
                    <w:t>19</w:t>
                  </w:r>
                  <w:r>
                    <w:rPr>
                      <w:rFonts w:hint="eastAsia" w:ascii="Times New Roman" w:hAnsi="Times New Roman" w:eastAsia="宋体" w:cs="Times New Roman"/>
                      <w:b w:val="0"/>
                      <w:bCs/>
                      <w:color w:val="auto"/>
                      <w:sz w:val="21"/>
                      <w:szCs w:val="21"/>
                      <w:highlight w:val="none"/>
                      <w:lang w:val="en-US" w:eastAsia="zh-CN"/>
                    </w:rPr>
                    <w:t>~0.</w:t>
                  </w:r>
                  <w:r>
                    <w:rPr>
                      <w:rFonts w:hint="eastAsia" w:ascii="Times New Roman" w:hAnsi="Times New Roman" w:cs="Times New Roman"/>
                      <w:b w:val="0"/>
                      <w:bCs/>
                      <w:color w:val="auto"/>
                      <w:sz w:val="21"/>
                      <w:szCs w:val="21"/>
                      <w:highlight w:val="none"/>
                      <w:lang w:val="en-US" w:eastAsia="zh-CN"/>
                    </w:rPr>
                    <w:t>123</w:t>
                  </w:r>
                </w:p>
              </w:tc>
              <w:tc>
                <w:tcPr>
                  <w:tcW w:w="623" w:type="pct"/>
                  <w:tcBorders>
                    <w:tl2br w:val="nil"/>
                    <w:tr2bl w:val="nil"/>
                  </w:tcBorders>
                  <w:noWrap w:val="0"/>
                  <w:vAlign w:val="center"/>
                </w:tcPr>
                <w:p w14:paraId="643C6D3F">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cs="Times New Roman"/>
                      <w:b w:val="0"/>
                      <w:bCs/>
                      <w:color w:val="auto"/>
                      <w:sz w:val="21"/>
                      <w:szCs w:val="21"/>
                      <w:highlight w:val="none"/>
                      <w:lang w:val="en-US" w:eastAsia="zh-CN"/>
                    </w:rPr>
                    <w:t>41</w:t>
                  </w:r>
                </w:p>
              </w:tc>
              <w:tc>
                <w:tcPr>
                  <w:tcW w:w="468" w:type="pct"/>
                  <w:tcBorders>
                    <w:tl2br w:val="nil"/>
                    <w:tr2bl w:val="nil"/>
                  </w:tcBorders>
                  <w:noWrap w:val="0"/>
                  <w:vAlign w:val="center"/>
                </w:tcPr>
                <w:p w14:paraId="09D2BF4F">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w:t>
                  </w:r>
                </w:p>
              </w:tc>
              <w:tc>
                <w:tcPr>
                  <w:tcW w:w="323" w:type="pct"/>
                  <w:tcBorders>
                    <w:tl2br w:val="nil"/>
                    <w:tr2bl w:val="nil"/>
                  </w:tcBorders>
                  <w:noWrap w:val="0"/>
                  <w:vAlign w:val="center"/>
                </w:tcPr>
                <w:p w14:paraId="5A88FB42">
                  <w:pPr>
                    <w:pStyle w:val="3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rPr>
                    <w:t>达标</w:t>
                  </w:r>
                </w:p>
              </w:tc>
            </w:tr>
          </w:tbl>
          <w:p w14:paraId="6BA5CB8F">
            <w:pPr>
              <w:keepNext w:val="0"/>
              <w:keepLines w:val="0"/>
              <w:pageBreakBefore w:val="0"/>
              <w:widowControl w:val="0"/>
              <w:kinsoku/>
              <w:wordWrap/>
              <w:overflowPunct/>
              <w:topLinePunct w:val="0"/>
              <w:autoSpaceDE/>
              <w:autoSpaceDN/>
              <w:bidi w:val="0"/>
              <w:adjustRightInd w:val="0"/>
              <w:snapToGrid w:val="0"/>
              <w:spacing w:before="63" w:beforeLines="20" w:after="0" w:line="360" w:lineRule="auto"/>
              <w:ind w:firstLine="480" w:firstLineChars="200"/>
              <w:jc w:val="both"/>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根据监测结果，项目所在地的TSP满足《环境空气质量标准</w:t>
            </w:r>
            <w:r>
              <w:rPr>
                <w:rFonts w:hint="eastAsia" w:ascii="Times New Roman" w:hAnsi="Times New Roman" w:eastAsia="宋体"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SA"/>
              </w:rPr>
              <w:t>（GB3095-20</w:t>
            </w:r>
            <w:r>
              <w:rPr>
                <w:rFonts w:hint="eastAsia" w:cs="Times New Roman"/>
                <w:color w:val="auto"/>
                <w:kern w:val="0"/>
                <w:sz w:val="24"/>
                <w:szCs w:val="24"/>
                <w:highlight w:val="none"/>
                <w:lang w:val="en-US" w:eastAsia="zh-CN" w:bidi="ar-SA"/>
              </w:rPr>
              <w:t>26</w:t>
            </w:r>
            <w:r>
              <w:rPr>
                <w:rFonts w:hint="default" w:ascii="Times New Roman" w:hAnsi="Times New Roman" w:eastAsia="宋体" w:cs="Times New Roman"/>
                <w:color w:val="auto"/>
                <w:kern w:val="0"/>
                <w:sz w:val="24"/>
                <w:szCs w:val="24"/>
                <w:highlight w:val="none"/>
                <w:lang w:val="en-US" w:eastAsia="zh-CN" w:bidi="ar-SA"/>
              </w:rPr>
              <w:t>）中表2环境空气污染物其他项目浓度限值要求</w:t>
            </w:r>
            <w:r>
              <w:rPr>
                <w:rFonts w:hint="eastAsia" w:cs="Times New Roman"/>
                <w:color w:val="auto"/>
                <w:kern w:val="0"/>
                <w:sz w:val="24"/>
                <w:szCs w:val="24"/>
                <w:highlight w:val="none"/>
                <w:lang w:val="en-US" w:eastAsia="zh-CN" w:bidi="ar-SA"/>
              </w:rPr>
              <w:t>。</w:t>
            </w:r>
          </w:p>
          <w:p w14:paraId="187E1585">
            <w:pPr>
              <w:pStyle w:val="38"/>
              <w:bidi w:val="0"/>
              <w:rPr>
                <w:b/>
                <w:bCs/>
                <w:color w:val="auto"/>
                <w:kern w:val="0"/>
              </w:rPr>
            </w:pPr>
            <w:r>
              <w:rPr>
                <w:color w:val="auto"/>
              </w:rPr>
              <w:drawing>
                <wp:anchor distT="0" distB="0" distL="114300" distR="114300" simplePos="0" relativeHeight="251665408" behindDoc="0" locked="0" layoutInCell="1" allowOverlap="1">
                  <wp:simplePos x="0" y="0"/>
                  <wp:positionH relativeFrom="column">
                    <wp:posOffset>4271645</wp:posOffset>
                  </wp:positionH>
                  <wp:positionV relativeFrom="paragraph">
                    <wp:posOffset>24765</wp:posOffset>
                  </wp:positionV>
                  <wp:extent cx="457200" cy="584200"/>
                  <wp:effectExtent l="0" t="0" r="0" b="6350"/>
                  <wp:wrapNone/>
                  <wp:docPr id="4" name="图片 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图片1"/>
                          <pic:cNvPicPr>
                            <a:picLocks noChangeAspect="1"/>
                          </pic:cNvPicPr>
                        </pic:nvPicPr>
                        <pic:blipFill>
                          <a:blip r:embed="rId25"/>
                          <a:stretch>
                            <a:fillRect/>
                          </a:stretch>
                        </pic:blipFill>
                        <pic:spPr>
                          <a:xfrm>
                            <a:off x="0" y="0"/>
                            <a:ext cx="457200" cy="584200"/>
                          </a:xfrm>
                          <a:prstGeom prst="rect">
                            <a:avLst/>
                          </a:prstGeom>
                          <a:noFill/>
                          <a:ln>
                            <a:noFill/>
                          </a:ln>
                        </pic:spPr>
                      </pic:pic>
                    </a:graphicData>
                  </a:graphic>
                </wp:anchor>
              </w:drawing>
            </w:r>
            <w:r>
              <w:rPr>
                <w:color w:val="auto"/>
              </w:rPr>
              <w:drawing>
                <wp:anchor distT="0" distB="0" distL="114300" distR="114300" simplePos="0" relativeHeight="251664384" behindDoc="0" locked="0" layoutInCell="1" allowOverlap="1">
                  <wp:simplePos x="0" y="0"/>
                  <wp:positionH relativeFrom="column">
                    <wp:posOffset>525145</wp:posOffset>
                  </wp:positionH>
                  <wp:positionV relativeFrom="paragraph">
                    <wp:posOffset>19050</wp:posOffset>
                  </wp:positionV>
                  <wp:extent cx="4214495" cy="3070225"/>
                  <wp:effectExtent l="0" t="0" r="14605" b="15875"/>
                  <wp:wrapTopAndBottom/>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26"/>
                          <a:srcRect l="7251" t="5968" b="2595"/>
                          <a:stretch>
                            <a:fillRect/>
                          </a:stretch>
                        </pic:blipFill>
                        <pic:spPr>
                          <a:xfrm>
                            <a:off x="0" y="0"/>
                            <a:ext cx="4214495" cy="3070225"/>
                          </a:xfrm>
                          <a:prstGeom prst="rect">
                            <a:avLst/>
                          </a:prstGeom>
                          <a:noFill/>
                          <a:ln>
                            <a:noFill/>
                          </a:ln>
                        </pic:spPr>
                      </pic:pic>
                    </a:graphicData>
                  </a:graphic>
                </wp:anchor>
              </w:drawing>
            </w:r>
            <w:r>
              <w:rPr>
                <w:rFonts w:hint="eastAsia"/>
                <w:b/>
                <w:bCs/>
                <w:color w:val="auto"/>
                <w:kern w:val="0"/>
              </w:rPr>
              <w:t>图3-1  现状数据引用检测点位图</w:t>
            </w:r>
          </w:p>
          <w:p w14:paraId="51DEA515">
            <w:pPr>
              <w:keepLines w:val="0"/>
              <w:pageBreakBefore w:val="0"/>
              <w:wordWrap/>
              <w:topLinePunct w:val="0"/>
              <w:bidi w:val="0"/>
              <w:adjustRightInd w:val="0"/>
              <w:snapToGrid w:val="0"/>
              <w:ind w:left="0" w:leftChars="0" w:firstLine="0" w:firstLineChars="0"/>
              <w:textAlignment w:val="auto"/>
              <w:rPr>
                <w:rFonts w:hint="default"/>
                <w:b/>
                <w:bCs/>
                <w:color w:val="auto"/>
                <w:lang w:val="en-US" w:eastAsia="zh-CN"/>
              </w:rPr>
            </w:pPr>
            <w:r>
              <w:rPr>
                <w:rFonts w:hint="eastAsia"/>
                <w:b/>
                <w:bCs/>
                <w:color w:val="auto"/>
                <w:lang w:val="en-US" w:eastAsia="zh-CN"/>
              </w:rPr>
              <w:t>3.1.2</w:t>
            </w:r>
            <w:r>
              <w:rPr>
                <w:rFonts w:hint="default"/>
                <w:b/>
                <w:bCs/>
                <w:color w:val="auto"/>
                <w:lang w:val="en-US" w:eastAsia="zh-CN"/>
              </w:rPr>
              <w:t>地表水环境</w:t>
            </w:r>
            <w:r>
              <w:rPr>
                <w:rFonts w:hint="eastAsia"/>
                <w:b/>
                <w:bCs/>
                <w:color w:val="auto"/>
                <w:lang w:val="en-US" w:eastAsia="zh-CN"/>
              </w:rPr>
              <w:t>质量</w:t>
            </w:r>
          </w:p>
          <w:p w14:paraId="101C2A49">
            <w:pPr>
              <w:keepLines w:val="0"/>
              <w:pageBreakBefore w:val="0"/>
              <w:wordWrap/>
              <w:topLinePunct w:val="0"/>
              <w:bidi w:val="0"/>
              <w:adjustRightInd w:val="0"/>
              <w:snapToGrid w:val="0"/>
              <w:textAlignment w:val="auto"/>
              <w:rPr>
                <w:rFonts w:hint="eastAsia"/>
                <w:color w:val="auto"/>
                <w:lang w:val="en-US" w:eastAsia="zh-CN"/>
              </w:rPr>
            </w:pPr>
            <w:r>
              <w:rPr>
                <w:rFonts w:hint="eastAsia"/>
                <w:color w:val="auto"/>
                <w:lang w:val="en-US" w:eastAsia="zh-CN"/>
              </w:rPr>
              <w:t>根据《建设项目环境影响报告表编制技术指南》（污染影响类）（试行），引用与建设项目距离近的有效数据，包括近3年的规划环境影响评价的监测数据，所在流域控制单元内国家、地方控制断面监测数据，生态环境主管部门发布的水环境质量数据或地表水达标情况的结论。本项目附近没有距离较近的地表水域，因此采用2024年青阳县环境质量状况公报中的结论。</w:t>
            </w:r>
          </w:p>
          <w:p w14:paraId="450820D7">
            <w:pPr>
              <w:keepLines w:val="0"/>
              <w:pageBreakBefore w:val="0"/>
              <w:wordWrap/>
              <w:topLinePunct w:val="0"/>
              <w:bidi w:val="0"/>
              <w:adjustRightInd w:val="0"/>
              <w:snapToGrid w:val="0"/>
              <w:textAlignment w:val="auto"/>
              <w:rPr>
                <w:rFonts w:hint="eastAsia"/>
                <w:color w:val="auto"/>
                <w:lang w:val="en-US" w:eastAsia="zh-CN"/>
              </w:rPr>
            </w:pPr>
            <w:r>
              <w:rPr>
                <w:rFonts w:hint="eastAsia"/>
                <w:color w:val="auto"/>
                <w:lang w:val="en-US" w:eastAsia="zh-CN"/>
              </w:rPr>
              <w:t>根据《2024年青阳县生态环境监测工作方案》，2024年1-12月对境内湖泊和河流地表水开展监测（境内主要河流——青通河、七星河、东河、九华河、陵阳河、牛桥水库共十三个断面：牛桥水库、青通河牛桥断面、青通河青山断面、青通河大桥断面、青通河元桥断面、青通河河口断面、东河杨田断面、东河元桥断面、七星河南河330国道断面、七星河河口断面、九华河三元桥断面、九华河庙前断面、陵阳河陵阳断面）。水质监测4次，共检测24项指标，青通河河口断面水质年均值符合《地表水环境质量标准》（GB3838-2002）中的Ⅱ类标准，其他断面水质年均值符合《地表水环境质量标准》（GB3838-2002）中的Ⅲ类标准，水质优良，达标率为100%，满足地表水功能要求。</w:t>
            </w:r>
          </w:p>
          <w:p w14:paraId="1D8BF4E4">
            <w:pPr>
              <w:keepLines w:val="0"/>
              <w:pageBreakBefore w:val="0"/>
              <w:wordWrap/>
              <w:topLinePunct w:val="0"/>
              <w:bidi w:val="0"/>
              <w:adjustRightInd w:val="0"/>
              <w:snapToGrid w:val="0"/>
              <w:textAlignment w:val="auto"/>
              <w:rPr>
                <w:rFonts w:hint="default"/>
                <w:color w:val="auto"/>
              </w:rPr>
            </w:pPr>
            <w:r>
              <w:rPr>
                <w:rFonts w:hint="eastAsia"/>
                <w:color w:val="auto"/>
                <w:lang w:val="en-US" w:eastAsia="zh-CN"/>
              </w:rPr>
              <w:t>地表水环境质量较2023年没有明显变化。</w:t>
            </w:r>
          </w:p>
          <w:p w14:paraId="62A604E0">
            <w:pPr>
              <w:keepLines w:val="0"/>
              <w:pageBreakBefore w:val="0"/>
              <w:wordWrap/>
              <w:topLinePunct w:val="0"/>
              <w:bidi w:val="0"/>
              <w:adjustRightInd w:val="0"/>
              <w:snapToGrid w:val="0"/>
              <w:ind w:left="0" w:leftChars="0" w:firstLine="0" w:firstLineChars="0"/>
              <w:textAlignment w:val="auto"/>
              <w:rPr>
                <w:rFonts w:hint="default"/>
                <w:b/>
                <w:bCs/>
                <w:color w:val="auto"/>
              </w:rPr>
            </w:pPr>
            <w:r>
              <w:rPr>
                <w:rFonts w:hint="eastAsia"/>
                <w:b/>
                <w:bCs/>
                <w:color w:val="auto"/>
                <w:lang w:val="en-US" w:eastAsia="zh-CN"/>
              </w:rPr>
              <w:t>3.1.3声</w:t>
            </w:r>
            <w:r>
              <w:rPr>
                <w:rFonts w:hint="default"/>
                <w:b/>
                <w:bCs/>
                <w:color w:val="auto"/>
              </w:rPr>
              <w:t>环境质量</w:t>
            </w:r>
          </w:p>
          <w:p w14:paraId="5284B551">
            <w:pPr>
              <w:ind w:firstLine="420"/>
              <w:rPr>
                <w:rFonts w:hint="eastAsia"/>
                <w:color w:val="auto"/>
                <w:szCs w:val="21"/>
                <w:lang w:eastAsia="zh-CN"/>
              </w:rPr>
            </w:pPr>
            <w:r>
              <w:rPr>
                <w:color w:val="auto"/>
                <w:sz w:val="24"/>
                <w:szCs w:val="24"/>
              </w:rPr>
              <w:t>根据《建设项目环境影响报告表编制技术指南（污染影响类）（试行）》，</w:t>
            </w:r>
            <w:r>
              <w:rPr>
                <w:rFonts w:hint="eastAsia"/>
                <w:color w:val="auto"/>
                <w:sz w:val="24"/>
                <w:szCs w:val="24"/>
                <w:lang w:eastAsia="zh-CN"/>
              </w:rPr>
              <w:t>本</w:t>
            </w:r>
            <w:r>
              <w:rPr>
                <w:color w:val="auto"/>
                <w:sz w:val="24"/>
                <w:szCs w:val="24"/>
              </w:rPr>
              <w:t>项目厂界外50米范围内</w:t>
            </w:r>
            <w:r>
              <w:rPr>
                <w:rFonts w:hint="eastAsia"/>
                <w:color w:val="auto"/>
                <w:sz w:val="24"/>
                <w:szCs w:val="24"/>
                <w:lang w:eastAsia="zh-CN"/>
              </w:rPr>
              <w:t>存在一处人才公寓，根据要求应监测保护目标声环境质量现状并评价</w:t>
            </w:r>
            <w:r>
              <w:rPr>
                <w:rFonts w:hint="eastAsia"/>
                <w:color w:val="auto"/>
                <w:szCs w:val="21"/>
                <w:lang w:eastAsia="zh-CN"/>
              </w:rPr>
              <w:t>达标情况，在202</w:t>
            </w:r>
            <w:r>
              <w:rPr>
                <w:rFonts w:hint="eastAsia"/>
                <w:color w:val="auto"/>
                <w:szCs w:val="21"/>
                <w:lang w:val="en-US" w:eastAsia="zh-CN"/>
              </w:rPr>
              <w:t>5</w:t>
            </w:r>
            <w:r>
              <w:rPr>
                <w:rFonts w:hint="eastAsia"/>
                <w:color w:val="auto"/>
                <w:szCs w:val="21"/>
                <w:lang w:eastAsia="zh-CN"/>
              </w:rPr>
              <w:t>年</w:t>
            </w:r>
            <w:r>
              <w:rPr>
                <w:rFonts w:hint="eastAsia"/>
                <w:color w:val="auto"/>
                <w:szCs w:val="21"/>
                <w:lang w:val="en-US" w:eastAsia="zh-CN"/>
              </w:rPr>
              <w:t>11</w:t>
            </w:r>
            <w:r>
              <w:rPr>
                <w:rFonts w:hint="eastAsia"/>
                <w:color w:val="auto"/>
                <w:szCs w:val="21"/>
                <w:lang w:eastAsia="zh-CN"/>
              </w:rPr>
              <w:t>月</w:t>
            </w:r>
            <w:r>
              <w:rPr>
                <w:rFonts w:hint="eastAsia"/>
                <w:color w:val="auto"/>
                <w:szCs w:val="21"/>
                <w:lang w:val="en-US" w:eastAsia="zh-CN"/>
              </w:rPr>
              <w:t>14</w:t>
            </w:r>
            <w:r>
              <w:rPr>
                <w:rFonts w:hint="eastAsia"/>
                <w:color w:val="auto"/>
                <w:szCs w:val="21"/>
                <w:lang w:eastAsia="zh-CN"/>
              </w:rPr>
              <w:t>日委托安徽</w:t>
            </w:r>
            <w:r>
              <w:rPr>
                <w:rFonts w:hint="eastAsia"/>
                <w:color w:val="auto"/>
                <w:szCs w:val="21"/>
                <w:lang w:val="en-US" w:eastAsia="zh-CN"/>
              </w:rPr>
              <w:t>鑫程检测</w:t>
            </w:r>
            <w:r>
              <w:rPr>
                <w:rFonts w:hint="eastAsia"/>
                <w:color w:val="auto"/>
                <w:szCs w:val="21"/>
                <w:lang w:eastAsia="zh-CN"/>
              </w:rPr>
              <w:t>科技有限公司对项目区厂界及保护目标进行噪声监测，监测点位及结果见表3-</w:t>
            </w:r>
            <w:r>
              <w:rPr>
                <w:rFonts w:hint="eastAsia"/>
                <w:color w:val="auto"/>
                <w:szCs w:val="21"/>
                <w:lang w:val="en-US" w:eastAsia="zh-CN"/>
              </w:rPr>
              <w:t>3</w:t>
            </w:r>
            <w:r>
              <w:rPr>
                <w:rFonts w:hint="eastAsia"/>
                <w:color w:val="auto"/>
                <w:szCs w:val="21"/>
                <w:lang w:eastAsia="zh-CN"/>
              </w:rPr>
              <w:t>，噪声监测报告见附件</w:t>
            </w:r>
            <w:r>
              <w:rPr>
                <w:rFonts w:hint="eastAsia"/>
                <w:color w:val="auto"/>
                <w:szCs w:val="21"/>
                <w:lang w:val="en-US" w:eastAsia="zh-CN"/>
              </w:rPr>
              <w:t>9</w:t>
            </w:r>
            <w:r>
              <w:rPr>
                <w:rFonts w:hint="eastAsia"/>
                <w:color w:val="auto"/>
                <w:szCs w:val="21"/>
                <w:lang w:eastAsia="zh-CN"/>
              </w:rPr>
              <w:t>（含监测点位图）。</w:t>
            </w:r>
          </w:p>
          <w:p w14:paraId="12AE7CC9">
            <w:pPr>
              <w:pStyle w:val="38"/>
              <w:keepNext/>
              <w:keepLines w:val="0"/>
              <w:pageBreakBefore w:val="0"/>
              <w:widowControl/>
              <w:kinsoku/>
              <w:wordWrap/>
              <w:overflowPunct/>
              <w:topLinePunct w:val="0"/>
              <w:autoSpaceDE/>
              <w:autoSpaceDN/>
              <w:bidi w:val="0"/>
              <w:adjustRightInd/>
              <w:snapToGrid w:val="0"/>
              <w:spacing w:before="0" w:after="0"/>
              <w:textAlignment w:val="auto"/>
              <w:rPr>
                <w:rFonts w:hint="default"/>
                <w:color w:val="auto"/>
                <w:lang w:val="en-US" w:eastAsia="zh-CN"/>
              </w:rPr>
            </w:pPr>
            <w:r>
              <w:rPr>
                <w:color w:val="auto"/>
                <w:lang w:eastAsia="zh-CN"/>
              </w:rPr>
              <w:t>表3-</w:t>
            </w:r>
            <w:r>
              <w:rPr>
                <w:rFonts w:hint="eastAsia"/>
                <w:color w:val="auto"/>
                <w:lang w:val="en-US" w:eastAsia="zh-CN"/>
              </w:rPr>
              <w:t>3</w:t>
            </w:r>
            <w:r>
              <w:rPr>
                <w:rFonts w:hint="eastAsia"/>
                <w:color w:val="auto"/>
                <w:lang w:eastAsia="zh-CN"/>
              </w:rPr>
              <w:t xml:space="preserve">  噪声监测</w:t>
            </w:r>
            <w:r>
              <w:rPr>
                <w:color w:val="auto"/>
                <w:lang w:eastAsia="zh-CN"/>
              </w:rPr>
              <w:t>布点</w:t>
            </w:r>
            <w:r>
              <w:rPr>
                <w:rFonts w:hint="eastAsia"/>
                <w:color w:val="auto"/>
                <w:lang w:eastAsia="zh-CN"/>
              </w:rPr>
              <w:t>及结果</w:t>
            </w:r>
            <w:r>
              <w:rPr>
                <w:color w:val="auto"/>
                <w:lang w:eastAsia="zh-CN"/>
              </w:rPr>
              <w:t>一览表</w:t>
            </w:r>
            <w:r>
              <w:rPr>
                <w:rFonts w:hint="eastAsia"/>
                <w:color w:val="auto"/>
                <w:lang w:val="en-US" w:eastAsia="zh-CN"/>
              </w:rPr>
              <w:t xml:space="preserve">  单位：Leq[dB（A）]</w:t>
            </w:r>
          </w:p>
          <w:tbl>
            <w:tblPr>
              <w:tblStyle w:val="32"/>
              <w:tblW w:w="827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1"/>
              <w:gridCol w:w="2550"/>
              <w:gridCol w:w="2617"/>
            </w:tblGrid>
            <w:tr w14:paraId="20AAA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4" w:hRule="atLeast"/>
                <w:jc w:val="center"/>
              </w:trPr>
              <w:tc>
                <w:tcPr>
                  <w:tcW w:w="3111" w:type="dxa"/>
                  <w:vMerge w:val="restart"/>
                  <w:tcBorders>
                    <w:tl2br w:val="nil"/>
                    <w:tr2bl w:val="nil"/>
                  </w:tcBorders>
                  <w:noWrap w:val="0"/>
                  <w:vAlign w:val="center"/>
                </w:tcPr>
                <w:p w14:paraId="0480DB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color w:val="auto"/>
                      <w:sz w:val="21"/>
                      <w:szCs w:val="21"/>
                    </w:rPr>
                  </w:pPr>
                  <w:r>
                    <w:rPr>
                      <w:rFonts w:hint="eastAsia"/>
                      <w:b/>
                      <w:bCs/>
                      <w:color w:val="auto"/>
                      <w:sz w:val="21"/>
                      <w:szCs w:val="21"/>
                      <w:vertAlign w:val="baseline"/>
                      <w:lang w:val="en-US" w:eastAsia="zh-CN"/>
                    </w:rPr>
                    <w:t>监测点位</w:t>
                  </w:r>
                </w:p>
              </w:tc>
              <w:tc>
                <w:tcPr>
                  <w:tcW w:w="2550" w:type="dxa"/>
                  <w:vMerge w:val="restart"/>
                  <w:tcBorders>
                    <w:tl2br w:val="nil"/>
                    <w:tr2bl w:val="nil"/>
                  </w:tcBorders>
                  <w:noWrap w:val="0"/>
                  <w:vAlign w:val="center"/>
                </w:tcPr>
                <w:p w14:paraId="084CB8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color w:val="auto"/>
                      <w:sz w:val="21"/>
                      <w:szCs w:val="21"/>
                      <w:vertAlign w:val="baseline"/>
                      <w:lang w:val="en-US" w:eastAsia="zh-CN"/>
                    </w:rPr>
                  </w:pPr>
                  <w:r>
                    <w:rPr>
                      <w:rFonts w:hint="eastAsia"/>
                      <w:b/>
                      <w:bCs/>
                      <w:color w:val="auto"/>
                      <w:sz w:val="21"/>
                      <w:szCs w:val="21"/>
                      <w:vertAlign w:val="baseline"/>
                      <w:lang w:val="en-US" w:eastAsia="zh-CN"/>
                    </w:rPr>
                    <w:t>监测时间</w:t>
                  </w:r>
                </w:p>
              </w:tc>
              <w:tc>
                <w:tcPr>
                  <w:tcW w:w="2617" w:type="dxa"/>
                  <w:tcBorders>
                    <w:tl2br w:val="nil"/>
                    <w:tr2bl w:val="nil"/>
                  </w:tcBorders>
                  <w:noWrap w:val="0"/>
                  <w:vAlign w:val="center"/>
                </w:tcPr>
                <w:p w14:paraId="144E4C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b/>
                      <w:bCs/>
                      <w:color w:val="auto"/>
                      <w:sz w:val="21"/>
                      <w:szCs w:val="21"/>
                      <w:vertAlign w:val="baseline"/>
                      <w:lang w:val="en-US" w:eastAsia="zh-CN"/>
                    </w:rPr>
                  </w:pPr>
                  <w:r>
                    <w:rPr>
                      <w:rFonts w:hint="eastAsia"/>
                      <w:b/>
                      <w:bCs/>
                      <w:color w:val="auto"/>
                      <w:sz w:val="21"/>
                      <w:szCs w:val="21"/>
                      <w:vertAlign w:val="baseline"/>
                      <w:lang w:val="en-US" w:eastAsia="zh-CN"/>
                    </w:rPr>
                    <w:t>检测结果[Leq/dB（A）]</w:t>
                  </w:r>
                </w:p>
              </w:tc>
            </w:tr>
            <w:tr w14:paraId="657A9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4" w:hRule="atLeast"/>
                <w:jc w:val="center"/>
              </w:trPr>
              <w:tc>
                <w:tcPr>
                  <w:tcW w:w="3111" w:type="dxa"/>
                  <w:vMerge w:val="continue"/>
                  <w:tcBorders>
                    <w:tl2br w:val="nil"/>
                    <w:tr2bl w:val="nil"/>
                  </w:tcBorders>
                  <w:noWrap w:val="0"/>
                  <w:vAlign w:val="center"/>
                </w:tcPr>
                <w:p w14:paraId="127498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color w:val="auto"/>
                      <w:sz w:val="21"/>
                      <w:szCs w:val="21"/>
                    </w:rPr>
                  </w:pPr>
                </w:p>
              </w:tc>
              <w:tc>
                <w:tcPr>
                  <w:tcW w:w="2550" w:type="dxa"/>
                  <w:vMerge w:val="continue"/>
                  <w:tcBorders>
                    <w:tl2br w:val="nil"/>
                    <w:tr2bl w:val="nil"/>
                  </w:tcBorders>
                  <w:noWrap w:val="0"/>
                  <w:vAlign w:val="center"/>
                </w:tcPr>
                <w:p w14:paraId="14AE1A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color w:val="auto"/>
                      <w:sz w:val="21"/>
                      <w:szCs w:val="21"/>
                    </w:rPr>
                  </w:pPr>
                </w:p>
              </w:tc>
              <w:tc>
                <w:tcPr>
                  <w:tcW w:w="2617" w:type="dxa"/>
                  <w:tcBorders>
                    <w:tl2br w:val="nil"/>
                    <w:tr2bl w:val="nil"/>
                  </w:tcBorders>
                  <w:noWrap w:val="0"/>
                  <w:vAlign w:val="center"/>
                </w:tcPr>
                <w:p w14:paraId="6103D3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b/>
                      <w:bCs/>
                      <w:color w:val="auto"/>
                      <w:sz w:val="21"/>
                      <w:szCs w:val="21"/>
                      <w:vertAlign w:val="baseline"/>
                      <w:lang w:val="en-US" w:eastAsia="zh-CN"/>
                    </w:rPr>
                  </w:pPr>
                  <w:r>
                    <w:rPr>
                      <w:rFonts w:hint="eastAsia"/>
                      <w:b/>
                      <w:bCs/>
                      <w:color w:val="auto"/>
                      <w:sz w:val="21"/>
                      <w:szCs w:val="21"/>
                      <w:vertAlign w:val="baseline"/>
                      <w:lang w:val="en-US" w:eastAsia="zh-CN"/>
                    </w:rPr>
                    <w:t>昼间</w:t>
                  </w:r>
                </w:p>
              </w:tc>
            </w:tr>
            <w:tr w14:paraId="6A0DC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4" w:hRule="atLeast"/>
                <w:jc w:val="center"/>
              </w:trPr>
              <w:tc>
                <w:tcPr>
                  <w:tcW w:w="3111" w:type="dxa"/>
                  <w:tcBorders>
                    <w:tl2br w:val="nil"/>
                    <w:tr2bl w:val="nil"/>
                  </w:tcBorders>
                  <w:noWrap w:val="0"/>
                  <w:vAlign w:val="center"/>
                </w:tcPr>
                <w:p w14:paraId="123EA2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21"/>
                      <w:szCs w:val="21"/>
                      <w:vertAlign w:val="baseline"/>
                      <w:lang w:val="en-US" w:eastAsia="zh-CN"/>
                    </w:rPr>
                  </w:pPr>
                  <w:r>
                    <w:rPr>
                      <w:rFonts w:hint="eastAsia"/>
                      <w:color w:val="auto"/>
                      <w:sz w:val="21"/>
                      <w:szCs w:val="21"/>
                      <w:vertAlign w:val="baseline"/>
                      <w:lang w:val="en-US" w:eastAsia="zh-CN"/>
                    </w:rPr>
                    <w:t>厂区西北侧N1</w:t>
                  </w:r>
                </w:p>
              </w:tc>
              <w:tc>
                <w:tcPr>
                  <w:tcW w:w="2550" w:type="dxa"/>
                  <w:vMerge w:val="restart"/>
                  <w:tcBorders>
                    <w:tl2br w:val="nil"/>
                    <w:tr2bl w:val="nil"/>
                  </w:tcBorders>
                  <w:noWrap w:val="0"/>
                  <w:vAlign w:val="center"/>
                </w:tcPr>
                <w:p w14:paraId="1B014F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2025.11.14</w:t>
                  </w:r>
                </w:p>
              </w:tc>
              <w:tc>
                <w:tcPr>
                  <w:tcW w:w="2617" w:type="dxa"/>
                  <w:tcBorders>
                    <w:tl2br w:val="nil"/>
                    <w:tr2bl w:val="nil"/>
                  </w:tcBorders>
                  <w:noWrap w:val="0"/>
                  <w:vAlign w:val="center"/>
                </w:tcPr>
                <w:p w14:paraId="616F3D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21"/>
                      <w:szCs w:val="21"/>
                      <w:vertAlign w:val="baseline"/>
                      <w:lang w:val="en-US" w:eastAsia="zh-CN"/>
                    </w:rPr>
                  </w:pPr>
                  <w:r>
                    <w:rPr>
                      <w:rFonts w:hint="eastAsia" w:eastAsia="宋体"/>
                      <w:color w:val="auto"/>
                      <w:sz w:val="21"/>
                      <w:szCs w:val="21"/>
                      <w:vertAlign w:val="baseline"/>
                      <w:lang w:val="en-US" w:eastAsia="zh-CN"/>
                    </w:rPr>
                    <w:t>59.8</w:t>
                  </w:r>
                </w:p>
              </w:tc>
            </w:tr>
            <w:tr w14:paraId="27D28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4" w:hRule="atLeast"/>
                <w:jc w:val="center"/>
              </w:trPr>
              <w:tc>
                <w:tcPr>
                  <w:tcW w:w="3111" w:type="dxa"/>
                  <w:tcBorders>
                    <w:tl2br w:val="nil"/>
                    <w:tr2bl w:val="nil"/>
                  </w:tcBorders>
                  <w:noWrap w:val="0"/>
                  <w:vAlign w:val="center"/>
                </w:tcPr>
                <w:p w14:paraId="674150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auto"/>
                      <w:sz w:val="21"/>
                      <w:szCs w:val="21"/>
                      <w:vertAlign w:val="baseline"/>
                      <w:lang w:val="en-US" w:eastAsia="zh-CN"/>
                    </w:rPr>
                  </w:pPr>
                  <w:r>
                    <w:rPr>
                      <w:rFonts w:hint="eastAsia"/>
                      <w:color w:val="auto"/>
                      <w:sz w:val="21"/>
                      <w:szCs w:val="21"/>
                      <w:vertAlign w:val="baseline"/>
                      <w:lang w:val="en-US" w:eastAsia="zh-CN"/>
                    </w:rPr>
                    <w:t>厂区西南侧N2</w:t>
                  </w:r>
                </w:p>
              </w:tc>
              <w:tc>
                <w:tcPr>
                  <w:tcW w:w="2550" w:type="dxa"/>
                  <w:vMerge w:val="continue"/>
                  <w:tcBorders>
                    <w:tl2br w:val="nil"/>
                    <w:tr2bl w:val="nil"/>
                  </w:tcBorders>
                  <w:noWrap w:val="0"/>
                  <w:vAlign w:val="center"/>
                </w:tcPr>
                <w:p w14:paraId="5D6C662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1"/>
                      <w:szCs w:val="21"/>
                      <w:vertAlign w:val="baseline"/>
                      <w:lang w:val="en-US" w:eastAsia="zh-CN"/>
                    </w:rPr>
                  </w:pPr>
                </w:p>
              </w:tc>
              <w:tc>
                <w:tcPr>
                  <w:tcW w:w="2617" w:type="dxa"/>
                  <w:tcBorders>
                    <w:tl2br w:val="nil"/>
                    <w:tr2bl w:val="nil"/>
                  </w:tcBorders>
                  <w:noWrap w:val="0"/>
                  <w:vAlign w:val="center"/>
                </w:tcPr>
                <w:p w14:paraId="16760D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21"/>
                      <w:szCs w:val="21"/>
                      <w:vertAlign w:val="baseline"/>
                      <w:lang w:val="en-US" w:eastAsia="zh-CN"/>
                    </w:rPr>
                  </w:pPr>
                  <w:r>
                    <w:rPr>
                      <w:rFonts w:hint="eastAsia" w:eastAsia="宋体"/>
                      <w:color w:val="auto"/>
                      <w:sz w:val="21"/>
                      <w:szCs w:val="21"/>
                      <w:vertAlign w:val="baseline"/>
                      <w:lang w:val="en-US" w:eastAsia="zh-CN"/>
                    </w:rPr>
                    <w:t>56.3</w:t>
                  </w:r>
                </w:p>
              </w:tc>
            </w:tr>
            <w:tr w14:paraId="3EF30F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4" w:hRule="atLeast"/>
                <w:jc w:val="center"/>
              </w:trPr>
              <w:tc>
                <w:tcPr>
                  <w:tcW w:w="3111" w:type="dxa"/>
                  <w:tcBorders>
                    <w:tl2br w:val="nil"/>
                    <w:tr2bl w:val="nil"/>
                  </w:tcBorders>
                  <w:noWrap w:val="0"/>
                  <w:vAlign w:val="center"/>
                </w:tcPr>
                <w:p w14:paraId="734B00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21"/>
                      <w:szCs w:val="21"/>
                      <w:vertAlign w:val="baseline"/>
                      <w:lang w:val="en-US"/>
                    </w:rPr>
                  </w:pPr>
                  <w:r>
                    <w:rPr>
                      <w:rFonts w:hint="eastAsia"/>
                      <w:color w:val="auto"/>
                      <w:sz w:val="21"/>
                      <w:szCs w:val="21"/>
                      <w:vertAlign w:val="baseline"/>
                      <w:lang w:val="en-US" w:eastAsia="zh-CN"/>
                    </w:rPr>
                    <w:t>厂区东南侧N3</w:t>
                  </w:r>
                </w:p>
              </w:tc>
              <w:tc>
                <w:tcPr>
                  <w:tcW w:w="2550" w:type="dxa"/>
                  <w:vMerge w:val="continue"/>
                  <w:tcBorders>
                    <w:tl2br w:val="nil"/>
                    <w:tr2bl w:val="nil"/>
                  </w:tcBorders>
                  <w:noWrap w:val="0"/>
                  <w:vAlign w:val="center"/>
                </w:tcPr>
                <w:p w14:paraId="463E6B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1"/>
                      <w:szCs w:val="21"/>
                      <w:vertAlign w:val="baseline"/>
                      <w:lang w:val="en-US" w:eastAsia="zh-CN"/>
                    </w:rPr>
                  </w:pPr>
                </w:p>
              </w:tc>
              <w:tc>
                <w:tcPr>
                  <w:tcW w:w="2617" w:type="dxa"/>
                  <w:tcBorders>
                    <w:tl2br w:val="nil"/>
                    <w:tr2bl w:val="nil"/>
                  </w:tcBorders>
                  <w:noWrap w:val="0"/>
                  <w:vAlign w:val="center"/>
                </w:tcPr>
                <w:p w14:paraId="13268E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21"/>
                      <w:szCs w:val="21"/>
                      <w:vertAlign w:val="baseline"/>
                      <w:lang w:val="en-US" w:eastAsia="zh-CN"/>
                    </w:rPr>
                  </w:pPr>
                  <w:r>
                    <w:rPr>
                      <w:rFonts w:hint="eastAsia" w:eastAsia="宋体"/>
                      <w:color w:val="auto"/>
                      <w:sz w:val="21"/>
                      <w:szCs w:val="21"/>
                      <w:vertAlign w:val="baseline"/>
                      <w:lang w:val="en-US" w:eastAsia="zh-CN"/>
                    </w:rPr>
                    <w:t>60.5</w:t>
                  </w:r>
                </w:p>
              </w:tc>
            </w:tr>
            <w:tr w14:paraId="35003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4" w:hRule="atLeast"/>
                <w:jc w:val="center"/>
              </w:trPr>
              <w:tc>
                <w:tcPr>
                  <w:tcW w:w="3111" w:type="dxa"/>
                  <w:tcBorders>
                    <w:tl2br w:val="nil"/>
                    <w:tr2bl w:val="nil"/>
                  </w:tcBorders>
                  <w:noWrap w:val="0"/>
                  <w:vAlign w:val="center"/>
                </w:tcPr>
                <w:p w14:paraId="6C264D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21"/>
                      <w:szCs w:val="21"/>
                      <w:vertAlign w:val="baseline"/>
                      <w:lang w:val="en-US"/>
                    </w:rPr>
                  </w:pPr>
                  <w:r>
                    <w:rPr>
                      <w:rFonts w:hint="eastAsia"/>
                      <w:color w:val="auto"/>
                      <w:sz w:val="21"/>
                      <w:szCs w:val="21"/>
                      <w:vertAlign w:val="baseline"/>
                      <w:lang w:val="en-US" w:eastAsia="zh-CN"/>
                    </w:rPr>
                    <w:t>厂区东北侧N4</w:t>
                  </w:r>
                </w:p>
              </w:tc>
              <w:tc>
                <w:tcPr>
                  <w:tcW w:w="2550" w:type="dxa"/>
                  <w:vMerge w:val="continue"/>
                  <w:tcBorders>
                    <w:tl2br w:val="nil"/>
                    <w:tr2bl w:val="nil"/>
                  </w:tcBorders>
                  <w:noWrap w:val="0"/>
                  <w:vAlign w:val="center"/>
                </w:tcPr>
                <w:p w14:paraId="537E9B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1"/>
                      <w:szCs w:val="21"/>
                      <w:vertAlign w:val="baseline"/>
                      <w:lang w:val="en-US" w:eastAsia="zh-CN"/>
                    </w:rPr>
                  </w:pPr>
                </w:p>
              </w:tc>
              <w:tc>
                <w:tcPr>
                  <w:tcW w:w="2617" w:type="dxa"/>
                  <w:tcBorders>
                    <w:tl2br w:val="nil"/>
                    <w:tr2bl w:val="nil"/>
                  </w:tcBorders>
                  <w:noWrap w:val="0"/>
                  <w:vAlign w:val="center"/>
                </w:tcPr>
                <w:p w14:paraId="2B49307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21"/>
                      <w:szCs w:val="21"/>
                      <w:vertAlign w:val="baseline"/>
                      <w:lang w:val="en-US" w:eastAsia="zh-CN"/>
                    </w:rPr>
                  </w:pPr>
                  <w:r>
                    <w:rPr>
                      <w:rFonts w:hint="eastAsia" w:eastAsia="宋体"/>
                      <w:color w:val="auto"/>
                      <w:sz w:val="21"/>
                      <w:szCs w:val="21"/>
                      <w:vertAlign w:val="baseline"/>
                      <w:lang w:val="en-US" w:eastAsia="zh-CN"/>
                    </w:rPr>
                    <w:t>59.7</w:t>
                  </w:r>
                </w:p>
              </w:tc>
            </w:tr>
            <w:tr w14:paraId="70F6E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1" w:hRule="atLeast"/>
                <w:jc w:val="center"/>
              </w:trPr>
              <w:tc>
                <w:tcPr>
                  <w:tcW w:w="3111" w:type="dxa"/>
                  <w:tcBorders>
                    <w:tl2br w:val="nil"/>
                    <w:tr2bl w:val="nil"/>
                  </w:tcBorders>
                  <w:noWrap w:val="0"/>
                  <w:vAlign w:val="center"/>
                </w:tcPr>
                <w:p w14:paraId="3CF0F6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敏感点N5</w:t>
                  </w:r>
                </w:p>
              </w:tc>
              <w:tc>
                <w:tcPr>
                  <w:tcW w:w="2550" w:type="dxa"/>
                  <w:vMerge w:val="continue"/>
                  <w:tcBorders>
                    <w:tl2br w:val="nil"/>
                    <w:tr2bl w:val="nil"/>
                  </w:tcBorders>
                  <w:noWrap w:val="0"/>
                  <w:vAlign w:val="center"/>
                </w:tcPr>
                <w:p w14:paraId="2FCD24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1"/>
                      <w:szCs w:val="21"/>
                      <w:vertAlign w:val="baseline"/>
                      <w:lang w:val="en-US" w:eastAsia="zh-CN"/>
                    </w:rPr>
                  </w:pPr>
                </w:p>
              </w:tc>
              <w:tc>
                <w:tcPr>
                  <w:tcW w:w="2617" w:type="dxa"/>
                  <w:tcBorders>
                    <w:tl2br w:val="nil"/>
                    <w:tr2bl w:val="nil"/>
                  </w:tcBorders>
                  <w:noWrap w:val="0"/>
                  <w:vAlign w:val="center"/>
                </w:tcPr>
                <w:p w14:paraId="182387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61.8</w:t>
                  </w:r>
                </w:p>
              </w:tc>
            </w:tr>
          </w:tbl>
          <w:p w14:paraId="5032020E">
            <w:pPr>
              <w:bidi w:val="0"/>
              <w:ind w:left="0" w:leftChars="0" w:firstLine="0" w:firstLineChars="0"/>
              <w:rPr>
                <w:rFonts w:hint="default"/>
                <w:b/>
                <w:bCs/>
                <w:color w:val="auto"/>
                <w:sz w:val="21"/>
                <w:szCs w:val="21"/>
                <w:lang w:val="en-US" w:eastAsia="zh-CN"/>
              </w:rPr>
            </w:pPr>
            <w:r>
              <w:rPr>
                <w:rFonts w:hint="eastAsia"/>
                <w:b/>
                <w:bCs/>
                <w:color w:val="auto"/>
                <w:sz w:val="21"/>
                <w:szCs w:val="21"/>
                <w:lang w:val="en-US" w:eastAsia="zh-CN"/>
              </w:rPr>
              <w:t>注：其中敏感点采样点靠近北侧城市主干道城东路，故噪声检测结果高于厂界。</w:t>
            </w:r>
          </w:p>
          <w:p w14:paraId="4E8454FA">
            <w:pPr>
              <w:bidi w:val="0"/>
              <w:rPr>
                <w:rFonts w:hint="default"/>
                <w:color w:val="auto"/>
              </w:rPr>
            </w:pPr>
            <w:r>
              <w:rPr>
                <w:rFonts w:hint="eastAsia"/>
                <w:color w:val="auto"/>
                <w:lang w:val="en-US" w:eastAsia="zh-CN"/>
              </w:rPr>
              <w:t>根据噪声监测结果，项目区厂界昼间监测噪声声环境质量和敏感点昼间监测噪声声环境质量满足《声环境质量标准》（GB3096-2008）中3类区标准，</w:t>
            </w:r>
            <w:r>
              <w:rPr>
                <w:rFonts w:hint="eastAsia"/>
                <w:color w:val="auto"/>
              </w:rPr>
              <w:t>区域</w:t>
            </w:r>
            <w:r>
              <w:rPr>
                <w:rFonts w:hint="eastAsia"/>
                <w:color w:val="auto"/>
                <w:lang w:eastAsia="zh-CN"/>
              </w:rPr>
              <w:t>声</w:t>
            </w:r>
            <w:r>
              <w:rPr>
                <w:rFonts w:hint="eastAsia"/>
                <w:color w:val="auto"/>
              </w:rPr>
              <w:t>环境质量良好</w:t>
            </w:r>
            <w:r>
              <w:rPr>
                <w:rFonts w:hint="eastAsia"/>
                <w:color w:val="auto"/>
                <w:lang w:eastAsia="zh-CN"/>
              </w:rPr>
              <w:t>。</w:t>
            </w:r>
          </w:p>
          <w:p w14:paraId="50AF750C">
            <w:pPr>
              <w:keepLines w:val="0"/>
              <w:pageBreakBefore w:val="0"/>
              <w:wordWrap/>
              <w:topLinePunct w:val="0"/>
              <w:bidi w:val="0"/>
              <w:adjustRightInd w:val="0"/>
              <w:snapToGrid w:val="0"/>
              <w:ind w:left="0" w:leftChars="0" w:firstLine="0" w:firstLineChars="0"/>
              <w:textAlignment w:val="auto"/>
              <w:rPr>
                <w:rFonts w:hint="default" w:ascii="Times New Roman" w:hAnsi="Times New Roman" w:eastAsia="宋体" w:cs="Times New Roman"/>
                <w:b/>
                <w:color w:val="auto"/>
                <w:sz w:val="24"/>
                <w:szCs w:val="24"/>
              </w:rPr>
            </w:pPr>
            <w:r>
              <w:rPr>
                <w:rFonts w:hint="eastAsia" w:ascii="Times New Roman" w:hAnsi="Times New Roman" w:cs="Times New Roman"/>
                <w:b/>
                <w:color w:val="auto"/>
                <w:sz w:val="24"/>
                <w:szCs w:val="24"/>
                <w:lang w:val="en-US" w:eastAsia="zh-CN"/>
              </w:rPr>
              <w:t>3.1.4</w:t>
            </w:r>
            <w:r>
              <w:rPr>
                <w:rFonts w:hint="eastAsia" w:ascii="Times New Roman" w:hAnsi="Times New Roman" w:eastAsia="宋体" w:cs="Times New Roman"/>
                <w:b/>
                <w:color w:val="auto"/>
                <w:sz w:val="24"/>
                <w:szCs w:val="24"/>
              </w:rPr>
              <w:t>地下水、土壤</w:t>
            </w:r>
            <w:r>
              <w:rPr>
                <w:rFonts w:hint="default" w:ascii="Times New Roman" w:hAnsi="Times New Roman" w:eastAsia="宋体" w:cs="Times New Roman"/>
                <w:b/>
                <w:color w:val="auto"/>
                <w:sz w:val="24"/>
                <w:szCs w:val="24"/>
              </w:rPr>
              <w:t>环境</w:t>
            </w:r>
            <w:r>
              <w:rPr>
                <w:rFonts w:hint="eastAsia" w:ascii="Times New Roman" w:hAnsi="Times New Roman" w:eastAsia="宋体" w:cs="Times New Roman"/>
                <w:b/>
                <w:color w:val="auto"/>
                <w:sz w:val="24"/>
                <w:szCs w:val="24"/>
              </w:rPr>
              <w:t>质量现状</w:t>
            </w:r>
          </w:p>
          <w:p w14:paraId="36736521">
            <w:pPr>
              <w:pStyle w:val="102"/>
              <w:keepLines w:val="0"/>
              <w:pageBreakBefore w:val="0"/>
              <w:numPr>
                <w:ilvl w:val="0"/>
                <w:numId w:val="0"/>
              </w:numPr>
              <w:wordWrap/>
              <w:topLinePunct w:val="0"/>
              <w:bidi w:val="0"/>
              <w:adjustRightInd w:val="0"/>
              <w:snapToGrid w:val="0"/>
              <w:spacing w:before="0" w:after="0"/>
              <w:ind w:firstLine="480" w:firstLineChars="200"/>
              <w:textAlignment w:val="auto"/>
              <w:rPr>
                <w:rFonts w:hint="default" w:ascii="Times New Roman" w:hAnsi="Times New Roman" w:cs="Times New Roman"/>
                <w:b w:val="0"/>
                <w:bCs/>
                <w:color w:val="auto"/>
                <w:szCs w:val="24"/>
              </w:rPr>
            </w:pPr>
            <w:r>
              <w:rPr>
                <w:rFonts w:hint="default" w:ascii="Times New Roman" w:hAnsi="Times New Roman" w:eastAsia="宋体" w:cs="Times New Roman"/>
                <w:b w:val="0"/>
                <w:bCs w:val="0"/>
                <w:color w:val="auto"/>
                <w:kern w:val="2"/>
                <w:sz w:val="24"/>
                <w:szCs w:val="22"/>
                <w:lang w:val="zh-CN" w:eastAsia="zh-CN" w:bidi="ar-SA"/>
              </w:rPr>
              <w:t>根据《建设项目环境影响报告表编制技术指南（污染影响类）</w:t>
            </w:r>
            <w:r>
              <w:rPr>
                <w:rFonts w:hint="eastAsia" w:cs="Times New Roman"/>
                <w:b w:val="0"/>
                <w:bCs w:val="0"/>
                <w:color w:val="auto"/>
                <w:kern w:val="2"/>
                <w:sz w:val="24"/>
                <w:szCs w:val="22"/>
                <w:lang w:val="zh-CN" w:eastAsia="zh-CN" w:bidi="ar-SA"/>
              </w:rPr>
              <w:t>（试行）》</w:t>
            </w:r>
            <w:r>
              <w:rPr>
                <w:rFonts w:hint="default" w:ascii="Times New Roman" w:hAnsi="Times New Roman" w:eastAsia="宋体" w:cs="Times New Roman"/>
                <w:b w:val="0"/>
                <w:bCs w:val="0"/>
                <w:color w:val="auto"/>
                <w:kern w:val="2"/>
                <w:sz w:val="24"/>
                <w:szCs w:val="22"/>
                <w:lang w:val="zh-CN" w:eastAsia="zh-CN" w:bidi="ar-SA"/>
              </w:rPr>
              <w:t>，原则上对地下水和土壤不开展环</w:t>
            </w:r>
            <w:r>
              <w:rPr>
                <w:rFonts w:hint="default" w:ascii="Times New Roman" w:hAnsi="Times New Roman" w:eastAsia="宋体" w:cs="Times New Roman"/>
                <w:b w:val="0"/>
                <w:bCs w:val="0"/>
                <w:color w:val="auto"/>
                <w:kern w:val="2"/>
                <w:sz w:val="24"/>
                <w:szCs w:val="22"/>
                <w:highlight w:val="none"/>
                <w:shd w:val="clear" w:color="auto" w:fill="auto"/>
                <w:lang w:val="zh-CN" w:eastAsia="zh-CN" w:bidi="ar-SA"/>
              </w:rPr>
              <w:t>境质量现状调查，</w:t>
            </w:r>
            <w:r>
              <w:rPr>
                <w:rFonts w:hint="eastAsia" w:eastAsia="宋体" w:cs="Times New Roman"/>
                <w:b w:val="0"/>
                <w:bCs w:val="0"/>
                <w:color w:val="auto"/>
                <w:kern w:val="2"/>
                <w:sz w:val="24"/>
                <w:szCs w:val="22"/>
                <w:highlight w:val="none"/>
                <w:shd w:val="clear" w:color="auto" w:fill="auto"/>
                <w:lang w:val="en-US" w:eastAsia="zh-CN" w:bidi="ar-SA"/>
              </w:rPr>
              <w:t>项目所在区地面已硬化处理，本项目</w:t>
            </w:r>
            <w:r>
              <w:rPr>
                <w:rFonts w:hint="default" w:ascii="Times New Roman" w:hAnsi="Times New Roman" w:eastAsia="宋体" w:cs="Times New Roman"/>
                <w:b w:val="0"/>
                <w:bCs w:val="0"/>
                <w:color w:val="auto"/>
                <w:kern w:val="2"/>
                <w:sz w:val="24"/>
                <w:szCs w:val="22"/>
                <w:highlight w:val="none"/>
                <w:shd w:val="clear" w:color="auto" w:fill="auto"/>
                <w:lang w:val="zh-CN" w:eastAsia="zh-CN" w:bidi="ar-SA"/>
              </w:rPr>
              <w:t>采取分区防渗措施；</w:t>
            </w:r>
            <w:r>
              <w:rPr>
                <w:rFonts w:hint="eastAsia" w:eastAsia="宋体" w:cs="Times New Roman"/>
                <w:b w:val="0"/>
                <w:bCs w:val="0"/>
                <w:color w:val="auto"/>
                <w:kern w:val="2"/>
                <w:sz w:val="24"/>
                <w:szCs w:val="22"/>
                <w:highlight w:val="none"/>
                <w:shd w:val="clear" w:color="auto" w:fill="auto"/>
                <w:lang w:val="en-US" w:eastAsia="zh-CN" w:bidi="ar-SA"/>
              </w:rPr>
              <w:t>对</w:t>
            </w:r>
            <w:r>
              <w:rPr>
                <w:rFonts w:hint="default" w:ascii="Times New Roman" w:hAnsi="Times New Roman" w:eastAsia="宋体" w:cs="Times New Roman"/>
                <w:b w:val="0"/>
                <w:bCs w:val="0"/>
                <w:color w:val="auto"/>
                <w:kern w:val="2"/>
                <w:sz w:val="24"/>
                <w:szCs w:val="22"/>
                <w:highlight w:val="none"/>
                <w:shd w:val="clear" w:color="auto" w:fill="auto"/>
                <w:lang w:val="zh-CN" w:eastAsia="zh-CN" w:bidi="ar-SA"/>
              </w:rPr>
              <w:t>地下水和土壤污染</w:t>
            </w:r>
            <w:r>
              <w:rPr>
                <w:rFonts w:hint="eastAsia" w:eastAsia="宋体" w:cs="Times New Roman"/>
                <w:b w:val="0"/>
                <w:bCs w:val="0"/>
                <w:color w:val="auto"/>
                <w:kern w:val="2"/>
                <w:sz w:val="24"/>
                <w:szCs w:val="22"/>
                <w:highlight w:val="none"/>
                <w:shd w:val="clear" w:color="auto" w:fill="auto"/>
                <w:lang w:val="en-US" w:eastAsia="zh-CN" w:bidi="ar-SA"/>
              </w:rPr>
              <w:t>影响较小</w:t>
            </w:r>
            <w:r>
              <w:rPr>
                <w:rFonts w:hint="default" w:ascii="Times New Roman" w:hAnsi="Times New Roman" w:eastAsia="宋体" w:cs="Times New Roman"/>
                <w:b w:val="0"/>
                <w:bCs w:val="0"/>
                <w:color w:val="auto"/>
                <w:kern w:val="2"/>
                <w:sz w:val="24"/>
                <w:szCs w:val="22"/>
                <w:highlight w:val="none"/>
                <w:shd w:val="clear" w:color="auto" w:fill="auto"/>
                <w:lang w:val="zh-CN" w:eastAsia="zh-CN" w:bidi="ar-SA"/>
              </w:rPr>
              <w:t>，因此本次</w:t>
            </w:r>
            <w:r>
              <w:rPr>
                <w:rFonts w:hint="eastAsia" w:ascii="Times New Roman" w:hAnsi="Times New Roman" w:eastAsia="宋体" w:cs="Times New Roman"/>
                <w:b w:val="0"/>
                <w:bCs w:val="0"/>
                <w:color w:val="auto"/>
                <w:kern w:val="2"/>
                <w:sz w:val="24"/>
                <w:szCs w:val="22"/>
                <w:highlight w:val="none"/>
                <w:shd w:val="clear" w:color="auto" w:fill="auto"/>
                <w:lang w:val="en-US" w:eastAsia="zh-CN" w:bidi="ar-SA"/>
              </w:rPr>
              <w:t>可不</w:t>
            </w:r>
            <w:r>
              <w:rPr>
                <w:rFonts w:hint="default" w:ascii="Times New Roman" w:hAnsi="Times New Roman" w:eastAsia="宋体" w:cs="Times New Roman"/>
                <w:b w:val="0"/>
                <w:bCs w:val="0"/>
                <w:color w:val="auto"/>
                <w:kern w:val="2"/>
                <w:sz w:val="24"/>
                <w:szCs w:val="22"/>
                <w:highlight w:val="none"/>
                <w:shd w:val="clear" w:color="auto" w:fill="auto"/>
                <w:lang w:val="zh-CN" w:eastAsia="zh-CN" w:bidi="ar-SA"/>
              </w:rPr>
              <w:t>开展地下水和土壤环境现状</w:t>
            </w:r>
            <w:r>
              <w:rPr>
                <w:rFonts w:hint="eastAsia" w:ascii="Times New Roman" w:hAnsi="Times New Roman" w:eastAsia="宋体" w:cs="Times New Roman"/>
                <w:b w:val="0"/>
                <w:bCs w:val="0"/>
                <w:color w:val="auto"/>
                <w:kern w:val="2"/>
                <w:sz w:val="24"/>
                <w:szCs w:val="22"/>
                <w:highlight w:val="none"/>
                <w:shd w:val="clear" w:color="auto" w:fill="auto"/>
                <w:lang w:val="en-US" w:eastAsia="zh-CN" w:bidi="ar-SA"/>
              </w:rPr>
              <w:t>调查</w:t>
            </w:r>
            <w:r>
              <w:rPr>
                <w:rFonts w:hint="default" w:ascii="Times New Roman" w:hAnsi="Times New Roman" w:eastAsia="宋体" w:cs="Times New Roman"/>
                <w:b w:val="0"/>
                <w:bCs w:val="0"/>
                <w:color w:val="auto"/>
                <w:kern w:val="2"/>
                <w:sz w:val="24"/>
                <w:szCs w:val="22"/>
                <w:highlight w:val="none"/>
                <w:shd w:val="clear" w:color="auto" w:fill="auto"/>
                <w:lang w:val="zh-CN" w:eastAsia="zh-CN" w:bidi="ar-SA"/>
              </w:rPr>
              <w:t>。</w:t>
            </w:r>
          </w:p>
          <w:p w14:paraId="47381C81">
            <w:pPr>
              <w:keepLines w:val="0"/>
              <w:pageBreakBefore w:val="0"/>
              <w:wordWrap/>
              <w:topLinePunct w:val="0"/>
              <w:bidi w:val="0"/>
              <w:adjustRightInd w:val="0"/>
              <w:snapToGrid w:val="0"/>
              <w:ind w:left="0" w:leftChars="0" w:firstLine="0" w:firstLineChars="0"/>
              <w:textAlignment w:val="auto"/>
              <w:rPr>
                <w:rFonts w:hint="eastAsia" w:ascii="Times New Roman" w:hAnsi="Times New Roman" w:eastAsia="宋体" w:cs="Times New Roman"/>
                <w:b/>
                <w:color w:val="auto"/>
                <w:sz w:val="24"/>
                <w:szCs w:val="24"/>
              </w:rPr>
            </w:pPr>
            <w:r>
              <w:rPr>
                <w:rFonts w:hint="eastAsia" w:ascii="Times New Roman" w:hAnsi="Times New Roman" w:cs="Times New Roman"/>
                <w:b/>
                <w:color w:val="auto"/>
                <w:sz w:val="24"/>
                <w:szCs w:val="24"/>
                <w:lang w:val="en-US" w:eastAsia="zh-CN"/>
              </w:rPr>
              <w:t>3.1.5</w:t>
            </w:r>
            <w:r>
              <w:rPr>
                <w:rFonts w:hint="eastAsia" w:ascii="Times New Roman" w:hAnsi="Times New Roman" w:eastAsia="宋体" w:cs="Times New Roman"/>
                <w:b/>
                <w:color w:val="auto"/>
                <w:sz w:val="24"/>
                <w:szCs w:val="24"/>
              </w:rPr>
              <w:t>生态环境质量现状</w:t>
            </w:r>
          </w:p>
          <w:p w14:paraId="678B692F">
            <w:pPr>
              <w:keepLines w:val="0"/>
              <w:pageBreakBefore w:val="0"/>
              <w:widowControl/>
              <w:numPr>
                <w:ilvl w:val="0"/>
                <w:numId w:val="0"/>
              </w:numPr>
              <w:wordWrap/>
              <w:topLinePunct w:val="0"/>
              <w:bidi w:val="0"/>
              <w:adjustRightInd w:val="0"/>
              <w:snapToGrid w:val="0"/>
              <w:spacing w:line="360" w:lineRule="auto"/>
              <w:ind w:firstLine="476" w:firstLineChars="200"/>
              <w:textAlignment w:val="auto"/>
              <w:rPr>
                <w:rFonts w:ascii="宋体" w:hAnsi="宋体" w:cs="宋体"/>
                <w:snapToGrid w:val="0"/>
                <w:color w:val="auto"/>
                <w:spacing w:val="-6"/>
                <w:kern w:val="0"/>
                <w:sz w:val="24"/>
              </w:rPr>
            </w:pPr>
            <w:r>
              <w:rPr>
                <w:rFonts w:ascii="宋体" w:hAnsi="宋体" w:cs="宋体"/>
                <w:color w:val="auto"/>
                <w:spacing w:val="-1"/>
                <w:sz w:val="24"/>
              </w:rPr>
              <w:t>项目位于</w:t>
            </w:r>
            <w:r>
              <w:rPr>
                <w:rFonts w:hint="eastAsia" w:eastAsia="宋体"/>
                <w:color w:val="auto"/>
                <w:sz w:val="24"/>
                <w:szCs w:val="24"/>
                <w:lang w:eastAsia="zh-CN"/>
              </w:rPr>
              <w:t>安徽省池州市青阳县经济开发区东河园区安徽赛王仓储有限公司</w:t>
            </w:r>
            <w:r>
              <w:rPr>
                <w:rFonts w:hint="eastAsia" w:eastAsia="宋体"/>
                <w:color w:val="auto"/>
                <w:sz w:val="24"/>
                <w:szCs w:val="24"/>
                <w:lang w:val="en-US" w:eastAsia="zh-CN"/>
              </w:rPr>
              <w:t>厂区内</w:t>
            </w:r>
            <w:r>
              <w:rPr>
                <w:color w:val="auto"/>
                <w:sz w:val="24"/>
                <w:szCs w:val="32"/>
              </w:rPr>
              <w:t>，评价范围内不涉及自然保护区和文物古迹等需要特殊保护的环境敏感对象</w:t>
            </w:r>
            <w:r>
              <w:rPr>
                <w:rFonts w:ascii="宋体" w:hAnsi="宋体" w:cs="宋体"/>
                <w:color w:val="auto"/>
                <w:spacing w:val="-1"/>
                <w:sz w:val="24"/>
              </w:rPr>
              <w:t>，无需进行生态环境现状调查</w:t>
            </w:r>
            <w:r>
              <w:rPr>
                <w:rFonts w:ascii="宋体" w:hAnsi="宋体" w:cs="宋体"/>
                <w:snapToGrid w:val="0"/>
                <w:color w:val="auto"/>
                <w:spacing w:val="-6"/>
                <w:kern w:val="0"/>
                <w:sz w:val="24"/>
              </w:rPr>
              <w:t>。</w:t>
            </w:r>
          </w:p>
          <w:p w14:paraId="1DE51F25">
            <w:pPr>
              <w:keepLines w:val="0"/>
              <w:pageBreakBefore w:val="0"/>
              <w:wordWrap/>
              <w:topLinePunct w:val="0"/>
              <w:bidi w:val="0"/>
              <w:adjustRightInd w:val="0"/>
              <w:snapToGrid w:val="0"/>
              <w:ind w:left="0" w:leftChars="0" w:firstLine="0" w:firstLineChars="0"/>
              <w:textAlignment w:val="auto"/>
              <w:rPr>
                <w:rFonts w:hint="eastAsia" w:ascii="Times New Roman" w:hAnsi="Times New Roman" w:eastAsia="宋体" w:cs="Times New Roman"/>
                <w:b/>
                <w:color w:val="auto"/>
                <w:sz w:val="24"/>
                <w:szCs w:val="24"/>
              </w:rPr>
            </w:pPr>
            <w:r>
              <w:rPr>
                <w:rFonts w:hint="eastAsia" w:ascii="Times New Roman" w:hAnsi="Times New Roman" w:cs="Times New Roman"/>
                <w:b/>
                <w:color w:val="auto"/>
                <w:sz w:val="24"/>
                <w:szCs w:val="24"/>
                <w:lang w:val="en-US" w:eastAsia="zh-CN"/>
              </w:rPr>
              <w:t>3.1.6</w:t>
            </w:r>
            <w:r>
              <w:rPr>
                <w:rFonts w:hint="eastAsia" w:ascii="Times New Roman" w:hAnsi="Times New Roman" w:eastAsia="宋体" w:cs="Times New Roman"/>
                <w:b/>
                <w:color w:val="auto"/>
                <w:sz w:val="24"/>
                <w:szCs w:val="24"/>
              </w:rPr>
              <w:t>电磁辐射现状</w:t>
            </w:r>
          </w:p>
          <w:p w14:paraId="7178996C">
            <w:pPr>
              <w:keepNext w:val="0"/>
              <w:keepLines w:val="0"/>
              <w:pageBreakBefore w:val="0"/>
              <w:widowControl w:val="0"/>
              <w:kinsoku/>
              <w:wordWrap/>
              <w:overflowPunct/>
              <w:topLinePunct w:val="0"/>
              <w:autoSpaceDE/>
              <w:autoSpaceDN/>
              <w:bidi w:val="0"/>
              <w:adjustRightInd w:val="0"/>
              <w:snapToGrid w:val="0"/>
              <w:spacing w:line="360" w:lineRule="auto"/>
              <w:ind w:firstLine="476" w:firstLineChars="200"/>
              <w:textAlignment w:val="auto"/>
              <w:rPr>
                <w:rFonts w:hint="eastAsia" w:ascii="宋体" w:hAnsi="宋体" w:cs="宋体"/>
                <w:color w:val="auto"/>
                <w:kern w:val="0"/>
                <w:sz w:val="24"/>
              </w:rPr>
            </w:pPr>
            <w:r>
              <w:rPr>
                <w:rFonts w:ascii="宋体" w:hAnsi="宋体" w:cs="宋体"/>
                <w:color w:val="auto"/>
                <w:spacing w:val="-1"/>
                <w:sz w:val="24"/>
              </w:rPr>
              <w:t>项目不属于电磁辐射类项目，无需进行电磁辐射现状监测与评价。</w:t>
            </w:r>
          </w:p>
        </w:tc>
      </w:tr>
      <w:tr w14:paraId="51B8E6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72" w:hRule="atLeast"/>
          <w:jc w:val="center"/>
        </w:trPr>
        <w:tc>
          <w:tcPr>
            <w:tcW w:w="719" w:type="dxa"/>
            <w:tcBorders>
              <w:tl2br w:val="nil"/>
              <w:tr2bl w:val="nil"/>
            </w:tcBorders>
            <w:noWrap w:val="0"/>
            <w:vAlign w:val="center"/>
          </w:tcPr>
          <w:p w14:paraId="2837F1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color w:val="auto"/>
                <w:kern w:val="0"/>
              </w:rPr>
            </w:pPr>
            <w:r>
              <w:rPr>
                <w:rFonts w:hint="eastAsia"/>
                <w:color w:val="auto"/>
                <w:lang w:val="en-US" w:eastAsia="zh-CN"/>
              </w:rPr>
              <w:t>环</w:t>
            </w:r>
            <w:r>
              <w:rPr>
                <w:rFonts w:hint="eastAsia"/>
                <w:color w:val="auto"/>
              </w:rPr>
              <w:t>境保护目</w:t>
            </w:r>
            <w:r>
              <w:rPr>
                <w:rFonts w:hint="eastAsia" w:ascii="宋体" w:hAnsi="宋体" w:cs="宋体"/>
                <w:color w:val="auto"/>
                <w:kern w:val="0"/>
              </w:rPr>
              <w:t>标</w:t>
            </w:r>
          </w:p>
        </w:tc>
        <w:tc>
          <w:tcPr>
            <w:tcW w:w="8560" w:type="dxa"/>
            <w:tcBorders>
              <w:tl2br w:val="nil"/>
              <w:tr2bl w:val="nil"/>
            </w:tcBorders>
            <w:noWrap w:val="0"/>
            <w:vAlign w:val="center"/>
          </w:tcPr>
          <w:p w14:paraId="6C17EF93">
            <w:pPr>
              <w:keepLines w:val="0"/>
              <w:pageBreakBefore w:val="0"/>
              <w:wordWrap/>
              <w:topLinePunct w:val="0"/>
              <w:bidi w:val="0"/>
              <w:adjustRightInd w:val="0"/>
              <w:snapToGrid w:val="0"/>
              <w:ind w:left="0" w:leftChars="0" w:firstLine="0" w:firstLineChars="0"/>
              <w:textAlignment w:val="auto"/>
              <w:rPr>
                <w:rFonts w:hint="default"/>
                <w:b/>
                <w:bCs/>
                <w:color w:val="auto"/>
                <w:lang w:val="en-US" w:eastAsia="zh-CN"/>
              </w:rPr>
            </w:pPr>
            <w:r>
              <w:rPr>
                <w:rFonts w:hint="eastAsia"/>
                <w:b/>
                <w:bCs/>
                <w:color w:val="auto"/>
                <w:lang w:val="en-US" w:eastAsia="zh-CN"/>
              </w:rPr>
              <w:t>3.2环境保护目标</w:t>
            </w:r>
          </w:p>
          <w:p w14:paraId="7F1C6B91">
            <w:pPr>
              <w:keepLines w:val="0"/>
              <w:pageBreakBefore w:val="0"/>
              <w:wordWrap/>
              <w:topLinePunct w:val="0"/>
              <w:bidi w:val="0"/>
              <w:adjustRightInd w:val="0"/>
              <w:snapToGrid w:val="0"/>
              <w:ind w:left="0" w:leftChars="0" w:firstLine="0" w:firstLineChars="0"/>
              <w:textAlignment w:val="auto"/>
              <w:rPr>
                <w:rFonts w:hint="default"/>
                <w:b/>
                <w:bCs/>
                <w:color w:val="auto"/>
              </w:rPr>
            </w:pPr>
            <w:r>
              <w:rPr>
                <w:rFonts w:hint="eastAsia"/>
                <w:b/>
                <w:bCs/>
                <w:color w:val="auto"/>
                <w:lang w:val="en-US" w:eastAsia="zh-CN"/>
              </w:rPr>
              <w:t>3.2.1</w:t>
            </w:r>
            <w:r>
              <w:rPr>
                <w:rFonts w:hint="default"/>
                <w:b/>
                <w:bCs/>
                <w:color w:val="auto"/>
              </w:rPr>
              <w:t>大气环境</w:t>
            </w:r>
          </w:p>
          <w:p w14:paraId="00430D1E">
            <w:pPr>
              <w:bidi w:val="0"/>
              <w:rPr>
                <w:rFonts w:hint="eastAsia"/>
                <w:color w:val="auto"/>
                <w:lang w:val="en-US" w:eastAsia="zh-CN"/>
              </w:rPr>
            </w:pPr>
            <w:r>
              <w:rPr>
                <w:rFonts w:hint="default" w:ascii="Times New Roman" w:hAnsi="Times New Roman" w:cs="Times New Roman"/>
                <w:color w:val="auto"/>
                <w:sz w:val="24"/>
                <w:szCs w:val="24"/>
              </w:rPr>
              <w:t>项目厂界外50米范围内存在一处人才公寓，为环境大气环境敏感目标，</w:t>
            </w:r>
            <w:r>
              <w:rPr>
                <w:rFonts w:hint="default" w:ascii="Times New Roman" w:hAnsi="Times New Roman" w:cs="Times New Roman"/>
                <w:color w:val="auto"/>
                <w:sz w:val="24"/>
                <w:szCs w:val="24"/>
                <w:lang w:val="en-US" w:eastAsia="zh-CN"/>
              </w:rPr>
              <w:t>距离项目</w:t>
            </w:r>
            <w:r>
              <w:rPr>
                <w:rFonts w:hint="eastAsia" w:ascii="Times New Roman" w:hAnsi="Times New Roman" w:cs="Times New Roman"/>
                <w:color w:val="auto"/>
                <w:sz w:val="24"/>
                <w:szCs w:val="24"/>
                <w:lang w:val="en-US" w:eastAsia="zh-CN"/>
              </w:rPr>
              <w:t>西北</w:t>
            </w:r>
            <w:r>
              <w:rPr>
                <w:rFonts w:hint="default" w:ascii="Times New Roman" w:hAnsi="Times New Roman" w:cs="Times New Roman"/>
                <w:color w:val="auto"/>
                <w:sz w:val="24"/>
                <w:szCs w:val="24"/>
                <w:lang w:val="en-US" w:eastAsia="zh-CN"/>
              </w:rPr>
              <w:t>侧</w:t>
            </w:r>
            <w:r>
              <w:rPr>
                <w:rFonts w:hint="eastAsia" w:ascii="Times New Roman" w:hAnsi="Times New Roman" w:cs="Times New Roman"/>
                <w:color w:val="auto"/>
                <w:sz w:val="24"/>
                <w:szCs w:val="24"/>
                <w:lang w:val="en-US" w:eastAsia="zh-CN"/>
              </w:rPr>
              <w:t>5.47</w:t>
            </w:r>
            <w:r>
              <w:rPr>
                <w:rFonts w:hint="default" w:ascii="Times New Roman" w:hAnsi="Times New Roman" w:cs="Times New Roman"/>
                <w:color w:val="auto"/>
                <w:sz w:val="24"/>
                <w:szCs w:val="24"/>
                <w:lang w:val="en-US" w:eastAsia="zh-CN"/>
              </w:rPr>
              <w:t>m处</w:t>
            </w:r>
            <w:r>
              <w:rPr>
                <w:rFonts w:hint="default" w:ascii="Times New Roman" w:hAnsi="Times New Roman" w:cs="Times New Roman"/>
                <w:color w:val="auto"/>
                <w:sz w:val="24"/>
                <w:szCs w:val="24"/>
              </w:rPr>
              <w:t>，具体见表3-</w:t>
            </w:r>
            <w:r>
              <w:rPr>
                <w:rFonts w:hint="eastAsia" w:ascii="Times New Roman" w:hAnsi="Times New Roman" w:cs="Times New Roman"/>
                <w:color w:val="auto"/>
                <w:sz w:val="24"/>
                <w:szCs w:val="24"/>
                <w:lang w:val="en-US" w:eastAsia="zh-CN"/>
              </w:rPr>
              <w:t>4</w:t>
            </w:r>
            <w:r>
              <w:rPr>
                <w:rFonts w:hint="default" w:ascii="Times New Roman" w:hAnsi="Times New Roman" w:cs="Times New Roman"/>
                <w:color w:val="auto"/>
                <w:sz w:val="24"/>
                <w:szCs w:val="24"/>
              </w:rPr>
              <w:t>。</w:t>
            </w:r>
          </w:p>
          <w:p w14:paraId="49F6D234">
            <w:pPr>
              <w:keepLines w:val="0"/>
              <w:pageBreakBefore w:val="0"/>
              <w:wordWrap/>
              <w:topLinePunct w:val="0"/>
              <w:bidi w:val="0"/>
              <w:adjustRightInd w:val="0"/>
              <w:snapToGrid w:val="0"/>
              <w:ind w:left="0" w:leftChars="0" w:firstLine="0" w:firstLineChars="0"/>
              <w:textAlignment w:val="auto"/>
              <w:rPr>
                <w:rFonts w:hint="default"/>
                <w:color w:val="auto"/>
              </w:rPr>
            </w:pPr>
            <w:r>
              <w:rPr>
                <w:rFonts w:hint="eastAsia"/>
                <w:b/>
                <w:bCs/>
                <w:color w:val="auto"/>
                <w:lang w:val="en-US" w:eastAsia="zh-CN"/>
              </w:rPr>
              <w:t>3.2.2</w:t>
            </w:r>
            <w:r>
              <w:rPr>
                <w:rFonts w:hint="default"/>
                <w:b/>
                <w:bCs/>
                <w:color w:val="auto"/>
              </w:rPr>
              <w:t>声环境</w:t>
            </w:r>
          </w:p>
          <w:p w14:paraId="6D363C9B">
            <w:pPr>
              <w:bidi w:val="0"/>
              <w:rPr>
                <w:rFonts w:hint="eastAsia"/>
                <w:color w:val="auto"/>
                <w:lang w:val="en-US" w:eastAsia="zh-CN"/>
              </w:rPr>
            </w:pPr>
            <w:r>
              <w:rPr>
                <w:rFonts w:hint="default" w:ascii="Times New Roman" w:hAnsi="Times New Roman" w:cs="Times New Roman"/>
                <w:color w:val="auto"/>
                <w:sz w:val="24"/>
                <w:szCs w:val="24"/>
              </w:rPr>
              <w:t>项目厂界外50米范围内存在一处人才公寓，为</w:t>
            </w:r>
            <w:r>
              <w:rPr>
                <w:rFonts w:hint="eastAsia" w:cs="Times New Roman"/>
                <w:color w:val="auto"/>
                <w:sz w:val="24"/>
                <w:szCs w:val="24"/>
                <w:lang w:eastAsia="zh-CN"/>
              </w:rPr>
              <w:t>声</w:t>
            </w:r>
            <w:r>
              <w:rPr>
                <w:rFonts w:hint="default" w:ascii="Times New Roman" w:hAnsi="Times New Roman" w:cs="Times New Roman"/>
                <w:color w:val="auto"/>
                <w:sz w:val="24"/>
                <w:szCs w:val="24"/>
              </w:rPr>
              <w:t>环境</w:t>
            </w:r>
            <w:r>
              <w:rPr>
                <w:rFonts w:hint="eastAsia" w:cs="Times New Roman"/>
                <w:color w:val="auto"/>
                <w:sz w:val="24"/>
                <w:szCs w:val="24"/>
                <w:lang w:eastAsia="zh-CN"/>
              </w:rPr>
              <w:t>保护</w:t>
            </w:r>
            <w:r>
              <w:rPr>
                <w:rFonts w:hint="default" w:ascii="Times New Roman" w:hAnsi="Times New Roman" w:cs="Times New Roman"/>
                <w:color w:val="auto"/>
                <w:sz w:val="24"/>
                <w:szCs w:val="24"/>
              </w:rPr>
              <w:t>目标，</w:t>
            </w:r>
            <w:r>
              <w:rPr>
                <w:rFonts w:hint="default" w:ascii="Times New Roman" w:hAnsi="Times New Roman" w:cs="Times New Roman"/>
                <w:color w:val="auto"/>
                <w:sz w:val="24"/>
                <w:szCs w:val="24"/>
                <w:lang w:val="en-US" w:eastAsia="zh-CN"/>
              </w:rPr>
              <w:t>距离项目</w:t>
            </w:r>
            <w:r>
              <w:rPr>
                <w:rFonts w:hint="eastAsia" w:ascii="Times New Roman" w:hAnsi="Times New Roman" w:cs="Times New Roman"/>
                <w:color w:val="auto"/>
                <w:sz w:val="24"/>
                <w:szCs w:val="24"/>
                <w:lang w:val="en-US" w:eastAsia="zh-CN"/>
              </w:rPr>
              <w:t>西北</w:t>
            </w:r>
            <w:r>
              <w:rPr>
                <w:rFonts w:hint="default" w:ascii="Times New Roman" w:hAnsi="Times New Roman" w:cs="Times New Roman"/>
                <w:color w:val="auto"/>
                <w:sz w:val="24"/>
                <w:szCs w:val="24"/>
                <w:lang w:val="en-US" w:eastAsia="zh-CN"/>
              </w:rPr>
              <w:t>侧</w:t>
            </w:r>
            <w:r>
              <w:rPr>
                <w:rFonts w:hint="eastAsia" w:ascii="Times New Roman" w:hAnsi="Times New Roman" w:cs="Times New Roman"/>
                <w:color w:val="auto"/>
                <w:sz w:val="24"/>
                <w:szCs w:val="24"/>
                <w:lang w:val="en-US" w:eastAsia="zh-CN"/>
              </w:rPr>
              <w:t>5.47</w:t>
            </w:r>
            <w:r>
              <w:rPr>
                <w:rFonts w:hint="default" w:ascii="Times New Roman" w:hAnsi="Times New Roman" w:cs="Times New Roman"/>
                <w:color w:val="auto"/>
                <w:sz w:val="24"/>
                <w:szCs w:val="24"/>
                <w:lang w:val="en-US" w:eastAsia="zh-CN"/>
              </w:rPr>
              <w:t>m处</w:t>
            </w:r>
            <w:r>
              <w:rPr>
                <w:rFonts w:hint="default" w:ascii="Times New Roman" w:hAnsi="Times New Roman" w:cs="Times New Roman"/>
                <w:color w:val="auto"/>
                <w:sz w:val="24"/>
                <w:szCs w:val="24"/>
              </w:rPr>
              <w:t>，具体见表3-</w:t>
            </w:r>
            <w:r>
              <w:rPr>
                <w:rFonts w:hint="eastAsia" w:ascii="Times New Roman" w:hAnsi="Times New Roman" w:cs="Times New Roman"/>
                <w:color w:val="auto"/>
                <w:sz w:val="24"/>
                <w:szCs w:val="24"/>
                <w:lang w:val="en-US" w:eastAsia="zh-CN"/>
              </w:rPr>
              <w:t>4</w:t>
            </w:r>
            <w:r>
              <w:rPr>
                <w:rFonts w:hint="default" w:ascii="Times New Roman" w:hAnsi="Times New Roman" w:cs="Times New Roman"/>
                <w:color w:val="auto"/>
                <w:sz w:val="24"/>
                <w:szCs w:val="24"/>
              </w:rPr>
              <w:t>。</w:t>
            </w:r>
          </w:p>
          <w:p w14:paraId="2F5E7F94">
            <w:pPr>
              <w:keepLines w:val="0"/>
              <w:pageBreakBefore w:val="0"/>
              <w:wordWrap/>
              <w:topLinePunct w:val="0"/>
              <w:bidi w:val="0"/>
              <w:adjustRightInd w:val="0"/>
              <w:snapToGrid w:val="0"/>
              <w:ind w:left="0" w:leftChars="0" w:firstLine="0" w:firstLineChars="0"/>
              <w:textAlignment w:val="auto"/>
              <w:rPr>
                <w:rFonts w:hint="default"/>
                <w:color w:val="auto"/>
              </w:rPr>
            </w:pPr>
            <w:r>
              <w:rPr>
                <w:rFonts w:hint="eastAsia"/>
                <w:b/>
                <w:bCs/>
                <w:color w:val="auto"/>
                <w:lang w:val="en-US" w:eastAsia="zh-CN"/>
              </w:rPr>
              <w:t>3.2.3</w:t>
            </w:r>
            <w:r>
              <w:rPr>
                <w:rFonts w:hint="default"/>
                <w:b/>
                <w:bCs/>
                <w:color w:val="auto"/>
              </w:rPr>
              <w:t>地下水环境</w:t>
            </w:r>
          </w:p>
          <w:p w14:paraId="3C6AB8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color w:val="auto"/>
                <w:lang w:val="en-US" w:eastAsia="zh-CN"/>
              </w:rPr>
            </w:pPr>
            <w:r>
              <w:rPr>
                <w:rFonts w:hint="default" w:ascii="Times New Roman" w:hAnsi="Times New Roman" w:cs="Times New Roman"/>
                <w:color w:val="auto"/>
                <w:sz w:val="24"/>
                <w:szCs w:val="24"/>
              </w:rPr>
              <w:t>项目厂界外500米范围内无地下水集中式饮用水水源和热水、矿泉水、温泉等特殊地下水资源</w:t>
            </w:r>
            <w:r>
              <w:rPr>
                <w:rFonts w:hint="default" w:ascii="Times New Roman" w:hAnsi="Times New Roman" w:cs="Times New Roman"/>
                <w:color w:val="auto"/>
                <w:sz w:val="24"/>
                <w:szCs w:val="24"/>
                <w:lang w:eastAsia="zh-CN"/>
              </w:rPr>
              <w:t>。</w:t>
            </w:r>
          </w:p>
          <w:p w14:paraId="54C0DBDD">
            <w:pPr>
              <w:keepLines w:val="0"/>
              <w:pageBreakBefore w:val="0"/>
              <w:wordWrap/>
              <w:topLinePunct w:val="0"/>
              <w:bidi w:val="0"/>
              <w:adjustRightInd w:val="0"/>
              <w:snapToGrid w:val="0"/>
              <w:ind w:left="0" w:leftChars="0" w:firstLine="0" w:firstLineChars="0"/>
              <w:textAlignment w:val="auto"/>
              <w:rPr>
                <w:rFonts w:hint="default"/>
                <w:b/>
                <w:bCs/>
                <w:color w:val="auto"/>
              </w:rPr>
            </w:pPr>
            <w:r>
              <w:rPr>
                <w:rFonts w:hint="eastAsia"/>
                <w:b/>
                <w:bCs/>
                <w:color w:val="auto"/>
                <w:lang w:val="en-US" w:eastAsia="zh-CN"/>
              </w:rPr>
              <w:t>3.2.4</w:t>
            </w:r>
            <w:r>
              <w:rPr>
                <w:rFonts w:hint="default"/>
                <w:b/>
                <w:bCs/>
                <w:color w:val="auto"/>
              </w:rPr>
              <w:t>生态环境</w:t>
            </w:r>
          </w:p>
          <w:p w14:paraId="2E2EA075">
            <w:pPr>
              <w:adjustRightInd w:val="0"/>
              <w:snapToGrid w:val="0"/>
              <w:spacing w:line="360" w:lineRule="auto"/>
              <w:ind w:firstLine="480" w:firstLineChars="200"/>
              <w:rPr>
                <w:rFonts w:hint="default"/>
                <w:b/>
                <w:bCs/>
                <w:color w:val="auto"/>
              </w:rPr>
            </w:pPr>
            <w:r>
              <w:rPr>
                <w:rFonts w:hint="default" w:ascii="Times New Roman" w:hAnsi="Times New Roman" w:cs="Times New Roman"/>
                <w:color w:val="auto"/>
                <w:sz w:val="24"/>
                <w:szCs w:val="24"/>
              </w:rPr>
              <w:t>项目位于安徽省池州市青阳县经济开发区东河园区安徽赛王仓储有限公司厂区内，</w:t>
            </w:r>
            <w:r>
              <w:rPr>
                <w:rFonts w:hint="eastAsia"/>
                <w:color w:val="auto"/>
                <w:szCs w:val="21"/>
                <w:lang w:eastAsia="zh-CN"/>
              </w:rPr>
              <w:t>属于安徽青阳经济</w:t>
            </w:r>
            <w:r>
              <w:rPr>
                <w:color w:val="auto"/>
                <w:szCs w:val="21"/>
              </w:rPr>
              <w:t>开发区（</w:t>
            </w:r>
            <w:r>
              <w:rPr>
                <w:rFonts w:hint="eastAsia"/>
                <w:color w:val="auto"/>
                <w:szCs w:val="21"/>
                <w:lang w:eastAsia="zh-CN"/>
              </w:rPr>
              <w:t>东河园区</w:t>
            </w:r>
            <w:r>
              <w:rPr>
                <w:color w:val="auto"/>
                <w:szCs w:val="21"/>
              </w:rPr>
              <w:t>）规划范围内，</w:t>
            </w:r>
            <w:r>
              <w:rPr>
                <w:rFonts w:hint="default" w:ascii="Times New Roman" w:hAnsi="Times New Roman" w:cs="Times New Roman"/>
                <w:color w:val="auto"/>
                <w:sz w:val="24"/>
                <w:szCs w:val="24"/>
              </w:rPr>
              <w:t>项目用地范围内无生态环境保护目标。</w:t>
            </w:r>
          </w:p>
          <w:p w14:paraId="13F758A2">
            <w:pPr>
              <w:pStyle w:val="38"/>
              <w:bidi w:val="0"/>
              <w:rPr>
                <w:rFonts w:hint="default" w:ascii="Times New Roman" w:hAnsi="Times New Roman" w:cs="Times New Roman"/>
                <w:color w:val="auto"/>
                <w:sz w:val="21"/>
                <w:szCs w:val="21"/>
              </w:rPr>
            </w:pPr>
          </w:p>
          <w:p w14:paraId="6DBCF7AA">
            <w:pPr>
              <w:pStyle w:val="38"/>
              <w:bidi w:val="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表</w:t>
            </w:r>
            <w:r>
              <w:rPr>
                <w:rFonts w:hint="default" w:ascii="Times New Roman" w:hAnsi="Times New Roman" w:cs="Times New Roman"/>
                <w:color w:val="auto"/>
                <w:sz w:val="21"/>
                <w:szCs w:val="21"/>
                <w:lang w:val="en-US" w:eastAsia="zh-CN"/>
              </w:rPr>
              <w:t xml:space="preserve">3-4  </w:t>
            </w:r>
            <w:r>
              <w:rPr>
                <w:rFonts w:hint="default" w:ascii="Times New Roman" w:hAnsi="Times New Roman" w:cs="Times New Roman"/>
                <w:color w:val="auto"/>
                <w:sz w:val="21"/>
                <w:szCs w:val="21"/>
              </w:rPr>
              <w:t>项目厂区周边环境保护目标汇总一览表</w:t>
            </w:r>
          </w:p>
          <w:tbl>
            <w:tblPr>
              <w:tblStyle w:val="31"/>
              <w:tblW w:w="841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76"/>
              <w:gridCol w:w="1015"/>
              <w:gridCol w:w="933"/>
              <w:gridCol w:w="885"/>
              <w:gridCol w:w="659"/>
              <w:gridCol w:w="796"/>
              <w:gridCol w:w="1766"/>
              <w:gridCol w:w="750"/>
              <w:gridCol w:w="834"/>
            </w:tblGrid>
            <w:tr w14:paraId="1628B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22" w:hRule="atLeast"/>
                <w:jc w:val="center"/>
              </w:trPr>
              <w:tc>
                <w:tcPr>
                  <w:tcW w:w="461" w:type="pct"/>
                  <w:vMerge w:val="restart"/>
                  <w:tcBorders>
                    <w:tl2br w:val="nil"/>
                    <w:tr2bl w:val="nil"/>
                  </w:tcBorders>
                  <w:noWrap w:val="0"/>
                  <w:vAlign w:val="center"/>
                </w:tcPr>
                <w:p w14:paraId="4FA7B6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环境要素</w:t>
                  </w:r>
                </w:p>
              </w:tc>
              <w:tc>
                <w:tcPr>
                  <w:tcW w:w="603" w:type="pct"/>
                  <w:vMerge w:val="restart"/>
                  <w:tcBorders>
                    <w:tl2br w:val="nil"/>
                    <w:tr2bl w:val="nil"/>
                  </w:tcBorders>
                  <w:noWrap w:val="0"/>
                  <w:vAlign w:val="center"/>
                </w:tcPr>
                <w:p w14:paraId="12B722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保护目标</w:t>
                  </w:r>
                </w:p>
              </w:tc>
              <w:tc>
                <w:tcPr>
                  <w:tcW w:w="1080" w:type="pct"/>
                  <w:gridSpan w:val="2"/>
                  <w:tcBorders>
                    <w:tl2br w:val="nil"/>
                    <w:tr2bl w:val="nil"/>
                  </w:tcBorders>
                  <w:noWrap w:val="0"/>
                  <w:vAlign w:val="center"/>
                </w:tcPr>
                <w:p w14:paraId="72B0B5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坐标</w:t>
                  </w:r>
                </w:p>
              </w:tc>
              <w:tc>
                <w:tcPr>
                  <w:tcW w:w="391" w:type="pct"/>
                  <w:vMerge w:val="restart"/>
                  <w:tcBorders>
                    <w:tl2br w:val="nil"/>
                    <w:tr2bl w:val="nil"/>
                  </w:tcBorders>
                  <w:noWrap w:val="0"/>
                  <w:vAlign w:val="center"/>
                </w:tcPr>
                <w:p w14:paraId="2982A0F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保护对象</w:t>
                  </w:r>
                </w:p>
              </w:tc>
              <w:tc>
                <w:tcPr>
                  <w:tcW w:w="473" w:type="pct"/>
                  <w:vMerge w:val="restart"/>
                  <w:tcBorders>
                    <w:tl2br w:val="nil"/>
                    <w:tr2bl w:val="nil"/>
                  </w:tcBorders>
                  <w:noWrap w:val="0"/>
                  <w:vAlign w:val="center"/>
                </w:tcPr>
                <w:p w14:paraId="7F2F081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保护内容（人口）</w:t>
                  </w:r>
                </w:p>
              </w:tc>
              <w:tc>
                <w:tcPr>
                  <w:tcW w:w="1049" w:type="pct"/>
                  <w:vMerge w:val="restart"/>
                  <w:tcBorders>
                    <w:tl2br w:val="nil"/>
                    <w:tr2bl w:val="nil"/>
                  </w:tcBorders>
                  <w:noWrap w:val="0"/>
                  <w:vAlign w:val="center"/>
                </w:tcPr>
                <w:p w14:paraId="69C5AA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环境功能</w:t>
                  </w:r>
                </w:p>
              </w:tc>
              <w:tc>
                <w:tcPr>
                  <w:tcW w:w="445" w:type="pct"/>
                  <w:vMerge w:val="restart"/>
                  <w:tcBorders>
                    <w:tl2br w:val="nil"/>
                    <w:tr2bl w:val="nil"/>
                  </w:tcBorders>
                  <w:noWrap w:val="0"/>
                  <w:vAlign w:val="center"/>
                </w:tcPr>
                <w:p w14:paraId="3CEE7C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相对厂址方位</w:t>
                  </w:r>
                </w:p>
              </w:tc>
              <w:tc>
                <w:tcPr>
                  <w:tcW w:w="495" w:type="pct"/>
                  <w:vMerge w:val="restart"/>
                  <w:tcBorders>
                    <w:tl2br w:val="nil"/>
                    <w:tr2bl w:val="nil"/>
                  </w:tcBorders>
                  <w:noWrap w:val="0"/>
                  <w:vAlign w:val="center"/>
                </w:tcPr>
                <w:p w14:paraId="3255950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相对厂址距离/m</w:t>
                  </w:r>
                </w:p>
              </w:tc>
            </w:tr>
            <w:tr w14:paraId="2B886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7" w:hRule="atLeast"/>
                <w:jc w:val="center"/>
              </w:trPr>
              <w:tc>
                <w:tcPr>
                  <w:tcW w:w="461" w:type="pct"/>
                  <w:vMerge w:val="continue"/>
                  <w:tcBorders>
                    <w:tl2br w:val="nil"/>
                    <w:tr2bl w:val="nil"/>
                  </w:tcBorders>
                  <w:noWrap w:val="0"/>
                  <w:vAlign w:val="center"/>
                </w:tcPr>
                <w:p w14:paraId="48414E5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603" w:type="pct"/>
                  <w:vMerge w:val="continue"/>
                  <w:tcBorders>
                    <w:tl2br w:val="nil"/>
                    <w:tr2bl w:val="nil"/>
                  </w:tcBorders>
                  <w:noWrap w:val="0"/>
                  <w:vAlign w:val="center"/>
                </w:tcPr>
                <w:p w14:paraId="3409585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554" w:type="pct"/>
                  <w:tcBorders>
                    <w:tl2br w:val="nil"/>
                    <w:tr2bl w:val="nil"/>
                  </w:tcBorders>
                  <w:noWrap w:val="0"/>
                  <w:vAlign w:val="center"/>
                </w:tcPr>
                <w:p w14:paraId="2ACB6BF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经度</w:t>
                  </w:r>
                </w:p>
              </w:tc>
              <w:tc>
                <w:tcPr>
                  <w:tcW w:w="525" w:type="pct"/>
                  <w:tcBorders>
                    <w:tl2br w:val="nil"/>
                    <w:tr2bl w:val="nil"/>
                  </w:tcBorders>
                  <w:noWrap w:val="0"/>
                  <w:vAlign w:val="center"/>
                </w:tcPr>
                <w:p w14:paraId="25E8D4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纬度</w:t>
                  </w:r>
                </w:p>
              </w:tc>
              <w:tc>
                <w:tcPr>
                  <w:tcW w:w="391" w:type="pct"/>
                  <w:vMerge w:val="continue"/>
                  <w:tcBorders>
                    <w:tl2br w:val="nil"/>
                    <w:tr2bl w:val="nil"/>
                  </w:tcBorders>
                  <w:noWrap w:val="0"/>
                  <w:vAlign w:val="center"/>
                </w:tcPr>
                <w:p w14:paraId="05CDB14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473" w:type="pct"/>
                  <w:vMerge w:val="continue"/>
                  <w:tcBorders>
                    <w:tl2br w:val="nil"/>
                    <w:tr2bl w:val="nil"/>
                  </w:tcBorders>
                  <w:noWrap w:val="0"/>
                  <w:vAlign w:val="center"/>
                </w:tcPr>
                <w:p w14:paraId="5B89D6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1049" w:type="pct"/>
                  <w:vMerge w:val="continue"/>
                  <w:tcBorders>
                    <w:tl2br w:val="nil"/>
                    <w:tr2bl w:val="nil"/>
                  </w:tcBorders>
                  <w:noWrap w:val="0"/>
                  <w:vAlign w:val="center"/>
                </w:tcPr>
                <w:p w14:paraId="30E14AF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445" w:type="pct"/>
                  <w:vMerge w:val="continue"/>
                  <w:tcBorders>
                    <w:tl2br w:val="nil"/>
                    <w:tr2bl w:val="nil"/>
                  </w:tcBorders>
                  <w:noWrap w:val="0"/>
                  <w:vAlign w:val="center"/>
                </w:tcPr>
                <w:p w14:paraId="47D32A0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495" w:type="pct"/>
                  <w:vMerge w:val="continue"/>
                  <w:tcBorders>
                    <w:tl2br w:val="nil"/>
                    <w:tr2bl w:val="nil"/>
                  </w:tcBorders>
                  <w:noWrap w:val="0"/>
                  <w:vAlign w:val="center"/>
                </w:tcPr>
                <w:p w14:paraId="7BA0926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r>
            <w:tr w14:paraId="6C938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461" w:type="pct"/>
                  <w:tcBorders>
                    <w:tl2br w:val="nil"/>
                    <w:tr2bl w:val="nil"/>
                  </w:tcBorders>
                  <w:noWrap w:val="0"/>
                  <w:vAlign w:val="center"/>
                </w:tcPr>
                <w:p w14:paraId="1FAC07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大气环境</w:t>
                  </w:r>
                </w:p>
              </w:tc>
              <w:tc>
                <w:tcPr>
                  <w:tcW w:w="603" w:type="pct"/>
                  <w:tcBorders>
                    <w:tl2br w:val="nil"/>
                    <w:tr2bl w:val="nil"/>
                  </w:tcBorders>
                  <w:noWrap w:val="0"/>
                  <w:vAlign w:val="center"/>
                </w:tcPr>
                <w:p w14:paraId="3D9FB23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人才公寓</w:t>
                  </w:r>
                </w:p>
              </w:tc>
              <w:tc>
                <w:tcPr>
                  <w:tcW w:w="554" w:type="pct"/>
                  <w:tcBorders>
                    <w:tl2br w:val="nil"/>
                    <w:tr2bl w:val="nil"/>
                  </w:tcBorders>
                  <w:noWrap w:val="0"/>
                  <w:vAlign w:val="center"/>
                </w:tcPr>
                <w:p w14:paraId="5A2F35B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117.893599</w:t>
                  </w:r>
                </w:p>
              </w:tc>
              <w:tc>
                <w:tcPr>
                  <w:tcW w:w="525" w:type="pct"/>
                  <w:tcBorders>
                    <w:tl2br w:val="nil"/>
                    <w:tr2bl w:val="nil"/>
                  </w:tcBorders>
                  <w:noWrap w:val="0"/>
                  <w:vAlign w:val="center"/>
                </w:tcPr>
                <w:p w14:paraId="3531DD6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30.635571</w:t>
                  </w:r>
                </w:p>
              </w:tc>
              <w:tc>
                <w:tcPr>
                  <w:tcW w:w="391" w:type="pct"/>
                  <w:tcBorders>
                    <w:tl2br w:val="nil"/>
                    <w:tr2bl w:val="nil"/>
                  </w:tcBorders>
                  <w:noWrap w:val="0"/>
                  <w:vAlign w:val="center"/>
                </w:tcPr>
                <w:p w14:paraId="5B6735F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eastAsia="zh-CN"/>
                    </w:rPr>
                  </w:pPr>
                  <w:r>
                    <w:rPr>
                      <w:rFonts w:hint="default" w:ascii="Times New Roman" w:hAnsi="Times New Roman" w:cs="Times New Roman"/>
                      <w:b w:val="0"/>
                      <w:bCs/>
                      <w:color w:val="auto"/>
                      <w:sz w:val="21"/>
                      <w:szCs w:val="21"/>
                      <w:lang w:val="en-US" w:eastAsia="zh-CN"/>
                    </w:rPr>
                    <w:t>员工</w:t>
                  </w:r>
                </w:p>
              </w:tc>
              <w:tc>
                <w:tcPr>
                  <w:tcW w:w="473" w:type="pct"/>
                  <w:tcBorders>
                    <w:tl2br w:val="nil"/>
                    <w:tr2bl w:val="nil"/>
                  </w:tcBorders>
                  <w:noWrap w:val="0"/>
                  <w:vAlign w:val="center"/>
                </w:tcPr>
                <w:p w14:paraId="4839079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50</w:t>
                  </w:r>
                </w:p>
              </w:tc>
              <w:tc>
                <w:tcPr>
                  <w:tcW w:w="1049" w:type="pct"/>
                  <w:tcBorders>
                    <w:tl2br w:val="nil"/>
                    <w:tr2bl w:val="nil"/>
                  </w:tcBorders>
                  <w:noWrap w:val="0"/>
                  <w:vAlign w:val="center"/>
                </w:tcPr>
                <w:p w14:paraId="5528F60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rPr>
                    <w:t>《环境空气质量标准》（GB3095-2012）中的二</w:t>
                  </w:r>
                  <w:r>
                    <w:rPr>
                      <w:rFonts w:hint="default" w:ascii="Times New Roman" w:hAnsi="Times New Roman" w:cs="Times New Roman"/>
                      <w:b w:val="0"/>
                      <w:bCs/>
                      <w:color w:val="auto"/>
                      <w:sz w:val="21"/>
                      <w:szCs w:val="21"/>
                      <w:lang w:val="en-US" w:eastAsia="zh-CN"/>
                    </w:rPr>
                    <w:t>类区</w:t>
                  </w:r>
                </w:p>
              </w:tc>
              <w:tc>
                <w:tcPr>
                  <w:tcW w:w="445" w:type="pct"/>
                  <w:tcBorders>
                    <w:tl2br w:val="nil"/>
                    <w:tr2bl w:val="nil"/>
                  </w:tcBorders>
                  <w:noWrap w:val="0"/>
                  <w:vAlign w:val="center"/>
                </w:tcPr>
                <w:p w14:paraId="2CD7FD7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NW</w:t>
                  </w:r>
                </w:p>
              </w:tc>
              <w:tc>
                <w:tcPr>
                  <w:tcW w:w="495" w:type="pct"/>
                  <w:tcBorders>
                    <w:tl2br w:val="nil"/>
                    <w:tr2bl w:val="nil"/>
                  </w:tcBorders>
                  <w:noWrap w:val="0"/>
                  <w:vAlign w:val="center"/>
                </w:tcPr>
                <w:p w14:paraId="04A1FD2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5.47</w:t>
                  </w:r>
                </w:p>
              </w:tc>
            </w:tr>
            <w:tr w14:paraId="553A1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461" w:type="pct"/>
                  <w:tcBorders>
                    <w:tl2br w:val="nil"/>
                    <w:tr2bl w:val="nil"/>
                  </w:tcBorders>
                  <w:noWrap w:val="0"/>
                  <w:vAlign w:val="center"/>
                </w:tcPr>
                <w:p w14:paraId="1D1E5C1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声环境</w:t>
                  </w:r>
                </w:p>
              </w:tc>
              <w:tc>
                <w:tcPr>
                  <w:tcW w:w="603" w:type="pct"/>
                  <w:tcBorders>
                    <w:tl2br w:val="nil"/>
                    <w:tr2bl w:val="nil"/>
                  </w:tcBorders>
                  <w:noWrap w:val="0"/>
                  <w:vAlign w:val="center"/>
                </w:tcPr>
                <w:p w14:paraId="621E4D8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人才公寓</w:t>
                  </w:r>
                </w:p>
              </w:tc>
              <w:tc>
                <w:tcPr>
                  <w:tcW w:w="554" w:type="pct"/>
                  <w:tcBorders>
                    <w:tl2br w:val="nil"/>
                    <w:tr2bl w:val="nil"/>
                  </w:tcBorders>
                  <w:noWrap w:val="0"/>
                  <w:vAlign w:val="center"/>
                </w:tcPr>
                <w:p w14:paraId="7CD1BD5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117.893599</w:t>
                  </w:r>
                </w:p>
              </w:tc>
              <w:tc>
                <w:tcPr>
                  <w:tcW w:w="525" w:type="pct"/>
                  <w:tcBorders>
                    <w:tl2br w:val="nil"/>
                    <w:tr2bl w:val="nil"/>
                  </w:tcBorders>
                  <w:noWrap w:val="0"/>
                  <w:vAlign w:val="center"/>
                </w:tcPr>
                <w:p w14:paraId="6E6C224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30.635571</w:t>
                  </w:r>
                </w:p>
              </w:tc>
              <w:tc>
                <w:tcPr>
                  <w:tcW w:w="391" w:type="pct"/>
                  <w:tcBorders>
                    <w:tl2br w:val="nil"/>
                    <w:tr2bl w:val="nil"/>
                  </w:tcBorders>
                  <w:noWrap w:val="0"/>
                  <w:vAlign w:val="center"/>
                </w:tcPr>
                <w:p w14:paraId="5A9755E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员工</w:t>
                  </w:r>
                </w:p>
              </w:tc>
              <w:tc>
                <w:tcPr>
                  <w:tcW w:w="473" w:type="pct"/>
                  <w:tcBorders>
                    <w:tl2br w:val="nil"/>
                    <w:tr2bl w:val="nil"/>
                  </w:tcBorders>
                  <w:noWrap w:val="0"/>
                  <w:vAlign w:val="center"/>
                </w:tcPr>
                <w:p w14:paraId="1823A11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50</w:t>
                  </w:r>
                </w:p>
              </w:tc>
              <w:tc>
                <w:tcPr>
                  <w:tcW w:w="1049" w:type="pct"/>
                  <w:tcBorders>
                    <w:tl2br w:val="nil"/>
                    <w:tr2bl w:val="nil"/>
                  </w:tcBorders>
                  <w:noWrap w:val="0"/>
                  <w:vAlign w:val="center"/>
                </w:tcPr>
                <w:p w14:paraId="47D79F4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w:t>
                  </w:r>
                  <w:r>
                    <w:rPr>
                      <w:rFonts w:hint="default" w:ascii="Times New Roman" w:hAnsi="Times New Roman" w:cs="Times New Roman"/>
                      <w:b w:val="0"/>
                      <w:bCs/>
                      <w:color w:val="auto"/>
                      <w:sz w:val="21"/>
                      <w:szCs w:val="21"/>
                      <w:lang w:eastAsia="zh-CN"/>
                    </w:rPr>
                    <w:t>声环境</w:t>
                  </w:r>
                  <w:r>
                    <w:rPr>
                      <w:rFonts w:hint="default" w:ascii="Times New Roman" w:hAnsi="Times New Roman" w:cs="Times New Roman"/>
                      <w:b w:val="0"/>
                      <w:bCs/>
                      <w:color w:val="auto"/>
                      <w:sz w:val="21"/>
                      <w:szCs w:val="21"/>
                    </w:rPr>
                    <w:t>质量标准》（</w:t>
                  </w:r>
                  <w:r>
                    <w:rPr>
                      <w:rFonts w:hint="default" w:ascii="Times New Roman" w:hAnsi="Times New Roman" w:cs="Times New Roman"/>
                      <w:b w:val="0"/>
                      <w:bCs/>
                      <w:color w:val="auto"/>
                      <w:sz w:val="21"/>
                      <w:szCs w:val="21"/>
                      <w:lang w:val="en-US" w:eastAsia="zh-CN"/>
                    </w:rPr>
                    <w:t>GB3096-2008</w:t>
                  </w:r>
                  <w:r>
                    <w:rPr>
                      <w:rFonts w:hint="default" w:ascii="Times New Roman" w:hAnsi="Times New Roman" w:cs="Times New Roman"/>
                      <w:b w:val="0"/>
                      <w:bCs/>
                      <w:color w:val="auto"/>
                      <w:sz w:val="21"/>
                      <w:szCs w:val="21"/>
                    </w:rPr>
                    <w:t>）</w:t>
                  </w:r>
                  <w:r>
                    <w:rPr>
                      <w:rFonts w:hint="default" w:ascii="Times New Roman" w:hAnsi="Times New Roman" w:cs="Times New Roman"/>
                      <w:b w:val="0"/>
                      <w:bCs/>
                      <w:color w:val="auto"/>
                      <w:sz w:val="21"/>
                      <w:szCs w:val="21"/>
                      <w:lang w:val="en-US" w:eastAsia="zh-CN"/>
                    </w:rPr>
                    <w:t>中三类区</w:t>
                  </w:r>
                </w:p>
              </w:tc>
              <w:tc>
                <w:tcPr>
                  <w:tcW w:w="445" w:type="pct"/>
                  <w:tcBorders>
                    <w:tl2br w:val="nil"/>
                    <w:tr2bl w:val="nil"/>
                  </w:tcBorders>
                  <w:noWrap w:val="0"/>
                  <w:vAlign w:val="center"/>
                </w:tcPr>
                <w:p w14:paraId="544DF42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NW</w:t>
                  </w:r>
                </w:p>
              </w:tc>
              <w:tc>
                <w:tcPr>
                  <w:tcW w:w="495" w:type="pct"/>
                  <w:tcBorders>
                    <w:tl2br w:val="nil"/>
                    <w:tr2bl w:val="nil"/>
                  </w:tcBorders>
                  <w:noWrap w:val="0"/>
                  <w:vAlign w:val="center"/>
                </w:tcPr>
                <w:p w14:paraId="00134ED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5.47</w:t>
                  </w:r>
                </w:p>
              </w:tc>
            </w:tr>
          </w:tbl>
          <w:p w14:paraId="03FE29D2">
            <w:pPr>
              <w:bidi w:val="0"/>
              <w:ind w:left="0" w:leftChars="0" w:firstLine="0" w:firstLineChars="0"/>
              <w:rPr>
                <w:rFonts w:hint="default"/>
                <w:color w:val="auto"/>
              </w:rPr>
            </w:pPr>
          </w:p>
        </w:tc>
      </w:tr>
      <w:tr w14:paraId="24EE8E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19" w:type="dxa"/>
            <w:tcBorders>
              <w:tl2br w:val="nil"/>
              <w:tr2bl w:val="nil"/>
            </w:tcBorders>
            <w:noWrap w:val="0"/>
            <w:tcMar>
              <w:left w:w="28" w:type="dxa"/>
              <w:right w:w="28" w:type="dxa"/>
            </w:tcMar>
            <w:vAlign w:val="center"/>
          </w:tcPr>
          <w:p w14:paraId="6886E3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宋体" w:hAnsi="宋体" w:cs="宋体"/>
                <w:color w:val="auto"/>
                <w:kern w:val="0"/>
                <w:sz w:val="24"/>
                <w:highlight w:val="yellow"/>
              </w:rPr>
            </w:pPr>
            <w:r>
              <w:rPr>
                <w:rFonts w:hint="eastAsia" w:ascii="宋体" w:hAnsi="宋体" w:cs="宋体"/>
                <w:color w:val="auto"/>
                <w:kern w:val="0"/>
                <w:sz w:val="24"/>
                <w:highlight w:val="none"/>
              </w:rPr>
              <w:t>污染物排放控制标准</w:t>
            </w:r>
          </w:p>
        </w:tc>
        <w:tc>
          <w:tcPr>
            <w:tcW w:w="8560" w:type="dxa"/>
            <w:tcBorders>
              <w:tl2br w:val="nil"/>
              <w:tr2bl w:val="nil"/>
            </w:tcBorders>
            <w:noWrap w:val="0"/>
            <w:vAlign w:val="center"/>
          </w:tcPr>
          <w:p w14:paraId="2D859FB2">
            <w:pPr>
              <w:keepLines w:val="0"/>
              <w:pageBreakBefore w:val="0"/>
              <w:wordWrap/>
              <w:topLinePunct w:val="0"/>
              <w:bidi w:val="0"/>
              <w:adjustRightInd w:val="0"/>
              <w:snapToGrid w:val="0"/>
              <w:ind w:left="0" w:leftChars="0" w:firstLine="0" w:firstLineChars="0"/>
              <w:textAlignment w:val="auto"/>
              <w:rPr>
                <w:rFonts w:hint="default"/>
                <w:color w:val="auto"/>
                <w:lang w:val="en-US" w:eastAsia="zh-CN"/>
              </w:rPr>
            </w:pPr>
            <w:r>
              <w:rPr>
                <w:rFonts w:hint="eastAsia"/>
                <w:b/>
                <w:bCs/>
                <w:color w:val="auto"/>
                <w:lang w:val="en-US" w:eastAsia="zh-CN"/>
              </w:rPr>
              <w:t>3.3排放控制标准</w:t>
            </w:r>
          </w:p>
          <w:p w14:paraId="12E9B1FC">
            <w:pPr>
              <w:keepLines w:val="0"/>
              <w:pageBreakBefore w:val="0"/>
              <w:wordWrap/>
              <w:topLinePunct w:val="0"/>
              <w:bidi w:val="0"/>
              <w:adjustRightInd w:val="0"/>
              <w:snapToGrid w:val="0"/>
              <w:ind w:left="0" w:leftChars="0" w:firstLine="0" w:firstLineChars="0"/>
              <w:textAlignment w:val="auto"/>
              <w:rPr>
                <w:rFonts w:hint="default"/>
                <w:color w:val="auto"/>
              </w:rPr>
            </w:pPr>
            <w:r>
              <w:rPr>
                <w:rFonts w:hint="eastAsia"/>
                <w:b/>
                <w:bCs/>
                <w:color w:val="auto"/>
                <w:lang w:val="en-US" w:eastAsia="zh-CN"/>
              </w:rPr>
              <w:t>3.3.1</w:t>
            </w:r>
            <w:r>
              <w:rPr>
                <w:rFonts w:hint="default"/>
                <w:b/>
                <w:bCs/>
                <w:color w:val="auto"/>
              </w:rPr>
              <w:t>废气</w:t>
            </w:r>
            <w:r>
              <w:rPr>
                <w:rFonts w:hint="eastAsia"/>
                <w:b/>
                <w:bCs/>
                <w:color w:val="auto"/>
              </w:rPr>
              <w:t>污染物排放控制标准</w:t>
            </w:r>
          </w:p>
          <w:p w14:paraId="0F34786A">
            <w:pPr>
              <w:widowControl/>
              <w:ind w:firstLine="420"/>
              <w:rPr>
                <w:color w:val="auto"/>
                <w:kern w:val="0"/>
                <w:szCs w:val="21"/>
              </w:rPr>
            </w:pPr>
            <w:r>
              <w:rPr>
                <w:rFonts w:eastAsiaTheme="minorEastAsia"/>
                <w:color w:val="auto"/>
                <w:szCs w:val="21"/>
              </w:rPr>
              <w:t>本项目</w:t>
            </w:r>
            <w:r>
              <w:rPr>
                <w:rFonts w:hint="eastAsia" w:eastAsiaTheme="minorEastAsia"/>
                <w:color w:val="auto"/>
                <w:szCs w:val="21"/>
                <w:lang w:val="en-US" w:eastAsia="zh-CN"/>
              </w:rPr>
              <w:t>营运期</w:t>
            </w:r>
            <w:r>
              <w:rPr>
                <w:rFonts w:eastAsiaTheme="minorEastAsia"/>
                <w:color w:val="auto"/>
                <w:szCs w:val="21"/>
              </w:rPr>
              <w:t>排放的废气为颗粒物</w:t>
            </w:r>
            <w:r>
              <w:rPr>
                <w:rFonts w:hint="eastAsia" w:eastAsiaTheme="minorEastAsia"/>
                <w:color w:val="auto"/>
                <w:szCs w:val="21"/>
                <w:lang w:eastAsia="zh-CN"/>
              </w:rPr>
              <w:t>（含锡及其化合物）</w:t>
            </w:r>
            <w:r>
              <w:rPr>
                <w:rFonts w:eastAsiaTheme="minorEastAsia"/>
                <w:color w:val="auto"/>
                <w:szCs w:val="21"/>
              </w:rPr>
              <w:t>和非甲烷总烃，非甲烷总烃</w:t>
            </w:r>
            <w:r>
              <w:rPr>
                <w:rFonts w:hint="eastAsia" w:eastAsiaTheme="minorEastAsia"/>
                <w:color w:val="auto"/>
                <w:szCs w:val="21"/>
              </w:rPr>
              <w:t>有组织排放</w:t>
            </w:r>
            <w:r>
              <w:rPr>
                <w:rFonts w:eastAsiaTheme="minorEastAsia"/>
                <w:color w:val="auto"/>
                <w:szCs w:val="21"/>
              </w:rPr>
              <w:t>执行</w:t>
            </w:r>
            <w:r>
              <w:rPr>
                <w:rFonts w:hint="eastAsia" w:eastAsiaTheme="minorEastAsia"/>
                <w:color w:val="auto"/>
                <w:szCs w:val="21"/>
              </w:rPr>
              <w:t>安徽省</w:t>
            </w:r>
            <w:r>
              <w:rPr>
                <w:rFonts w:eastAsiaTheme="minorEastAsia"/>
                <w:color w:val="auto"/>
                <w:szCs w:val="21"/>
              </w:rPr>
              <w:t>《固定源挥发性有机物综合排放标准 第6部分：其他行业》</w:t>
            </w:r>
            <w:r>
              <w:rPr>
                <w:rFonts w:hint="eastAsia" w:eastAsiaTheme="minorEastAsia"/>
                <w:color w:val="auto"/>
                <w:szCs w:val="21"/>
              </w:rPr>
              <w:t>（</w:t>
            </w:r>
            <w:r>
              <w:rPr>
                <w:rFonts w:eastAsiaTheme="minorEastAsia"/>
                <w:color w:val="auto"/>
                <w:szCs w:val="21"/>
              </w:rPr>
              <w:t>DB34/ 4812.6—2024</w:t>
            </w:r>
            <w:r>
              <w:rPr>
                <w:rFonts w:hint="eastAsia" w:eastAsiaTheme="minorEastAsia"/>
                <w:color w:val="auto"/>
                <w:szCs w:val="21"/>
              </w:rPr>
              <w:t>）</w:t>
            </w:r>
            <w:r>
              <w:rPr>
                <w:rFonts w:eastAsiaTheme="minorEastAsia"/>
                <w:color w:val="auto"/>
                <w:szCs w:val="21"/>
              </w:rPr>
              <w:t>表</w:t>
            </w:r>
            <w:r>
              <w:rPr>
                <w:rFonts w:hint="eastAsia" w:eastAsiaTheme="minorEastAsia"/>
                <w:color w:val="auto"/>
                <w:szCs w:val="21"/>
              </w:rPr>
              <w:t>1</w:t>
            </w:r>
            <w:r>
              <w:rPr>
                <w:rFonts w:eastAsiaTheme="minorEastAsia"/>
                <w:color w:val="auto"/>
                <w:szCs w:val="21"/>
              </w:rPr>
              <w:t>中</w:t>
            </w:r>
            <w:r>
              <w:rPr>
                <w:rFonts w:hint="eastAsia" w:eastAsiaTheme="minorEastAsia"/>
                <w:color w:val="auto"/>
                <w:szCs w:val="21"/>
              </w:rPr>
              <w:t>其他涉表面涂装的工业</w:t>
            </w:r>
            <w:r>
              <w:rPr>
                <w:rFonts w:eastAsiaTheme="minorEastAsia"/>
                <w:color w:val="auto"/>
                <w:szCs w:val="21"/>
              </w:rPr>
              <w:t>污染物排放限值</w:t>
            </w:r>
            <w:r>
              <w:rPr>
                <w:rFonts w:hint="eastAsia" w:eastAsiaTheme="minorEastAsia"/>
                <w:color w:val="auto"/>
                <w:szCs w:val="21"/>
              </w:rPr>
              <w:t>；</w:t>
            </w:r>
            <w:r>
              <w:rPr>
                <w:rFonts w:eastAsiaTheme="minorEastAsia"/>
                <w:color w:val="auto"/>
                <w:szCs w:val="21"/>
              </w:rPr>
              <w:t>颗粒物</w:t>
            </w:r>
            <w:r>
              <w:rPr>
                <w:rFonts w:hint="eastAsia" w:eastAsiaTheme="minorEastAsia"/>
                <w:color w:val="auto"/>
                <w:szCs w:val="21"/>
              </w:rPr>
              <w:t>有组织排放</w:t>
            </w:r>
            <w:r>
              <w:rPr>
                <w:rFonts w:eastAsiaTheme="minorEastAsia"/>
                <w:color w:val="auto"/>
                <w:szCs w:val="21"/>
              </w:rPr>
              <w:t>执行</w:t>
            </w:r>
            <w:r>
              <w:rPr>
                <w:rFonts w:hint="eastAsia" w:eastAsiaTheme="minorEastAsia"/>
                <w:color w:val="auto"/>
                <w:szCs w:val="21"/>
              </w:rPr>
              <w:t>《大气污染物综合排放标准》（GB16297-1996）表2中污染物排放限值</w:t>
            </w:r>
            <w:r>
              <w:rPr>
                <w:rFonts w:eastAsiaTheme="minorEastAsia"/>
                <w:color w:val="auto"/>
                <w:szCs w:val="21"/>
              </w:rPr>
              <w:t>。</w:t>
            </w:r>
            <w:r>
              <w:rPr>
                <w:rFonts w:hint="eastAsia" w:eastAsiaTheme="minorEastAsia"/>
                <w:color w:val="auto"/>
                <w:szCs w:val="21"/>
              </w:rPr>
              <w:t>厂区内</w:t>
            </w:r>
            <w:r>
              <w:rPr>
                <w:rFonts w:eastAsiaTheme="minorEastAsia"/>
                <w:color w:val="auto"/>
                <w:szCs w:val="21"/>
              </w:rPr>
              <w:t>非甲烷总烃无组织排放</w:t>
            </w:r>
            <w:r>
              <w:rPr>
                <w:rFonts w:hint="eastAsia" w:eastAsiaTheme="minorEastAsia"/>
                <w:color w:val="auto"/>
                <w:szCs w:val="21"/>
              </w:rPr>
              <w:t>执行安徽省</w:t>
            </w:r>
            <w:r>
              <w:rPr>
                <w:rFonts w:eastAsiaTheme="minorEastAsia"/>
                <w:color w:val="auto"/>
                <w:szCs w:val="21"/>
              </w:rPr>
              <w:t>《固定源挥发性有机物综合排放标准 第6部分：其他行业》</w:t>
            </w:r>
            <w:r>
              <w:rPr>
                <w:rFonts w:hint="eastAsia" w:eastAsiaTheme="minorEastAsia"/>
                <w:color w:val="auto"/>
                <w:szCs w:val="21"/>
              </w:rPr>
              <w:t>（</w:t>
            </w:r>
            <w:r>
              <w:rPr>
                <w:rFonts w:eastAsiaTheme="minorEastAsia"/>
                <w:color w:val="auto"/>
                <w:szCs w:val="21"/>
              </w:rPr>
              <w:t>DB34/ 4812.6—2024</w:t>
            </w:r>
            <w:r>
              <w:rPr>
                <w:rFonts w:hint="eastAsia" w:eastAsiaTheme="minorEastAsia"/>
                <w:color w:val="auto"/>
                <w:szCs w:val="21"/>
              </w:rPr>
              <w:t>）</w:t>
            </w:r>
            <w:r>
              <w:rPr>
                <w:rFonts w:eastAsiaTheme="minorEastAsia"/>
                <w:color w:val="auto"/>
                <w:szCs w:val="21"/>
              </w:rPr>
              <w:t>表</w:t>
            </w:r>
            <w:r>
              <w:rPr>
                <w:rFonts w:hint="eastAsia" w:eastAsiaTheme="minorEastAsia"/>
                <w:color w:val="auto"/>
                <w:szCs w:val="21"/>
              </w:rPr>
              <w:t>4</w:t>
            </w:r>
            <w:r>
              <w:rPr>
                <w:rFonts w:eastAsiaTheme="minorEastAsia"/>
                <w:color w:val="auto"/>
                <w:szCs w:val="21"/>
              </w:rPr>
              <w:t>排放限值</w:t>
            </w:r>
            <w:r>
              <w:rPr>
                <w:rFonts w:hint="eastAsia" w:eastAsiaTheme="minorEastAsia"/>
                <w:color w:val="auto"/>
                <w:szCs w:val="21"/>
              </w:rPr>
              <w:t>；厂界颗粒物、</w:t>
            </w:r>
            <w:r>
              <w:rPr>
                <w:rFonts w:hint="eastAsia" w:eastAsiaTheme="minorEastAsia"/>
                <w:color w:val="auto"/>
                <w:szCs w:val="21"/>
                <w:lang w:eastAsia="zh-CN"/>
              </w:rPr>
              <w:t>锡及其化合物、铜及其化合物和</w:t>
            </w:r>
            <w:r>
              <w:rPr>
                <w:rFonts w:hint="eastAsia" w:eastAsiaTheme="minorEastAsia"/>
                <w:color w:val="auto"/>
                <w:szCs w:val="21"/>
              </w:rPr>
              <w:t>非甲烷总烃无组织排放</w:t>
            </w:r>
            <w:r>
              <w:rPr>
                <w:rFonts w:eastAsiaTheme="minorEastAsia"/>
                <w:color w:val="auto"/>
                <w:szCs w:val="21"/>
              </w:rPr>
              <w:t>执行《大气污染物综合排放标准》（GB16297-1996）表2中无组织排放监控浓度限值要求。具体标准限值详见下表。</w:t>
            </w:r>
          </w:p>
          <w:p w14:paraId="6AFC2271">
            <w:pPr>
              <w:pStyle w:val="38"/>
              <w:bidi w:val="0"/>
              <w:rPr>
                <w:color w:val="auto"/>
              </w:rPr>
            </w:pPr>
            <w:r>
              <w:rPr>
                <w:color w:val="auto"/>
              </w:rPr>
              <w:t>表3-</w:t>
            </w:r>
            <w:r>
              <w:rPr>
                <w:rFonts w:hint="eastAsia"/>
                <w:color w:val="auto"/>
                <w:lang w:val="en-US" w:eastAsia="zh-CN"/>
              </w:rPr>
              <w:t>5</w:t>
            </w:r>
            <w:r>
              <w:rPr>
                <w:color w:val="auto"/>
              </w:rPr>
              <w:t xml:space="preserve">  </w:t>
            </w:r>
            <w:r>
              <w:rPr>
                <w:rFonts w:hint="eastAsia"/>
                <w:color w:val="auto"/>
                <w:lang w:val="en-US" w:eastAsia="zh-CN"/>
              </w:rPr>
              <w:t>营运期</w:t>
            </w:r>
            <w:r>
              <w:rPr>
                <w:color w:val="auto"/>
              </w:rPr>
              <w:t>项目有组织废气排放标准限值</w:t>
            </w:r>
          </w:p>
          <w:tbl>
            <w:tblPr>
              <w:tblStyle w:val="31"/>
              <w:tblW w:w="498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56"/>
              <w:gridCol w:w="961"/>
              <w:gridCol w:w="1161"/>
              <w:gridCol w:w="1076"/>
              <w:gridCol w:w="3857"/>
            </w:tblGrid>
            <w:tr w14:paraId="4A5B5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267" w:hRule="atLeast"/>
                <w:jc w:val="center"/>
              </w:trPr>
              <w:tc>
                <w:tcPr>
                  <w:tcW w:w="755" w:type="pct"/>
                  <w:vMerge w:val="restart"/>
                  <w:tcBorders>
                    <w:tl2br w:val="nil"/>
                    <w:tr2bl w:val="nil"/>
                  </w:tcBorders>
                  <w:vAlign w:val="center"/>
                </w:tcPr>
                <w:p w14:paraId="65C24222">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生产工序</w:t>
                  </w:r>
                </w:p>
              </w:tc>
              <w:tc>
                <w:tcPr>
                  <w:tcW w:w="578" w:type="pct"/>
                  <w:vMerge w:val="restart"/>
                  <w:tcBorders>
                    <w:tl2br w:val="nil"/>
                    <w:tr2bl w:val="nil"/>
                  </w:tcBorders>
                  <w:vAlign w:val="center"/>
                </w:tcPr>
                <w:p w14:paraId="68700092">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污染物名称</w:t>
                  </w:r>
                </w:p>
              </w:tc>
              <w:tc>
                <w:tcPr>
                  <w:tcW w:w="1345" w:type="pct"/>
                  <w:gridSpan w:val="2"/>
                  <w:tcBorders>
                    <w:tl2br w:val="nil"/>
                    <w:tr2bl w:val="nil"/>
                  </w:tcBorders>
                  <w:vAlign w:val="center"/>
                </w:tcPr>
                <w:p w14:paraId="2BD2C24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hint="eastAsia" w:ascii="Times New Roman" w:hAnsi="Times New Roman"/>
                      <w:b/>
                      <w:bCs/>
                      <w:color w:val="auto"/>
                      <w:szCs w:val="21"/>
                    </w:rPr>
                    <w:t>最高允许</w:t>
                  </w:r>
                </w:p>
              </w:tc>
              <w:tc>
                <w:tcPr>
                  <w:tcW w:w="2320" w:type="pct"/>
                  <w:vMerge w:val="restart"/>
                  <w:tcBorders>
                    <w:tl2br w:val="nil"/>
                    <w:tr2bl w:val="nil"/>
                  </w:tcBorders>
                  <w:vAlign w:val="center"/>
                </w:tcPr>
                <w:p w14:paraId="4F74AE9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标准来源</w:t>
                  </w:r>
                </w:p>
              </w:tc>
            </w:tr>
            <w:tr w14:paraId="6E660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4" w:hRule="atLeast"/>
                <w:jc w:val="center"/>
              </w:trPr>
              <w:tc>
                <w:tcPr>
                  <w:tcW w:w="755" w:type="pct"/>
                  <w:vMerge w:val="continue"/>
                  <w:tcBorders>
                    <w:tl2br w:val="nil"/>
                    <w:tr2bl w:val="nil"/>
                  </w:tcBorders>
                  <w:vAlign w:val="center"/>
                </w:tcPr>
                <w:p w14:paraId="2D40AE12">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eastAsia"/>
                      <w:color w:val="auto"/>
                    </w:rPr>
                  </w:pPr>
                </w:p>
              </w:tc>
              <w:tc>
                <w:tcPr>
                  <w:tcW w:w="578" w:type="pct"/>
                  <w:vMerge w:val="continue"/>
                  <w:tcBorders>
                    <w:tl2br w:val="nil"/>
                    <w:tr2bl w:val="nil"/>
                  </w:tcBorders>
                  <w:vAlign w:val="center"/>
                </w:tcPr>
                <w:p w14:paraId="2562B0E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eastAsia"/>
                      <w:color w:val="auto"/>
                    </w:rPr>
                  </w:pPr>
                </w:p>
              </w:tc>
              <w:tc>
                <w:tcPr>
                  <w:tcW w:w="698" w:type="pct"/>
                  <w:tcBorders>
                    <w:tl2br w:val="nil"/>
                    <w:tr2bl w:val="nil"/>
                  </w:tcBorders>
                  <w:vAlign w:val="center"/>
                </w:tcPr>
                <w:p w14:paraId="562A130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排放浓度（mg/m</w:t>
                  </w:r>
                  <w:r>
                    <w:rPr>
                      <w:rFonts w:ascii="Times New Roman" w:hAnsi="Times New Roman"/>
                      <w:b/>
                      <w:bCs/>
                      <w:color w:val="auto"/>
                      <w:szCs w:val="21"/>
                      <w:vertAlign w:val="superscript"/>
                    </w:rPr>
                    <w:t>3</w:t>
                  </w:r>
                  <w:r>
                    <w:rPr>
                      <w:rFonts w:ascii="Times New Roman" w:hAnsi="Times New Roman"/>
                      <w:b/>
                      <w:bCs/>
                      <w:color w:val="auto"/>
                      <w:szCs w:val="21"/>
                    </w:rPr>
                    <w:t>）</w:t>
                  </w:r>
                </w:p>
              </w:tc>
              <w:tc>
                <w:tcPr>
                  <w:tcW w:w="647" w:type="pct"/>
                  <w:tcBorders>
                    <w:tl2br w:val="nil"/>
                    <w:tr2bl w:val="nil"/>
                  </w:tcBorders>
                  <w:vAlign w:val="center"/>
                </w:tcPr>
                <w:p w14:paraId="27296783">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hint="eastAsia" w:ascii="Times New Roman" w:hAnsi="Times New Roman"/>
                      <w:b/>
                      <w:bCs/>
                      <w:color w:val="auto"/>
                      <w:szCs w:val="21"/>
                    </w:rPr>
                    <w:t>排放速率（kg/h）</w:t>
                  </w:r>
                </w:p>
              </w:tc>
              <w:tc>
                <w:tcPr>
                  <w:tcW w:w="2320" w:type="pct"/>
                  <w:vMerge w:val="continue"/>
                  <w:tcBorders>
                    <w:tl2br w:val="nil"/>
                    <w:tr2bl w:val="nil"/>
                  </w:tcBorders>
                  <w:vAlign w:val="center"/>
                </w:tcPr>
                <w:p w14:paraId="7A74D03F">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p>
              </w:tc>
            </w:tr>
            <w:tr w14:paraId="1AF07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5" w:type="pct"/>
                  <w:tcBorders>
                    <w:tl2br w:val="nil"/>
                    <w:tr2bl w:val="nil"/>
                  </w:tcBorders>
                  <w:vAlign w:val="center"/>
                </w:tcPr>
                <w:p w14:paraId="5A643FC1">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eastAsia" w:ascii="Times New Roman" w:hAnsi="Times New Roman" w:cs="Times New Roman"/>
                      <w:b w:val="0"/>
                      <w:bCs/>
                      <w:color w:val="auto"/>
                      <w:szCs w:val="21"/>
                      <w:lang w:val="en-US" w:eastAsia="zh-CN"/>
                    </w:rPr>
                    <w:t>激光切割、</w:t>
                  </w:r>
                  <w:r>
                    <w:rPr>
                      <w:rFonts w:hint="default" w:ascii="Times New Roman" w:hAnsi="Times New Roman" w:cs="Times New Roman"/>
                      <w:b w:val="0"/>
                      <w:bCs/>
                      <w:color w:val="auto"/>
                      <w:szCs w:val="21"/>
                    </w:rPr>
                    <w:t>喷漆</w:t>
                  </w:r>
                </w:p>
              </w:tc>
              <w:tc>
                <w:tcPr>
                  <w:tcW w:w="578" w:type="pct"/>
                  <w:tcBorders>
                    <w:tl2br w:val="nil"/>
                    <w:tr2bl w:val="nil"/>
                  </w:tcBorders>
                  <w:vAlign w:val="center"/>
                </w:tcPr>
                <w:p w14:paraId="52EEAF8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颗粒物</w:t>
                  </w:r>
                </w:p>
              </w:tc>
              <w:tc>
                <w:tcPr>
                  <w:tcW w:w="698" w:type="pct"/>
                  <w:tcBorders>
                    <w:tl2br w:val="nil"/>
                    <w:tr2bl w:val="nil"/>
                  </w:tcBorders>
                  <w:vAlign w:val="center"/>
                </w:tcPr>
                <w:p w14:paraId="29D15EEF">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120</w:t>
                  </w:r>
                </w:p>
              </w:tc>
              <w:tc>
                <w:tcPr>
                  <w:tcW w:w="647" w:type="pct"/>
                  <w:tcBorders>
                    <w:tl2br w:val="nil"/>
                    <w:tr2bl w:val="nil"/>
                  </w:tcBorders>
                  <w:vAlign w:val="center"/>
                </w:tcPr>
                <w:p w14:paraId="6033BED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2.5</w:t>
                  </w:r>
                </w:p>
              </w:tc>
              <w:tc>
                <w:tcPr>
                  <w:tcW w:w="2320" w:type="pct"/>
                  <w:tcBorders>
                    <w:tl2br w:val="nil"/>
                    <w:tr2bl w:val="nil"/>
                  </w:tcBorders>
                  <w:vAlign w:val="center"/>
                </w:tcPr>
                <w:p w14:paraId="3C2CBA3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eastAsiaTheme="minorEastAsia"/>
                      <w:b w:val="0"/>
                      <w:bCs/>
                      <w:color w:val="auto"/>
                      <w:szCs w:val="21"/>
                    </w:rPr>
                    <w:t>《大气污染物综合排放标准》（GB16297-1996）表2中污染物排放限值</w:t>
                  </w:r>
                </w:p>
              </w:tc>
            </w:tr>
            <w:tr w14:paraId="216CC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5" w:type="pct"/>
                  <w:tcBorders>
                    <w:tl2br w:val="nil"/>
                    <w:tr2bl w:val="nil"/>
                  </w:tcBorders>
                  <w:vAlign w:val="center"/>
                </w:tcPr>
                <w:p w14:paraId="15608EAA">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喷漆、晾干</w:t>
                  </w:r>
                </w:p>
              </w:tc>
              <w:tc>
                <w:tcPr>
                  <w:tcW w:w="578" w:type="pct"/>
                  <w:tcBorders>
                    <w:tl2br w:val="nil"/>
                    <w:tr2bl w:val="nil"/>
                  </w:tcBorders>
                  <w:vAlign w:val="center"/>
                </w:tcPr>
                <w:p w14:paraId="344DD5AB">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NMHC</w:t>
                  </w:r>
                </w:p>
              </w:tc>
              <w:tc>
                <w:tcPr>
                  <w:tcW w:w="698" w:type="pct"/>
                  <w:tcBorders>
                    <w:tl2br w:val="nil"/>
                    <w:tr2bl w:val="nil"/>
                  </w:tcBorders>
                  <w:vAlign w:val="center"/>
                </w:tcPr>
                <w:p w14:paraId="290AC6A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70</w:t>
                  </w:r>
                </w:p>
              </w:tc>
              <w:tc>
                <w:tcPr>
                  <w:tcW w:w="647" w:type="pct"/>
                  <w:tcBorders>
                    <w:tl2br w:val="nil"/>
                    <w:tr2bl w:val="nil"/>
                  </w:tcBorders>
                  <w:vAlign w:val="center"/>
                </w:tcPr>
                <w:p w14:paraId="1D73E417">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3.0</w:t>
                  </w:r>
                </w:p>
              </w:tc>
              <w:tc>
                <w:tcPr>
                  <w:tcW w:w="2320" w:type="pct"/>
                  <w:tcBorders>
                    <w:tl2br w:val="nil"/>
                    <w:tr2bl w:val="nil"/>
                  </w:tcBorders>
                  <w:vAlign w:val="center"/>
                </w:tcPr>
                <w:p w14:paraId="0201FDA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textAlignment w:val="auto"/>
                    <w:rPr>
                      <w:rFonts w:hint="default" w:ascii="Times New Roman" w:hAnsi="Times New Roman" w:cs="Times New Roman"/>
                      <w:b w:val="0"/>
                      <w:bCs/>
                      <w:color w:val="auto"/>
                    </w:rPr>
                  </w:pPr>
                  <w:r>
                    <w:rPr>
                      <w:rFonts w:hint="default" w:ascii="Times New Roman" w:hAnsi="Times New Roman" w:cs="Times New Roman" w:eastAsiaTheme="minorEastAsia"/>
                      <w:b w:val="0"/>
                      <w:bCs/>
                      <w:color w:val="auto"/>
                      <w:szCs w:val="21"/>
                    </w:rPr>
                    <w:t>安徽省《固定源挥发性有机物综合排放标准 第6部分：其他行业》（DB34/ 4812.6—2024）表1</w:t>
                  </w:r>
                </w:p>
              </w:tc>
            </w:tr>
            <w:tr w14:paraId="06507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000" w:type="pct"/>
                  <w:gridSpan w:val="5"/>
                  <w:tcBorders>
                    <w:tl2br w:val="nil"/>
                    <w:tr2bl w:val="nil"/>
                  </w:tcBorders>
                  <w:vAlign w:val="center"/>
                </w:tcPr>
                <w:p w14:paraId="7A3841F2">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jc w:val="both"/>
                    <w:textAlignment w:val="auto"/>
                    <w:rPr>
                      <w:rFonts w:hint="default" w:ascii="Times New Roman" w:hAnsi="Times New Roman" w:cs="Times New Roman" w:eastAsiaTheme="minorEastAsia"/>
                      <w:b/>
                      <w:bCs w:val="0"/>
                      <w:color w:val="auto"/>
                      <w:szCs w:val="21"/>
                    </w:rPr>
                  </w:pPr>
                  <w:r>
                    <w:rPr>
                      <w:rFonts w:hint="default" w:ascii="Times New Roman" w:hAnsi="Times New Roman" w:cs="Times New Roman" w:eastAsiaTheme="minorEastAsia"/>
                      <w:b/>
                      <w:bCs w:val="0"/>
                      <w:color w:val="auto"/>
                      <w:szCs w:val="21"/>
                    </w:rPr>
                    <w:t>备注：根据《大气污染物综合排放标准》（GB16297-1996）要求，排气筒高度还应高出周围200m半径范围的建筑5m以上，不能达到该要求的排气筒，应按其高度对应的表列排放速率标准值严格50%执行。</w:t>
                  </w:r>
                </w:p>
                <w:p w14:paraId="6B065ACA">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firstLine="0" w:firstLineChars="0"/>
                    <w:jc w:val="both"/>
                    <w:textAlignment w:val="auto"/>
                    <w:rPr>
                      <w:rFonts w:hint="eastAsia" w:ascii="Times New Roman" w:hAnsi="Times New Roman" w:cs="Times New Roman" w:eastAsiaTheme="minorEastAsia"/>
                      <w:b w:val="0"/>
                      <w:bCs/>
                      <w:color w:val="auto"/>
                      <w:szCs w:val="21"/>
                      <w:lang w:eastAsia="zh-CN"/>
                    </w:rPr>
                  </w:pPr>
                  <w:r>
                    <w:rPr>
                      <w:rFonts w:hint="default" w:ascii="Times New Roman" w:hAnsi="Times New Roman" w:cs="Times New Roman" w:eastAsiaTheme="minorEastAsia"/>
                      <w:b/>
                      <w:bCs w:val="0"/>
                      <w:color w:val="auto"/>
                      <w:szCs w:val="21"/>
                    </w:rPr>
                    <w:t>本项目车间高度为12m，200m范围内最高建筑高度为西北侧为5.47m人才公寓，高度为15m，参考标准要求，排气筒高度应高出其5m，则排气筒高度应设置为20m，本项目排气筒设置高度为15m，应按其对应高度对应的表列排放速率标准值严格50%执行。15米高排气筒颗粒物排放速率为</w:t>
                  </w:r>
                  <w:r>
                    <w:rPr>
                      <w:rFonts w:hint="eastAsia" w:ascii="Times New Roman" w:hAnsi="Times New Roman" w:cs="Times New Roman" w:eastAsiaTheme="minorEastAsia"/>
                      <w:b/>
                      <w:bCs w:val="0"/>
                      <w:color w:val="auto"/>
                      <w:szCs w:val="21"/>
                      <w:lang w:val="en-US" w:eastAsia="zh-CN"/>
                    </w:rPr>
                    <w:t>5.0</w:t>
                  </w:r>
                  <w:r>
                    <w:rPr>
                      <w:rFonts w:hint="default" w:ascii="Times New Roman" w:hAnsi="Times New Roman" w:cs="Times New Roman" w:eastAsiaTheme="minorEastAsia"/>
                      <w:b/>
                      <w:bCs w:val="0"/>
                      <w:color w:val="auto"/>
                      <w:szCs w:val="21"/>
                    </w:rPr>
                    <w:t>kg/h，严格50%为</w:t>
                  </w:r>
                  <w:r>
                    <w:rPr>
                      <w:rFonts w:hint="eastAsia" w:ascii="Times New Roman" w:hAnsi="Times New Roman" w:cs="Times New Roman" w:eastAsiaTheme="minorEastAsia"/>
                      <w:b/>
                      <w:bCs w:val="0"/>
                      <w:color w:val="auto"/>
                      <w:szCs w:val="21"/>
                      <w:lang w:val="en-US" w:eastAsia="zh-CN"/>
                    </w:rPr>
                    <w:t>2.</w:t>
                  </w:r>
                  <w:r>
                    <w:rPr>
                      <w:rFonts w:hint="default" w:ascii="Times New Roman" w:hAnsi="Times New Roman" w:cs="Times New Roman" w:eastAsiaTheme="minorEastAsia"/>
                      <w:b/>
                      <w:bCs w:val="0"/>
                      <w:color w:val="auto"/>
                      <w:szCs w:val="21"/>
                    </w:rPr>
                    <w:t>5kg/h</w:t>
                  </w:r>
                  <w:r>
                    <w:rPr>
                      <w:rFonts w:hint="eastAsia" w:ascii="Times New Roman" w:hAnsi="Times New Roman" w:cs="Times New Roman" w:eastAsiaTheme="minorEastAsia"/>
                      <w:b/>
                      <w:bCs w:val="0"/>
                      <w:color w:val="auto"/>
                      <w:szCs w:val="21"/>
                      <w:lang w:eastAsia="zh-CN"/>
                    </w:rPr>
                    <w:t>。</w:t>
                  </w:r>
                </w:p>
              </w:tc>
            </w:tr>
          </w:tbl>
          <w:p w14:paraId="6791084D">
            <w:pPr>
              <w:pStyle w:val="38"/>
              <w:bidi w:val="0"/>
              <w:rPr>
                <w:color w:val="auto"/>
              </w:rPr>
            </w:pPr>
          </w:p>
          <w:p w14:paraId="36046800">
            <w:pPr>
              <w:pStyle w:val="38"/>
              <w:bidi w:val="0"/>
              <w:rPr>
                <w:color w:val="auto"/>
              </w:rPr>
            </w:pPr>
            <w:r>
              <w:rPr>
                <w:color w:val="auto"/>
              </w:rPr>
              <w:t>表3-</w:t>
            </w:r>
            <w:r>
              <w:rPr>
                <w:rFonts w:hint="eastAsia"/>
                <w:color w:val="auto"/>
                <w:lang w:val="en-US" w:eastAsia="zh-CN"/>
              </w:rPr>
              <w:t>6</w:t>
            </w:r>
            <w:r>
              <w:rPr>
                <w:color w:val="auto"/>
              </w:rPr>
              <w:t xml:space="preserve">  </w:t>
            </w:r>
            <w:r>
              <w:rPr>
                <w:rFonts w:hint="eastAsia"/>
                <w:color w:val="auto"/>
                <w:lang w:val="en-US" w:eastAsia="zh-CN"/>
              </w:rPr>
              <w:t>营运期</w:t>
            </w:r>
            <w:r>
              <w:rPr>
                <w:color w:val="auto"/>
              </w:rPr>
              <w:t>项目</w:t>
            </w:r>
            <w:r>
              <w:rPr>
                <w:rFonts w:hint="eastAsia"/>
                <w:color w:val="auto"/>
              </w:rPr>
              <w:t>厂区无</w:t>
            </w:r>
            <w:r>
              <w:rPr>
                <w:color w:val="auto"/>
              </w:rPr>
              <w:t>组织废气排放标准限值</w:t>
            </w:r>
          </w:p>
          <w:tbl>
            <w:tblPr>
              <w:tblStyle w:val="31"/>
              <w:tblW w:w="841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57"/>
              <w:gridCol w:w="1133"/>
              <w:gridCol w:w="2617"/>
              <w:gridCol w:w="902"/>
              <w:gridCol w:w="2808"/>
            </w:tblGrid>
            <w:tr w14:paraId="7DACE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7" w:hRule="atLeast"/>
                <w:jc w:val="center"/>
              </w:trPr>
              <w:tc>
                <w:tcPr>
                  <w:tcW w:w="957" w:type="dxa"/>
                  <w:tcBorders>
                    <w:tl2br w:val="nil"/>
                    <w:tr2bl w:val="nil"/>
                  </w:tcBorders>
                  <w:vAlign w:val="center"/>
                </w:tcPr>
                <w:p w14:paraId="621688F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污染物项目</w:t>
                  </w:r>
                </w:p>
              </w:tc>
              <w:tc>
                <w:tcPr>
                  <w:tcW w:w="1133" w:type="dxa"/>
                  <w:tcBorders>
                    <w:tl2br w:val="nil"/>
                    <w:tr2bl w:val="nil"/>
                  </w:tcBorders>
                  <w:vAlign w:val="center"/>
                </w:tcPr>
                <w:p w14:paraId="159131B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hint="eastAsia" w:ascii="Times New Roman" w:hAnsi="Times New Roman"/>
                      <w:b/>
                      <w:bCs/>
                      <w:color w:val="auto"/>
                      <w:szCs w:val="21"/>
                    </w:rPr>
                    <w:t>最高允许排放浓度（mg/m</w:t>
                  </w:r>
                  <w:r>
                    <w:rPr>
                      <w:rFonts w:hint="eastAsia" w:ascii="Times New Roman" w:hAnsi="Times New Roman"/>
                      <w:b/>
                      <w:bCs/>
                      <w:color w:val="auto"/>
                      <w:szCs w:val="21"/>
                      <w:vertAlign w:val="superscript"/>
                    </w:rPr>
                    <w:t>3</w:t>
                  </w:r>
                  <w:r>
                    <w:rPr>
                      <w:rFonts w:hint="eastAsia" w:ascii="Times New Roman" w:hAnsi="Times New Roman"/>
                      <w:b/>
                      <w:bCs/>
                      <w:color w:val="auto"/>
                      <w:szCs w:val="21"/>
                    </w:rPr>
                    <w:t>）</w:t>
                  </w:r>
                </w:p>
              </w:tc>
              <w:tc>
                <w:tcPr>
                  <w:tcW w:w="2617" w:type="dxa"/>
                  <w:tcBorders>
                    <w:tl2br w:val="nil"/>
                    <w:tr2bl w:val="nil"/>
                  </w:tcBorders>
                  <w:vAlign w:val="center"/>
                </w:tcPr>
                <w:p w14:paraId="7E2D05FB">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限值含义</w:t>
                  </w:r>
                </w:p>
              </w:tc>
              <w:tc>
                <w:tcPr>
                  <w:tcW w:w="902" w:type="dxa"/>
                  <w:tcBorders>
                    <w:tl2br w:val="nil"/>
                    <w:tr2bl w:val="nil"/>
                  </w:tcBorders>
                  <w:vAlign w:val="center"/>
                </w:tcPr>
                <w:p w14:paraId="204B597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无组织排放监控位置</w:t>
                  </w:r>
                </w:p>
              </w:tc>
              <w:tc>
                <w:tcPr>
                  <w:tcW w:w="2808" w:type="dxa"/>
                  <w:tcBorders>
                    <w:tl2br w:val="nil"/>
                    <w:tr2bl w:val="nil"/>
                  </w:tcBorders>
                  <w:vAlign w:val="center"/>
                </w:tcPr>
                <w:p w14:paraId="05B4A1B9">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标准来源</w:t>
                  </w:r>
                </w:p>
              </w:tc>
            </w:tr>
            <w:tr w14:paraId="3CB86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8" w:hRule="atLeast"/>
                <w:jc w:val="center"/>
              </w:trPr>
              <w:tc>
                <w:tcPr>
                  <w:tcW w:w="957" w:type="dxa"/>
                  <w:vMerge w:val="restart"/>
                  <w:tcBorders>
                    <w:tl2br w:val="nil"/>
                    <w:tr2bl w:val="nil"/>
                  </w:tcBorders>
                  <w:vAlign w:val="center"/>
                </w:tcPr>
                <w:p w14:paraId="6D5152F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color w:val="auto"/>
                      <w:szCs w:val="21"/>
                    </w:rPr>
                  </w:pPr>
                  <w:r>
                    <w:rPr>
                      <w:rFonts w:ascii="Times New Roman" w:hAnsi="Times New Roman"/>
                      <w:b w:val="0"/>
                      <w:bCs/>
                      <w:color w:val="auto"/>
                      <w:szCs w:val="21"/>
                    </w:rPr>
                    <w:t>NMHC</w:t>
                  </w:r>
                </w:p>
              </w:tc>
              <w:tc>
                <w:tcPr>
                  <w:tcW w:w="1133" w:type="dxa"/>
                  <w:tcBorders>
                    <w:tl2br w:val="nil"/>
                    <w:tr2bl w:val="nil"/>
                  </w:tcBorders>
                  <w:vAlign w:val="center"/>
                </w:tcPr>
                <w:p w14:paraId="63E88AA5">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color w:val="auto"/>
                      <w:szCs w:val="21"/>
                    </w:rPr>
                  </w:pPr>
                  <w:r>
                    <w:rPr>
                      <w:rFonts w:hint="eastAsia" w:ascii="Times New Roman" w:hAnsi="Times New Roman"/>
                      <w:b w:val="0"/>
                      <w:bCs/>
                      <w:color w:val="auto"/>
                      <w:szCs w:val="21"/>
                    </w:rPr>
                    <w:t>6</w:t>
                  </w:r>
                </w:p>
              </w:tc>
              <w:tc>
                <w:tcPr>
                  <w:tcW w:w="2617" w:type="dxa"/>
                  <w:tcBorders>
                    <w:tl2br w:val="nil"/>
                    <w:tr2bl w:val="nil"/>
                  </w:tcBorders>
                  <w:vAlign w:val="center"/>
                </w:tcPr>
                <w:p w14:paraId="6B1BCFB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color w:val="auto"/>
                      <w:szCs w:val="21"/>
                    </w:rPr>
                  </w:pPr>
                  <w:r>
                    <w:rPr>
                      <w:rFonts w:ascii="Times New Roman" w:hAnsi="Times New Roman"/>
                      <w:b w:val="0"/>
                      <w:bCs/>
                      <w:color w:val="auto"/>
                      <w:szCs w:val="21"/>
                    </w:rPr>
                    <w:t>监控点处1h平均浓度值</w:t>
                  </w:r>
                </w:p>
              </w:tc>
              <w:tc>
                <w:tcPr>
                  <w:tcW w:w="902" w:type="dxa"/>
                  <w:vMerge w:val="restart"/>
                  <w:tcBorders>
                    <w:tl2br w:val="nil"/>
                    <w:tr2bl w:val="nil"/>
                  </w:tcBorders>
                  <w:vAlign w:val="center"/>
                </w:tcPr>
                <w:p w14:paraId="24FC1E95">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color w:val="auto"/>
                      <w:szCs w:val="21"/>
                    </w:rPr>
                  </w:pPr>
                  <w:r>
                    <w:rPr>
                      <w:rFonts w:ascii="Times New Roman" w:hAnsi="Times New Roman"/>
                      <w:b w:val="0"/>
                      <w:bCs/>
                      <w:color w:val="auto"/>
                      <w:szCs w:val="21"/>
                    </w:rPr>
                    <w:t>在厂房外设置监控点</w:t>
                  </w:r>
                </w:p>
              </w:tc>
              <w:tc>
                <w:tcPr>
                  <w:tcW w:w="2808" w:type="dxa"/>
                  <w:vMerge w:val="restart"/>
                  <w:tcBorders>
                    <w:tl2br w:val="nil"/>
                    <w:tr2bl w:val="nil"/>
                  </w:tcBorders>
                  <w:vAlign w:val="center"/>
                </w:tcPr>
                <w:p w14:paraId="772E0D12">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color w:val="auto"/>
                      <w:szCs w:val="21"/>
                    </w:rPr>
                  </w:pPr>
                  <w:r>
                    <w:rPr>
                      <w:rFonts w:ascii="Times New Roman" w:hAnsi="Times New Roman"/>
                      <w:b w:val="0"/>
                      <w:bCs/>
                      <w:color w:val="auto"/>
                      <w:szCs w:val="21"/>
                    </w:rPr>
                    <w:t>安徽省《固定源挥发性有机物综合排放标准 第6部分：其他行业》（DB34/ 4812.6—2024）表4</w:t>
                  </w:r>
                </w:p>
              </w:tc>
            </w:tr>
            <w:tr w14:paraId="240BB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57" w:type="dxa"/>
                  <w:vMerge w:val="continue"/>
                  <w:tcBorders>
                    <w:tl2br w:val="nil"/>
                    <w:tr2bl w:val="nil"/>
                  </w:tcBorders>
                  <w:vAlign w:val="center"/>
                </w:tcPr>
                <w:p w14:paraId="0A7A44CE">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color w:val="auto"/>
                      <w:szCs w:val="21"/>
                    </w:rPr>
                  </w:pPr>
                </w:p>
              </w:tc>
              <w:tc>
                <w:tcPr>
                  <w:tcW w:w="1133" w:type="dxa"/>
                  <w:tcBorders>
                    <w:tl2br w:val="nil"/>
                    <w:tr2bl w:val="nil"/>
                  </w:tcBorders>
                  <w:vAlign w:val="center"/>
                </w:tcPr>
                <w:p w14:paraId="0FAE4C89">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color w:val="auto"/>
                      <w:szCs w:val="21"/>
                    </w:rPr>
                  </w:pPr>
                  <w:r>
                    <w:rPr>
                      <w:rFonts w:hint="eastAsia" w:ascii="Times New Roman" w:hAnsi="Times New Roman"/>
                      <w:b w:val="0"/>
                      <w:bCs/>
                      <w:color w:val="auto"/>
                      <w:szCs w:val="21"/>
                    </w:rPr>
                    <w:t>20</w:t>
                  </w:r>
                </w:p>
              </w:tc>
              <w:tc>
                <w:tcPr>
                  <w:tcW w:w="2617" w:type="dxa"/>
                  <w:tcBorders>
                    <w:tl2br w:val="nil"/>
                    <w:tr2bl w:val="nil"/>
                  </w:tcBorders>
                  <w:vAlign w:val="center"/>
                </w:tcPr>
                <w:p w14:paraId="2CBAD200">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color w:val="auto"/>
                      <w:szCs w:val="21"/>
                    </w:rPr>
                  </w:pPr>
                  <w:r>
                    <w:rPr>
                      <w:rFonts w:ascii="Times New Roman" w:hAnsi="Times New Roman"/>
                      <w:b w:val="0"/>
                      <w:bCs/>
                      <w:color w:val="auto"/>
                      <w:szCs w:val="21"/>
                    </w:rPr>
                    <w:t>监控点处任意一次浓度值</w:t>
                  </w:r>
                </w:p>
              </w:tc>
              <w:tc>
                <w:tcPr>
                  <w:tcW w:w="902" w:type="dxa"/>
                  <w:vMerge w:val="continue"/>
                  <w:tcBorders>
                    <w:tl2br w:val="nil"/>
                    <w:tr2bl w:val="nil"/>
                  </w:tcBorders>
                  <w:vAlign w:val="center"/>
                </w:tcPr>
                <w:p w14:paraId="1617269D">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color w:val="auto"/>
                      <w:szCs w:val="21"/>
                    </w:rPr>
                  </w:pPr>
                </w:p>
              </w:tc>
              <w:tc>
                <w:tcPr>
                  <w:tcW w:w="2808" w:type="dxa"/>
                  <w:vMerge w:val="continue"/>
                  <w:tcBorders>
                    <w:tl2br w:val="nil"/>
                    <w:tr2bl w:val="nil"/>
                  </w:tcBorders>
                  <w:vAlign w:val="center"/>
                </w:tcPr>
                <w:p w14:paraId="11311BFF">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color w:val="auto"/>
                      <w:szCs w:val="21"/>
                    </w:rPr>
                  </w:pPr>
                </w:p>
              </w:tc>
            </w:tr>
          </w:tbl>
          <w:p w14:paraId="27461504">
            <w:pPr>
              <w:pStyle w:val="38"/>
              <w:bidi w:val="0"/>
              <w:rPr>
                <w:color w:val="auto"/>
              </w:rPr>
            </w:pPr>
          </w:p>
          <w:p w14:paraId="70DD7E4D">
            <w:pPr>
              <w:pStyle w:val="38"/>
              <w:bidi w:val="0"/>
              <w:rPr>
                <w:color w:val="auto"/>
              </w:rPr>
            </w:pPr>
            <w:r>
              <w:rPr>
                <w:color w:val="auto"/>
              </w:rPr>
              <w:t>表3-</w:t>
            </w:r>
            <w:r>
              <w:rPr>
                <w:rFonts w:hint="eastAsia"/>
                <w:color w:val="auto"/>
                <w:lang w:val="en-US" w:eastAsia="zh-CN"/>
              </w:rPr>
              <w:t>7</w:t>
            </w:r>
            <w:r>
              <w:rPr>
                <w:color w:val="auto"/>
              </w:rPr>
              <w:t xml:space="preserve">  </w:t>
            </w:r>
            <w:r>
              <w:rPr>
                <w:rFonts w:hint="eastAsia"/>
                <w:color w:val="auto"/>
                <w:lang w:val="en-US" w:eastAsia="zh-CN"/>
              </w:rPr>
              <w:t>营运期</w:t>
            </w:r>
            <w:r>
              <w:rPr>
                <w:color w:val="auto"/>
              </w:rPr>
              <w:t>项目</w:t>
            </w:r>
            <w:r>
              <w:rPr>
                <w:rFonts w:hint="eastAsia"/>
                <w:color w:val="auto"/>
              </w:rPr>
              <w:t>厂界无</w:t>
            </w:r>
            <w:r>
              <w:rPr>
                <w:color w:val="auto"/>
              </w:rPr>
              <w:t>组织废气排放标准限值</w:t>
            </w:r>
          </w:p>
          <w:tbl>
            <w:tblPr>
              <w:tblStyle w:val="31"/>
              <w:tblW w:w="841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512"/>
              <w:gridCol w:w="1575"/>
              <w:gridCol w:w="2688"/>
              <w:gridCol w:w="2642"/>
            </w:tblGrid>
            <w:tr w14:paraId="4B485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512" w:type="dxa"/>
                  <w:tcBorders>
                    <w:tl2br w:val="nil"/>
                    <w:tr2bl w:val="nil"/>
                  </w:tcBorders>
                  <w:vAlign w:val="center"/>
                </w:tcPr>
                <w:p w14:paraId="7C4332E0">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污染物项目</w:t>
                  </w:r>
                </w:p>
              </w:tc>
              <w:tc>
                <w:tcPr>
                  <w:tcW w:w="1575" w:type="dxa"/>
                  <w:tcBorders>
                    <w:tl2br w:val="nil"/>
                    <w:tr2bl w:val="nil"/>
                  </w:tcBorders>
                  <w:vAlign w:val="center"/>
                </w:tcPr>
                <w:p w14:paraId="3903B29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排放限值</w:t>
                  </w:r>
                </w:p>
              </w:tc>
              <w:tc>
                <w:tcPr>
                  <w:tcW w:w="2688" w:type="dxa"/>
                  <w:tcBorders>
                    <w:tl2br w:val="nil"/>
                    <w:tr2bl w:val="nil"/>
                  </w:tcBorders>
                  <w:vAlign w:val="center"/>
                </w:tcPr>
                <w:p w14:paraId="5DE6FE08">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无组织排放监控位置</w:t>
                  </w:r>
                </w:p>
              </w:tc>
              <w:tc>
                <w:tcPr>
                  <w:tcW w:w="2642" w:type="dxa"/>
                  <w:tcBorders>
                    <w:tl2br w:val="nil"/>
                    <w:tr2bl w:val="nil"/>
                  </w:tcBorders>
                  <w:vAlign w:val="center"/>
                </w:tcPr>
                <w:p w14:paraId="01AC5512">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bCs/>
                      <w:color w:val="auto"/>
                      <w:szCs w:val="21"/>
                    </w:rPr>
                  </w:pPr>
                  <w:r>
                    <w:rPr>
                      <w:rFonts w:ascii="Times New Roman" w:hAnsi="Times New Roman"/>
                      <w:b/>
                      <w:bCs/>
                      <w:color w:val="auto"/>
                      <w:szCs w:val="21"/>
                    </w:rPr>
                    <w:t>标准来源</w:t>
                  </w:r>
                </w:p>
              </w:tc>
            </w:tr>
            <w:tr w14:paraId="6624B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9" w:hRule="atLeast"/>
                <w:jc w:val="center"/>
              </w:trPr>
              <w:tc>
                <w:tcPr>
                  <w:tcW w:w="1512" w:type="dxa"/>
                  <w:tcBorders>
                    <w:tl2br w:val="nil"/>
                    <w:tr2bl w:val="nil"/>
                  </w:tcBorders>
                  <w:vAlign w:val="center"/>
                </w:tcPr>
                <w:p w14:paraId="31405A7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val="0"/>
                      <w:color w:val="auto"/>
                      <w:szCs w:val="21"/>
                    </w:rPr>
                  </w:pPr>
                  <w:r>
                    <w:rPr>
                      <w:rFonts w:ascii="Times New Roman" w:hAnsi="Times New Roman"/>
                      <w:b w:val="0"/>
                      <w:bCs w:val="0"/>
                      <w:color w:val="auto"/>
                      <w:szCs w:val="21"/>
                    </w:rPr>
                    <w:t>颗粒物</w:t>
                  </w:r>
                </w:p>
              </w:tc>
              <w:tc>
                <w:tcPr>
                  <w:tcW w:w="1575" w:type="dxa"/>
                  <w:tcBorders>
                    <w:tl2br w:val="nil"/>
                    <w:tr2bl w:val="nil"/>
                  </w:tcBorders>
                  <w:vAlign w:val="center"/>
                </w:tcPr>
                <w:p w14:paraId="0CDADE9F">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val="0"/>
                      <w:color w:val="auto"/>
                      <w:szCs w:val="21"/>
                    </w:rPr>
                  </w:pPr>
                  <w:r>
                    <w:rPr>
                      <w:rFonts w:hint="eastAsia" w:ascii="Times New Roman" w:hAnsi="Times New Roman"/>
                      <w:b w:val="0"/>
                      <w:bCs w:val="0"/>
                      <w:color w:val="auto"/>
                      <w:szCs w:val="21"/>
                    </w:rPr>
                    <w:t>1.0</w:t>
                  </w:r>
                </w:p>
              </w:tc>
              <w:tc>
                <w:tcPr>
                  <w:tcW w:w="2688" w:type="dxa"/>
                  <w:vMerge w:val="restart"/>
                  <w:tcBorders>
                    <w:tl2br w:val="nil"/>
                    <w:tr2bl w:val="nil"/>
                  </w:tcBorders>
                  <w:vAlign w:val="center"/>
                </w:tcPr>
                <w:p w14:paraId="439B425E">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val="0"/>
                      <w:color w:val="auto"/>
                      <w:szCs w:val="21"/>
                    </w:rPr>
                  </w:pPr>
                  <w:r>
                    <w:rPr>
                      <w:rFonts w:hint="eastAsia" w:ascii="Times New Roman" w:hAnsi="Times New Roman"/>
                      <w:b w:val="0"/>
                      <w:bCs w:val="0"/>
                      <w:color w:val="auto"/>
                      <w:szCs w:val="21"/>
                    </w:rPr>
                    <w:t>周界外浓度最高点</w:t>
                  </w:r>
                </w:p>
              </w:tc>
              <w:tc>
                <w:tcPr>
                  <w:tcW w:w="2642" w:type="dxa"/>
                  <w:vMerge w:val="restart"/>
                  <w:tcBorders>
                    <w:tl2br w:val="nil"/>
                    <w:tr2bl w:val="nil"/>
                  </w:tcBorders>
                  <w:vAlign w:val="center"/>
                </w:tcPr>
                <w:p w14:paraId="364DEA5D">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val="0"/>
                      <w:color w:val="auto"/>
                      <w:szCs w:val="21"/>
                    </w:rPr>
                  </w:pPr>
                  <w:r>
                    <w:rPr>
                      <w:rFonts w:ascii="Times New Roman" w:hAnsi="Times New Roman"/>
                      <w:b w:val="0"/>
                      <w:bCs w:val="0"/>
                      <w:color w:val="auto"/>
                    </w:rPr>
                    <w:t>《大气污染物综合排放标准》（GB16297-1996）表2</w:t>
                  </w:r>
                </w:p>
              </w:tc>
            </w:tr>
            <w:tr w14:paraId="3CBCC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9" w:hRule="atLeast"/>
                <w:jc w:val="center"/>
              </w:trPr>
              <w:tc>
                <w:tcPr>
                  <w:tcW w:w="1512" w:type="dxa"/>
                  <w:tcBorders>
                    <w:tl2br w:val="nil"/>
                    <w:tr2bl w:val="nil"/>
                  </w:tcBorders>
                  <w:vAlign w:val="center"/>
                </w:tcPr>
                <w:p w14:paraId="68183F68">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eastAsia" w:ascii="Times New Roman" w:hAnsi="Times New Roman" w:eastAsia="宋体"/>
                      <w:b w:val="0"/>
                      <w:bCs w:val="0"/>
                      <w:color w:val="auto"/>
                      <w:szCs w:val="21"/>
                      <w:lang w:eastAsia="zh-CN"/>
                    </w:rPr>
                  </w:pPr>
                  <w:r>
                    <w:rPr>
                      <w:rFonts w:hint="eastAsia" w:ascii="Times New Roman" w:hAnsi="Times New Roman"/>
                      <w:b w:val="0"/>
                      <w:bCs w:val="0"/>
                      <w:color w:val="auto"/>
                      <w:szCs w:val="21"/>
                      <w:lang w:eastAsia="zh-CN"/>
                    </w:rPr>
                    <w:t>锡及其化合物</w:t>
                  </w:r>
                </w:p>
              </w:tc>
              <w:tc>
                <w:tcPr>
                  <w:tcW w:w="1575" w:type="dxa"/>
                  <w:tcBorders>
                    <w:tl2br w:val="nil"/>
                    <w:tr2bl w:val="nil"/>
                  </w:tcBorders>
                  <w:vAlign w:val="center"/>
                </w:tcPr>
                <w:p w14:paraId="702D1D1C">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default" w:ascii="Times New Roman" w:hAnsi="Times New Roman" w:eastAsia="宋体"/>
                      <w:b w:val="0"/>
                      <w:bCs w:val="0"/>
                      <w:color w:val="auto"/>
                      <w:szCs w:val="21"/>
                      <w:lang w:val="en-US" w:eastAsia="zh-CN"/>
                    </w:rPr>
                  </w:pPr>
                  <w:r>
                    <w:rPr>
                      <w:rFonts w:hint="eastAsia" w:ascii="Times New Roman" w:hAnsi="Times New Roman"/>
                      <w:b w:val="0"/>
                      <w:bCs w:val="0"/>
                      <w:color w:val="auto"/>
                      <w:szCs w:val="21"/>
                      <w:lang w:val="en-US" w:eastAsia="zh-CN"/>
                    </w:rPr>
                    <w:t>0.24</w:t>
                  </w:r>
                </w:p>
              </w:tc>
              <w:tc>
                <w:tcPr>
                  <w:tcW w:w="2688" w:type="dxa"/>
                  <w:vMerge w:val="continue"/>
                  <w:tcBorders>
                    <w:tl2br w:val="nil"/>
                    <w:tr2bl w:val="nil"/>
                  </w:tcBorders>
                  <w:vAlign w:val="center"/>
                </w:tcPr>
                <w:p w14:paraId="20A695D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hint="eastAsia" w:ascii="Times New Roman" w:hAnsi="Times New Roman"/>
                      <w:b w:val="0"/>
                      <w:bCs w:val="0"/>
                      <w:color w:val="auto"/>
                      <w:szCs w:val="21"/>
                    </w:rPr>
                  </w:pPr>
                </w:p>
              </w:tc>
              <w:tc>
                <w:tcPr>
                  <w:tcW w:w="2642" w:type="dxa"/>
                  <w:vMerge w:val="continue"/>
                  <w:tcBorders>
                    <w:tl2br w:val="nil"/>
                    <w:tr2bl w:val="nil"/>
                  </w:tcBorders>
                  <w:vAlign w:val="center"/>
                </w:tcPr>
                <w:p w14:paraId="6091190E">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val="0"/>
                      <w:color w:val="auto"/>
                    </w:rPr>
                  </w:pPr>
                </w:p>
              </w:tc>
            </w:tr>
            <w:tr w14:paraId="12B97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512" w:type="dxa"/>
                  <w:tcBorders>
                    <w:tl2br w:val="nil"/>
                    <w:tr2bl w:val="nil"/>
                  </w:tcBorders>
                  <w:vAlign w:val="center"/>
                </w:tcPr>
                <w:p w14:paraId="5457D2C6">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val="0"/>
                      <w:color w:val="auto"/>
                      <w:szCs w:val="21"/>
                    </w:rPr>
                  </w:pPr>
                  <w:r>
                    <w:rPr>
                      <w:rFonts w:ascii="Times New Roman" w:hAnsi="Times New Roman"/>
                      <w:b w:val="0"/>
                      <w:bCs w:val="0"/>
                      <w:color w:val="auto"/>
                      <w:szCs w:val="21"/>
                    </w:rPr>
                    <w:t>非甲烷总烃</w:t>
                  </w:r>
                </w:p>
              </w:tc>
              <w:tc>
                <w:tcPr>
                  <w:tcW w:w="1575" w:type="dxa"/>
                  <w:tcBorders>
                    <w:tl2br w:val="nil"/>
                    <w:tr2bl w:val="nil"/>
                  </w:tcBorders>
                  <w:vAlign w:val="center"/>
                </w:tcPr>
                <w:p w14:paraId="483DE18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b w:val="0"/>
                      <w:bCs w:val="0"/>
                      <w:color w:val="auto"/>
                      <w:szCs w:val="21"/>
                    </w:rPr>
                  </w:pPr>
                  <w:r>
                    <w:rPr>
                      <w:rFonts w:ascii="Times New Roman" w:hAnsi="Times New Roman"/>
                      <w:b w:val="0"/>
                      <w:bCs w:val="0"/>
                      <w:color w:val="auto"/>
                      <w:szCs w:val="21"/>
                    </w:rPr>
                    <w:t>4.0</w:t>
                  </w:r>
                </w:p>
              </w:tc>
              <w:tc>
                <w:tcPr>
                  <w:tcW w:w="2688" w:type="dxa"/>
                  <w:vMerge w:val="continue"/>
                  <w:tcBorders>
                    <w:tl2br w:val="nil"/>
                    <w:tr2bl w:val="nil"/>
                  </w:tcBorders>
                  <w:vAlign w:val="center"/>
                </w:tcPr>
                <w:p w14:paraId="0901CB97">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color w:val="auto"/>
                      <w:szCs w:val="21"/>
                    </w:rPr>
                  </w:pPr>
                </w:p>
              </w:tc>
              <w:tc>
                <w:tcPr>
                  <w:tcW w:w="2642" w:type="dxa"/>
                  <w:vMerge w:val="continue"/>
                  <w:tcBorders>
                    <w:tl2br w:val="nil"/>
                    <w:tr2bl w:val="nil"/>
                  </w:tcBorders>
                  <w:vAlign w:val="center"/>
                </w:tcPr>
                <w:p w14:paraId="24EC27A4">
                  <w:pPr>
                    <w:pStyle w:val="37"/>
                    <w:keepNext w:val="0"/>
                    <w:keepLines w:val="0"/>
                    <w:pageBreakBefore w:val="0"/>
                    <w:widowControl/>
                    <w:kinsoku/>
                    <w:wordWrap/>
                    <w:overflowPunct/>
                    <w:topLinePunct w:val="0"/>
                    <w:autoSpaceDE/>
                    <w:autoSpaceDN/>
                    <w:bidi w:val="0"/>
                    <w:adjustRightInd w:val="0"/>
                    <w:snapToGrid w:val="0"/>
                    <w:spacing w:before="0" w:after="0"/>
                    <w:ind w:right="0"/>
                    <w:textAlignment w:val="auto"/>
                    <w:rPr>
                      <w:rFonts w:ascii="Times New Roman" w:hAnsi="Times New Roman"/>
                      <w:color w:val="auto"/>
                      <w:szCs w:val="21"/>
                    </w:rPr>
                  </w:pPr>
                </w:p>
              </w:tc>
            </w:tr>
          </w:tbl>
          <w:p w14:paraId="34DF6473">
            <w:pPr>
              <w:keepLines w:val="0"/>
              <w:pageBreakBefore w:val="0"/>
              <w:wordWrap/>
              <w:topLinePunct w:val="0"/>
              <w:bidi w:val="0"/>
              <w:adjustRightInd w:val="0"/>
              <w:snapToGrid w:val="0"/>
              <w:ind w:left="0" w:leftChars="0" w:firstLine="0" w:firstLineChars="0"/>
              <w:textAlignment w:val="auto"/>
              <w:rPr>
                <w:rFonts w:hint="eastAsia"/>
                <w:color w:val="auto"/>
              </w:rPr>
            </w:pPr>
            <w:r>
              <w:rPr>
                <w:rFonts w:hint="eastAsia"/>
                <w:b/>
                <w:bCs/>
                <w:color w:val="auto"/>
                <w:lang w:val="en-US" w:eastAsia="zh-CN"/>
              </w:rPr>
              <w:t>3.3.2</w:t>
            </w:r>
            <w:r>
              <w:rPr>
                <w:rFonts w:hint="eastAsia"/>
                <w:b/>
                <w:bCs/>
                <w:color w:val="auto"/>
              </w:rPr>
              <w:t>废水污染物排放控制标准</w:t>
            </w:r>
          </w:p>
          <w:p w14:paraId="41406CA3">
            <w:pPr>
              <w:keepLines w:val="0"/>
              <w:pageBreakBefore w:val="0"/>
              <w:wordWrap/>
              <w:topLinePunct w:val="0"/>
              <w:bidi w:val="0"/>
              <w:adjustRightInd w:val="0"/>
              <w:snapToGrid w:val="0"/>
              <w:ind w:firstLine="480"/>
              <w:textAlignment w:val="auto"/>
              <w:rPr>
                <w:color w:val="auto"/>
                <w:szCs w:val="22"/>
              </w:rPr>
            </w:pPr>
            <w:r>
              <w:rPr>
                <w:color w:val="auto"/>
                <w:szCs w:val="22"/>
              </w:rPr>
              <w:t>本项目</w:t>
            </w:r>
            <w:r>
              <w:rPr>
                <w:rFonts w:hint="eastAsia"/>
                <w:color w:val="auto"/>
                <w:szCs w:val="22"/>
                <w:lang w:val="en-US" w:eastAsia="zh-CN"/>
              </w:rPr>
              <w:t>运营期主要为空压系统冷凝水和生活污水，</w:t>
            </w:r>
            <w:r>
              <w:rPr>
                <w:rFonts w:hint="eastAsia"/>
                <w:color w:val="auto"/>
              </w:rPr>
              <w:t>生活污水经化粪池预处理后满足</w:t>
            </w:r>
            <w:r>
              <w:rPr>
                <w:rFonts w:hint="eastAsia" w:ascii="Times New Roman" w:hAnsi="Times New Roman" w:eastAsia="宋体" w:cs="Times New Roman"/>
                <w:color w:val="auto"/>
                <w:sz w:val="24"/>
                <w:szCs w:val="24"/>
                <w:lang w:val="en-US" w:eastAsia="zh-CN"/>
              </w:rPr>
              <w:t>青阳县污水处理厂接管限值（未</w:t>
            </w:r>
            <w:r>
              <w:rPr>
                <w:rFonts w:hint="eastAsia" w:cs="Times New Roman"/>
                <w:color w:val="auto"/>
                <w:sz w:val="24"/>
                <w:szCs w:val="24"/>
                <w:lang w:val="en-US" w:eastAsia="zh-CN"/>
              </w:rPr>
              <w:t>作</w:t>
            </w:r>
            <w:r>
              <w:rPr>
                <w:rFonts w:hint="eastAsia" w:ascii="Times New Roman" w:hAnsi="Times New Roman" w:eastAsia="宋体" w:cs="Times New Roman"/>
                <w:color w:val="auto"/>
                <w:sz w:val="24"/>
                <w:szCs w:val="24"/>
                <w:lang w:val="en-US" w:eastAsia="zh-CN"/>
              </w:rPr>
              <w:t>规定的执行《污水综合排放标准》（GB8978-1996）表4中三级标准）</w:t>
            </w:r>
            <w:r>
              <w:rPr>
                <w:rFonts w:hint="eastAsia" w:cs="Times New Roman"/>
                <w:color w:val="auto"/>
                <w:sz w:val="24"/>
                <w:szCs w:val="24"/>
                <w:lang w:val="en-US" w:eastAsia="zh-CN"/>
              </w:rPr>
              <w:t>与空压系统冷凝水</w:t>
            </w:r>
            <w:r>
              <w:rPr>
                <w:rFonts w:hint="eastAsia"/>
                <w:color w:val="auto"/>
              </w:rPr>
              <w:t>经</w:t>
            </w:r>
            <w:r>
              <w:rPr>
                <w:rFonts w:hint="eastAsia"/>
                <w:color w:val="auto"/>
                <w:lang w:eastAsia="zh-CN"/>
              </w:rPr>
              <w:t>厂区污水总排口排入</w:t>
            </w:r>
            <w:r>
              <w:rPr>
                <w:rFonts w:hint="eastAsia"/>
                <w:color w:val="auto"/>
              </w:rPr>
              <w:t>市政污水管网排入</w:t>
            </w:r>
            <w:r>
              <w:rPr>
                <w:rFonts w:hint="eastAsia"/>
                <w:color w:val="auto"/>
                <w:lang w:eastAsia="zh-CN"/>
              </w:rPr>
              <w:t>青阳县污水处理厂</w:t>
            </w:r>
            <w:r>
              <w:rPr>
                <w:rFonts w:hint="eastAsia"/>
                <w:color w:val="auto"/>
              </w:rPr>
              <w:t>深度处理，</w:t>
            </w:r>
            <w:r>
              <w:rPr>
                <w:rFonts w:hint="eastAsia" w:ascii="Times New Roman" w:hAnsi="Times New Roman" w:eastAsia="宋体" w:cs="Times New Roman"/>
                <w:color w:val="auto"/>
                <w:sz w:val="24"/>
                <w:szCs w:val="24"/>
                <w:lang w:val="en-US" w:eastAsia="zh-CN"/>
              </w:rPr>
              <w:t>尾水最终排入青通河</w:t>
            </w:r>
            <w:r>
              <w:rPr>
                <w:rFonts w:hint="default" w:ascii="Times New Roman" w:hAnsi="Times New Roman" w:cs="Times New Roman"/>
                <w:color w:val="auto"/>
              </w:rPr>
              <w:t>。</w:t>
            </w:r>
          </w:p>
          <w:p w14:paraId="1B035C97">
            <w:pPr>
              <w:pStyle w:val="38"/>
              <w:bidi w:val="0"/>
              <w:rPr>
                <w:color w:val="auto"/>
              </w:rPr>
            </w:pPr>
            <w:r>
              <w:rPr>
                <w:rFonts w:hint="eastAsia"/>
                <w:color w:val="auto"/>
              </w:rPr>
              <w:t>表</w:t>
            </w:r>
            <w:r>
              <w:rPr>
                <w:rFonts w:hint="eastAsia"/>
                <w:color w:val="auto"/>
                <w:lang w:val="en-US" w:eastAsia="zh-CN"/>
              </w:rPr>
              <w:t xml:space="preserve">3-8 </w:t>
            </w:r>
            <w:r>
              <w:rPr>
                <w:rFonts w:hint="eastAsia"/>
                <w:color w:val="auto"/>
              </w:rPr>
              <w:t xml:space="preserve"> 废水排放执行标准  单位：mg/L</w:t>
            </w:r>
          </w:p>
          <w:tbl>
            <w:tblPr>
              <w:tblStyle w:val="31"/>
              <w:tblW w:w="841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00"/>
              <w:gridCol w:w="1029"/>
              <w:gridCol w:w="1272"/>
              <w:gridCol w:w="1272"/>
              <w:gridCol w:w="1272"/>
              <w:gridCol w:w="1272"/>
            </w:tblGrid>
            <w:tr w14:paraId="0F7C3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66" w:type="pct"/>
                  <w:tcBorders>
                    <w:tl2br w:val="nil"/>
                    <w:tr2bl w:val="nil"/>
                  </w:tcBorders>
                  <w:noWrap w:val="0"/>
                  <w:vAlign w:val="center"/>
                </w:tcPr>
                <w:p w14:paraId="29E5CD3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污染物名称</w:t>
                  </w:r>
                </w:p>
              </w:tc>
              <w:tc>
                <w:tcPr>
                  <w:tcW w:w="611" w:type="pct"/>
                  <w:tcBorders>
                    <w:tl2br w:val="nil"/>
                    <w:tr2bl w:val="nil"/>
                  </w:tcBorders>
                  <w:noWrap w:val="0"/>
                  <w:vAlign w:val="center"/>
                </w:tcPr>
                <w:p w14:paraId="3DE01FB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pH</w:t>
                  </w:r>
                </w:p>
              </w:tc>
              <w:tc>
                <w:tcPr>
                  <w:tcW w:w="755" w:type="pct"/>
                  <w:tcBorders>
                    <w:tl2br w:val="nil"/>
                    <w:tr2bl w:val="nil"/>
                  </w:tcBorders>
                  <w:noWrap w:val="0"/>
                  <w:vAlign w:val="center"/>
                </w:tcPr>
                <w:p w14:paraId="227192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COD</w:t>
                  </w:r>
                </w:p>
              </w:tc>
              <w:tc>
                <w:tcPr>
                  <w:tcW w:w="755" w:type="pct"/>
                  <w:tcBorders>
                    <w:tl2br w:val="nil"/>
                    <w:tr2bl w:val="nil"/>
                  </w:tcBorders>
                  <w:noWrap w:val="0"/>
                  <w:vAlign w:val="center"/>
                </w:tcPr>
                <w:p w14:paraId="6B8836E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BOD</w:t>
                  </w:r>
                  <w:r>
                    <w:rPr>
                      <w:rFonts w:hint="default" w:ascii="Times New Roman" w:hAnsi="Times New Roman" w:cs="Times New Roman"/>
                      <w:b/>
                      <w:bCs/>
                      <w:color w:val="auto"/>
                      <w:vertAlign w:val="subscript"/>
                    </w:rPr>
                    <w:t>5</w:t>
                  </w:r>
                </w:p>
              </w:tc>
              <w:tc>
                <w:tcPr>
                  <w:tcW w:w="755" w:type="pct"/>
                  <w:tcBorders>
                    <w:tl2br w:val="nil"/>
                    <w:tr2bl w:val="nil"/>
                  </w:tcBorders>
                  <w:noWrap w:val="0"/>
                  <w:vAlign w:val="center"/>
                </w:tcPr>
                <w:p w14:paraId="75E4723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SS</w:t>
                  </w:r>
                </w:p>
              </w:tc>
              <w:tc>
                <w:tcPr>
                  <w:tcW w:w="755" w:type="pct"/>
                  <w:tcBorders>
                    <w:tl2br w:val="nil"/>
                    <w:tr2bl w:val="nil"/>
                  </w:tcBorders>
                  <w:noWrap w:val="0"/>
                  <w:vAlign w:val="center"/>
                </w:tcPr>
                <w:p w14:paraId="53EE43A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NH</w:t>
                  </w:r>
                  <w:r>
                    <w:rPr>
                      <w:rFonts w:hint="default" w:ascii="Times New Roman" w:hAnsi="Times New Roman" w:cs="Times New Roman"/>
                      <w:b/>
                      <w:bCs/>
                      <w:color w:val="auto"/>
                      <w:vertAlign w:val="subscript"/>
                    </w:rPr>
                    <w:t>3</w:t>
                  </w:r>
                  <w:r>
                    <w:rPr>
                      <w:rFonts w:hint="default" w:ascii="Times New Roman" w:hAnsi="Times New Roman" w:cs="Times New Roman"/>
                      <w:b/>
                      <w:bCs/>
                      <w:color w:val="auto"/>
                    </w:rPr>
                    <w:t>-N</w:t>
                  </w:r>
                </w:p>
              </w:tc>
            </w:tr>
            <w:tr w14:paraId="3E7896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66" w:type="pct"/>
                  <w:tcBorders>
                    <w:tl2br w:val="nil"/>
                    <w:tr2bl w:val="nil"/>
                  </w:tcBorders>
                  <w:noWrap w:val="0"/>
                  <w:vAlign w:val="center"/>
                </w:tcPr>
                <w:p w14:paraId="5ACE39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eastAsia="zh-CN"/>
                    </w:rPr>
                    <w:t>青阳县污水处理厂</w:t>
                  </w:r>
                  <w:r>
                    <w:rPr>
                      <w:rFonts w:hint="default" w:ascii="Times New Roman" w:hAnsi="Times New Roman" w:cs="Times New Roman"/>
                      <w:b w:val="0"/>
                      <w:bCs/>
                      <w:color w:val="auto"/>
                    </w:rPr>
                    <w:t>接管标准</w:t>
                  </w:r>
                </w:p>
              </w:tc>
              <w:tc>
                <w:tcPr>
                  <w:tcW w:w="611" w:type="pct"/>
                  <w:tcBorders>
                    <w:tl2br w:val="nil"/>
                    <w:tr2bl w:val="nil"/>
                  </w:tcBorders>
                  <w:noWrap w:val="0"/>
                  <w:vAlign w:val="center"/>
                </w:tcPr>
                <w:p w14:paraId="0E6E194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6~9</w:t>
                  </w:r>
                </w:p>
              </w:tc>
              <w:tc>
                <w:tcPr>
                  <w:tcW w:w="755" w:type="pct"/>
                  <w:tcBorders>
                    <w:tl2br w:val="nil"/>
                    <w:tr2bl w:val="nil"/>
                  </w:tcBorders>
                  <w:noWrap w:val="0"/>
                  <w:vAlign w:val="center"/>
                </w:tcPr>
                <w:p w14:paraId="21FC43C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300</w:t>
                  </w:r>
                </w:p>
              </w:tc>
              <w:tc>
                <w:tcPr>
                  <w:tcW w:w="755" w:type="pct"/>
                  <w:tcBorders>
                    <w:tl2br w:val="nil"/>
                    <w:tr2bl w:val="nil"/>
                  </w:tcBorders>
                  <w:noWrap w:val="0"/>
                  <w:vAlign w:val="center"/>
                </w:tcPr>
                <w:p w14:paraId="12A1006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150</w:t>
                  </w:r>
                </w:p>
              </w:tc>
              <w:tc>
                <w:tcPr>
                  <w:tcW w:w="755" w:type="pct"/>
                  <w:tcBorders>
                    <w:tl2br w:val="nil"/>
                    <w:tr2bl w:val="nil"/>
                  </w:tcBorders>
                  <w:noWrap w:val="0"/>
                  <w:vAlign w:val="center"/>
                </w:tcPr>
                <w:p w14:paraId="2114D0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400</w:t>
                  </w:r>
                </w:p>
              </w:tc>
              <w:tc>
                <w:tcPr>
                  <w:tcW w:w="755" w:type="pct"/>
                  <w:tcBorders>
                    <w:tl2br w:val="nil"/>
                    <w:tr2bl w:val="nil"/>
                  </w:tcBorders>
                  <w:noWrap w:val="0"/>
                  <w:vAlign w:val="center"/>
                </w:tcPr>
                <w:p w14:paraId="25B1ACA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25</w:t>
                  </w:r>
                </w:p>
              </w:tc>
            </w:tr>
            <w:tr w14:paraId="103C8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66" w:type="pct"/>
                  <w:tcBorders>
                    <w:tl2br w:val="nil"/>
                    <w:tr2bl w:val="nil"/>
                  </w:tcBorders>
                  <w:noWrap w:val="0"/>
                  <w:vAlign w:val="center"/>
                </w:tcPr>
                <w:p w14:paraId="40F2458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《污水综合排放标准》（GB8978-1996）表4中三级标准</w:t>
                  </w:r>
                </w:p>
              </w:tc>
              <w:tc>
                <w:tcPr>
                  <w:tcW w:w="611" w:type="pct"/>
                  <w:tcBorders>
                    <w:tl2br w:val="nil"/>
                    <w:tr2bl w:val="nil"/>
                  </w:tcBorders>
                  <w:noWrap w:val="0"/>
                  <w:vAlign w:val="center"/>
                </w:tcPr>
                <w:p w14:paraId="1C8E7B6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6～9</w:t>
                  </w:r>
                </w:p>
              </w:tc>
              <w:tc>
                <w:tcPr>
                  <w:tcW w:w="755" w:type="pct"/>
                  <w:tcBorders>
                    <w:tl2br w:val="nil"/>
                    <w:tr2bl w:val="nil"/>
                  </w:tcBorders>
                  <w:noWrap w:val="0"/>
                  <w:vAlign w:val="center"/>
                </w:tcPr>
                <w:p w14:paraId="54CE0DD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500</w:t>
                  </w:r>
                </w:p>
              </w:tc>
              <w:tc>
                <w:tcPr>
                  <w:tcW w:w="755" w:type="pct"/>
                  <w:tcBorders>
                    <w:tl2br w:val="nil"/>
                    <w:tr2bl w:val="nil"/>
                  </w:tcBorders>
                  <w:noWrap w:val="0"/>
                  <w:vAlign w:val="center"/>
                </w:tcPr>
                <w:p w14:paraId="11AD9DB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300</w:t>
                  </w:r>
                </w:p>
              </w:tc>
              <w:tc>
                <w:tcPr>
                  <w:tcW w:w="755" w:type="pct"/>
                  <w:tcBorders>
                    <w:tl2br w:val="nil"/>
                    <w:tr2bl w:val="nil"/>
                  </w:tcBorders>
                  <w:noWrap w:val="0"/>
                  <w:vAlign w:val="center"/>
                </w:tcPr>
                <w:p w14:paraId="7125C34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400</w:t>
                  </w:r>
                </w:p>
              </w:tc>
              <w:tc>
                <w:tcPr>
                  <w:tcW w:w="755" w:type="pct"/>
                  <w:tcBorders>
                    <w:tl2br w:val="nil"/>
                    <w:tr2bl w:val="nil"/>
                  </w:tcBorders>
                  <w:noWrap w:val="0"/>
                  <w:vAlign w:val="center"/>
                </w:tcPr>
                <w:p w14:paraId="12EE774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eastAsia="zh-CN"/>
                    </w:rPr>
                  </w:pPr>
                  <w:r>
                    <w:rPr>
                      <w:rFonts w:hint="default" w:ascii="Times New Roman" w:hAnsi="Times New Roman" w:cs="Times New Roman"/>
                      <w:b w:val="0"/>
                      <w:bCs/>
                      <w:color w:val="auto"/>
                      <w:lang w:val="en-US" w:eastAsia="zh-CN"/>
                    </w:rPr>
                    <w:t>/</w:t>
                  </w:r>
                </w:p>
              </w:tc>
            </w:tr>
            <w:tr w14:paraId="1DF29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66" w:type="pct"/>
                  <w:tcBorders>
                    <w:tl2br w:val="nil"/>
                    <w:tr2bl w:val="nil"/>
                  </w:tcBorders>
                  <w:noWrap w:val="0"/>
                  <w:vAlign w:val="center"/>
                </w:tcPr>
                <w:p w14:paraId="6E2D1BD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本项目执行标准</w:t>
                  </w:r>
                </w:p>
              </w:tc>
              <w:tc>
                <w:tcPr>
                  <w:tcW w:w="611" w:type="pct"/>
                  <w:tcBorders>
                    <w:tl2br w:val="nil"/>
                    <w:tr2bl w:val="nil"/>
                  </w:tcBorders>
                  <w:noWrap w:val="0"/>
                  <w:vAlign w:val="center"/>
                </w:tcPr>
                <w:p w14:paraId="1CDCCC7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6~9</w:t>
                  </w:r>
                </w:p>
              </w:tc>
              <w:tc>
                <w:tcPr>
                  <w:tcW w:w="755" w:type="pct"/>
                  <w:tcBorders>
                    <w:tl2br w:val="nil"/>
                    <w:tr2bl w:val="nil"/>
                  </w:tcBorders>
                  <w:noWrap w:val="0"/>
                  <w:vAlign w:val="center"/>
                </w:tcPr>
                <w:p w14:paraId="33DA53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300</w:t>
                  </w:r>
                </w:p>
              </w:tc>
              <w:tc>
                <w:tcPr>
                  <w:tcW w:w="755" w:type="pct"/>
                  <w:tcBorders>
                    <w:tl2br w:val="nil"/>
                    <w:tr2bl w:val="nil"/>
                  </w:tcBorders>
                  <w:noWrap w:val="0"/>
                  <w:vAlign w:val="center"/>
                </w:tcPr>
                <w:p w14:paraId="43A4930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150</w:t>
                  </w:r>
                </w:p>
              </w:tc>
              <w:tc>
                <w:tcPr>
                  <w:tcW w:w="755" w:type="pct"/>
                  <w:tcBorders>
                    <w:tl2br w:val="nil"/>
                    <w:tr2bl w:val="nil"/>
                  </w:tcBorders>
                  <w:noWrap w:val="0"/>
                  <w:vAlign w:val="center"/>
                </w:tcPr>
                <w:p w14:paraId="4893819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400</w:t>
                  </w:r>
                </w:p>
              </w:tc>
              <w:tc>
                <w:tcPr>
                  <w:tcW w:w="755" w:type="pct"/>
                  <w:tcBorders>
                    <w:tl2br w:val="nil"/>
                    <w:tr2bl w:val="nil"/>
                  </w:tcBorders>
                  <w:noWrap w:val="0"/>
                  <w:vAlign w:val="center"/>
                </w:tcPr>
                <w:p w14:paraId="21EE86C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25</w:t>
                  </w:r>
                </w:p>
              </w:tc>
            </w:tr>
          </w:tbl>
          <w:p w14:paraId="0B3005A7">
            <w:pPr>
              <w:keepLines w:val="0"/>
              <w:pageBreakBefore w:val="0"/>
              <w:wordWrap/>
              <w:topLinePunct w:val="0"/>
              <w:bidi w:val="0"/>
              <w:adjustRightInd w:val="0"/>
              <w:snapToGrid w:val="0"/>
              <w:ind w:left="0" w:leftChars="0" w:firstLine="0" w:firstLineChars="0"/>
              <w:textAlignment w:val="auto"/>
              <w:rPr>
                <w:rFonts w:hint="eastAsia"/>
                <w:color w:val="auto"/>
                <w:lang w:val="en-US" w:eastAsia="zh-CN"/>
              </w:rPr>
            </w:pPr>
            <w:r>
              <w:rPr>
                <w:rFonts w:hint="eastAsia"/>
                <w:b/>
                <w:bCs/>
                <w:color w:val="auto"/>
                <w:lang w:val="en-US" w:eastAsia="zh-CN"/>
              </w:rPr>
              <w:t>3.3.3噪声</w:t>
            </w:r>
            <w:r>
              <w:rPr>
                <w:rFonts w:hint="eastAsia"/>
                <w:b/>
                <w:bCs/>
                <w:color w:val="auto"/>
              </w:rPr>
              <w:t>污染物排放控制标准</w:t>
            </w:r>
          </w:p>
          <w:p w14:paraId="3EEE9E49">
            <w:pPr>
              <w:keepLines w:val="0"/>
              <w:pageBreakBefore w:val="0"/>
              <w:wordWrap/>
              <w:topLinePunct w:val="0"/>
              <w:bidi w:val="0"/>
              <w:adjustRightInd w:val="0"/>
              <w:snapToGrid w:val="0"/>
              <w:textAlignment w:val="auto"/>
              <w:rPr>
                <w:color w:val="auto"/>
                <w:sz w:val="24"/>
                <w:szCs w:val="24"/>
              </w:rPr>
            </w:pPr>
            <w:r>
              <w:rPr>
                <w:rFonts w:hint="eastAsia"/>
                <w:color w:val="auto"/>
                <w:sz w:val="24"/>
                <w:szCs w:val="24"/>
                <w:lang w:eastAsia="zh-CN"/>
              </w:rPr>
              <w:t>项目</w:t>
            </w:r>
            <w:r>
              <w:rPr>
                <w:color w:val="auto"/>
                <w:sz w:val="24"/>
                <w:szCs w:val="24"/>
              </w:rPr>
              <w:t>营运期厂界噪声执行《工业企业厂界环境噪声排放标准》（GB12348-2008）3类标准，详见</w:t>
            </w:r>
            <w:r>
              <w:rPr>
                <w:rFonts w:hint="eastAsia"/>
                <w:color w:val="auto"/>
                <w:sz w:val="24"/>
                <w:szCs w:val="24"/>
                <w:lang w:val="en-US" w:eastAsia="zh-CN"/>
              </w:rPr>
              <w:t>下</w:t>
            </w:r>
            <w:r>
              <w:rPr>
                <w:color w:val="auto"/>
                <w:sz w:val="24"/>
                <w:szCs w:val="24"/>
              </w:rPr>
              <w:t>表。</w:t>
            </w:r>
          </w:p>
          <w:p w14:paraId="5259084B">
            <w:pPr>
              <w:pStyle w:val="38"/>
              <w:keepLines w:val="0"/>
              <w:pageBreakBefore w:val="0"/>
              <w:wordWrap/>
              <w:topLinePunct w:val="0"/>
              <w:bidi w:val="0"/>
              <w:adjustRightInd w:val="0"/>
              <w:snapToGrid w:val="0"/>
              <w:textAlignment w:val="auto"/>
              <w:rPr>
                <w:color w:val="auto"/>
              </w:rPr>
            </w:pPr>
            <w:r>
              <w:rPr>
                <w:color w:val="auto"/>
              </w:rPr>
              <w:t>表</w:t>
            </w:r>
            <w:r>
              <w:rPr>
                <w:rFonts w:hint="eastAsia"/>
                <w:color w:val="auto"/>
                <w:lang w:val="en-US" w:eastAsia="zh-CN"/>
              </w:rPr>
              <w:t>3-9</w:t>
            </w:r>
            <w:r>
              <w:rPr>
                <w:color w:val="auto"/>
              </w:rPr>
              <w:t xml:space="preserve"> </w:t>
            </w:r>
            <w:r>
              <w:rPr>
                <w:rFonts w:hint="eastAsia"/>
                <w:color w:val="auto"/>
                <w:lang w:val="en-US" w:eastAsia="zh-CN"/>
              </w:rPr>
              <w:t xml:space="preserve"> </w:t>
            </w:r>
            <w:r>
              <w:rPr>
                <w:color w:val="auto"/>
              </w:rPr>
              <w:t>工业企业厂界</w:t>
            </w:r>
            <w:r>
              <w:rPr>
                <w:rFonts w:hint="eastAsia"/>
                <w:color w:val="auto"/>
                <w:lang w:eastAsia="zh-CN"/>
              </w:rPr>
              <w:t>环境</w:t>
            </w:r>
            <w:r>
              <w:rPr>
                <w:color w:val="auto"/>
              </w:rPr>
              <w:t>噪声排放标准</w:t>
            </w:r>
            <w:r>
              <w:rPr>
                <w:rFonts w:hint="eastAsia"/>
                <w:color w:val="auto"/>
                <w:lang w:val="en-US" w:eastAsia="zh-CN"/>
              </w:rPr>
              <w:t xml:space="preserve">  </w:t>
            </w:r>
            <w:r>
              <w:rPr>
                <w:color w:val="auto"/>
              </w:rPr>
              <w:t>单位：dB(A)</w:t>
            </w:r>
          </w:p>
          <w:tbl>
            <w:tblPr>
              <w:tblStyle w:val="31"/>
              <w:tblW w:w="84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062"/>
              <w:gridCol w:w="3357"/>
            </w:tblGrid>
            <w:tr w14:paraId="05B87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006" w:type="pct"/>
                  <w:tcBorders>
                    <w:tl2br w:val="nil"/>
                    <w:tr2bl w:val="nil"/>
                  </w:tcBorders>
                  <w:noWrap w:val="0"/>
                  <w:vAlign w:val="center"/>
                </w:tcPr>
                <w:p w14:paraId="60D4B4F3">
                  <w:pPr>
                    <w:keepLines w:val="0"/>
                    <w:pageBreakBefore w:val="0"/>
                    <w:wordWrap/>
                    <w:topLinePunct w:val="0"/>
                    <w:bidi w:val="0"/>
                    <w:adjustRightInd w:val="0"/>
                    <w:snapToGrid w:val="0"/>
                    <w:spacing w:line="240" w:lineRule="auto"/>
                    <w:ind w:left="0" w:leftChars="0" w:firstLine="0" w:firstLineChars="0"/>
                    <w:jc w:val="center"/>
                    <w:textAlignment w:val="auto"/>
                    <w:rPr>
                      <w:rFonts w:ascii="Times New Roman" w:hAnsi="Times New Roman"/>
                      <w:b/>
                      <w:bCs/>
                      <w:color w:val="auto"/>
                      <w:sz w:val="21"/>
                      <w:szCs w:val="21"/>
                      <w:lang w:eastAsia="zh-CN"/>
                    </w:rPr>
                  </w:pPr>
                  <w:r>
                    <w:rPr>
                      <w:rFonts w:ascii="Times New Roman" w:hAnsi="Times New Roman"/>
                      <w:b/>
                      <w:bCs/>
                      <w:color w:val="auto"/>
                      <w:sz w:val="21"/>
                      <w:szCs w:val="21"/>
                      <w:lang w:eastAsia="zh-CN"/>
                    </w:rPr>
                    <w:t>参照标准</w:t>
                  </w:r>
                </w:p>
              </w:tc>
              <w:tc>
                <w:tcPr>
                  <w:tcW w:w="1993" w:type="pct"/>
                  <w:tcBorders>
                    <w:tl2br w:val="nil"/>
                    <w:tr2bl w:val="nil"/>
                  </w:tcBorders>
                  <w:noWrap w:val="0"/>
                  <w:vAlign w:val="center"/>
                </w:tcPr>
                <w:p w14:paraId="7ED7788A">
                  <w:pPr>
                    <w:keepLines w:val="0"/>
                    <w:pageBreakBefore w:val="0"/>
                    <w:wordWrap/>
                    <w:topLinePunct w:val="0"/>
                    <w:bidi w:val="0"/>
                    <w:adjustRightInd w:val="0"/>
                    <w:snapToGrid w:val="0"/>
                    <w:spacing w:line="240" w:lineRule="auto"/>
                    <w:ind w:left="0" w:leftChars="0" w:firstLine="0" w:firstLineChars="0"/>
                    <w:jc w:val="center"/>
                    <w:textAlignment w:val="auto"/>
                    <w:rPr>
                      <w:rFonts w:ascii="Times New Roman" w:hAnsi="Times New Roman"/>
                      <w:b/>
                      <w:bCs/>
                      <w:color w:val="auto"/>
                      <w:sz w:val="21"/>
                      <w:szCs w:val="21"/>
                      <w:lang w:eastAsia="zh-CN"/>
                    </w:rPr>
                  </w:pPr>
                  <w:r>
                    <w:rPr>
                      <w:rFonts w:ascii="Times New Roman" w:hAnsi="Times New Roman"/>
                      <w:b/>
                      <w:bCs/>
                      <w:color w:val="auto"/>
                      <w:sz w:val="21"/>
                      <w:szCs w:val="21"/>
                      <w:lang w:eastAsia="zh-CN"/>
                    </w:rPr>
                    <w:t>昼间</w:t>
                  </w:r>
                </w:p>
              </w:tc>
            </w:tr>
            <w:tr w14:paraId="22354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006" w:type="pct"/>
                  <w:tcBorders>
                    <w:tl2br w:val="nil"/>
                    <w:tr2bl w:val="nil"/>
                  </w:tcBorders>
                  <w:noWrap w:val="0"/>
                  <w:vAlign w:val="center"/>
                </w:tcPr>
                <w:p w14:paraId="0FFB4D89">
                  <w:pPr>
                    <w:keepLines w:val="0"/>
                    <w:pageBreakBefore w:val="0"/>
                    <w:wordWrap/>
                    <w:topLinePunct w:val="0"/>
                    <w:bidi w:val="0"/>
                    <w:adjustRightInd w:val="0"/>
                    <w:snapToGrid w:val="0"/>
                    <w:spacing w:line="240" w:lineRule="auto"/>
                    <w:ind w:left="0" w:leftChars="0" w:firstLine="0" w:firstLineChars="0"/>
                    <w:jc w:val="center"/>
                    <w:textAlignment w:val="auto"/>
                    <w:rPr>
                      <w:rFonts w:ascii="Times New Roman" w:hAnsi="Times New Roman"/>
                      <w:color w:val="auto"/>
                      <w:sz w:val="21"/>
                      <w:szCs w:val="21"/>
                      <w:lang w:eastAsia="zh-CN"/>
                    </w:rPr>
                  </w:pPr>
                  <w:r>
                    <w:rPr>
                      <w:rFonts w:ascii="Times New Roman" w:hAnsi="Times New Roman"/>
                      <w:color w:val="auto"/>
                      <w:sz w:val="21"/>
                      <w:szCs w:val="21"/>
                      <w:lang w:eastAsia="zh-CN"/>
                    </w:rPr>
                    <w:t>《工业企业厂界环境噪声排放标准》3类</w:t>
                  </w:r>
                </w:p>
              </w:tc>
              <w:tc>
                <w:tcPr>
                  <w:tcW w:w="1993" w:type="pct"/>
                  <w:tcBorders>
                    <w:tl2br w:val="nil"/>
                    <w:tr2bl w:val="nil"/>
                  </w:tcBorders>
                  <w:noWrap w:val="0"/>
                  <w:vAlign w:val="center"/>
                </w:tcPr>
                <w:p w14:paraId="7A71D3B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ascii="Times New Roman" w:hAnsi="Times New Roman"/>
                      <w:color w:val="auto"/>
                      <w:sz w:val="21"/>
                      <w:szCs w:val="21"/>
                      <w:lang w:eastAsia="zh-CN"/>
                    </w:rPr>
                  </w:pPr>
                  <w:r>
                    <w:rPr>
                      <w:rFonts w:ascii="Times New Roman" w:hAnsi="Times New Roman"/>
                      <w:color w:val="auto"/>
                      <w:sz w:val="21"/>
                      <w:szCs w:val="21"/>
                      <w:lang w:eastAsia="zh-CN"/>
                    </w:rPr>
                    <w:t>65</w:t>
                  </w:r>
                </w:p>
              </w:tc>
            </w:tr>
          </w:tbl>
          <w:p w14:paraId="46BBA6CD">
            <w:pPr>
              <w:keepLines w:val="0"/>
              <w:pageBreakBefore w:val="0"/>
              <w:wordWrap/>
              <w:topLinePunct w:val="0"/>
              <w:bidi w:val="0"/>
              <w:adjustRightInd w:val="0"/>
              <w:snapToGrid w:val="0"/>
              <w:ind w:left="0" w:leftChars="0" w:firstLine="0" w:firstLineChars="0"/>
              <w:textAlignment w:val="auto"/>
              <w:rPr>
                <w:rFonts w:hint="default"/>
                <w:color w:val="auto"/>
                <w:lang w:val="en-US" w:eastAsia="zh-CN"/>
              </w:rPr>
            </w:pPr>
            <w:r>
              <w:rPr>
                <w:rFonts w:hint="eastAsia"/>
                <w:b/>
                <w:bCs/>
                <w:color w:val="auto"/>
                <w:lang w:val="en-US" w:eastAsia="zh-CN"/>
              </w:rPr>
              <w:t>3.3.4</w:t>
            </w:r>
            <w:r>
              <w:rPr>
                <w:rFonts w:hint="default"/>
                <w:b/>
                <w:bCs/>
                <w:color w:val="auto"/>
                <w:lang w:val="en-US" w:eastAsia="zh-CN"/>
              </w:rPr>
              <w:t>固体废物</w:t>
            </w:r>
            <w:r>
              <w:rPr>
                <w:rFonts w:hint="eastAsia"/>
                <w:b/>
                <w:bCs/>
                <w:color w:val="auto"/>
              </w:rPr>
              <w:t>控制标准</w:t>
            </w:r>
          </w:p>
          <w:p w14:paraId="3EB257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kern w:val="0"/>
                <w:sz w:val="24"/>
                <w:highlight w:val="yellow"/>
              </w:rPr>
            </w:pPr>
            <w:r>
              <w:rPr>
                <w:rFonts w:hint="eastAsia"/>
                <w:color w:val="auto"/>
                <w:sz w:val="24"/>
                <w:szCs w:val="24"/>
              </w:rPr>
              <w:t>固废</w:t>
            </w:r>
            <w:r>
              <w:rPr>
                <w:rFonts w:hint="eastAsia"/>
                <w:color w:val="auto"/>
                <w:sz w:val="24"/>
                <w:szCs w:val="24"/>
                <w:lang w:eastAsia="zh-CN"/>
              </w:rPr>
              <w:t>：</w:t>
            </w:r>
            <w:r>
              <w:rPr>
                <w:rFonts w:hint="eastAsia"/>
                <w:color w:val="auto"/>
                <w:sz w:val="24"/>
                <w:szCs w:val="24"/>
              </w:rPr>
              <w:t>按照</w:t>
            </w:r>
            <w:r>
              <w:rPr>
                <w:rFonts w:hint="eastAsia"/>
                <w:color w:val="auto"/>
                <w:sz w:val="24"/>
                <w:szCs w:val="24"/>
                <w:lang w:eastAsia="zh-CN"/>
              </w:rPr>
              <w:t>《中</w:t>
            </w:r>
            <w:r>
              <w:rPr>
                <w:rFonts w:hint="eastAsia"/>
                <w:color w:val="auto"/>
                <w:sz w:val="24"/>
                <w:szCs w:val="24"/>
              </w:rPr>
              <w:t>华人民共和国固体废物污染环境防治法</w:t>
            </w:r>
            <w:r>
              <w:rPr>
                <w:rFonts w:hint="eastAsia"/>
                <w:color w:val="auto"/>
                <w:sz w:val="24"/>
                <w:szCs w:val="24"/>
                <w:lang w:eastAsia="zh-CN"/>
              </w:rPr>
              <w:t>》</w:t>
            </w:r>
            <w:r>
              <w:rPr>
                <w:rFonts w:hint="eastAsia"/>
                <w:color w:val="auto"/>
                <w:sz w:val="24"/>
                <w:szCs w:val="24"/>
              </w:rPr>
              <w:t>中的要求，固体废物要妥善处置，不得形成二次污染</w:t>
            </w:r>
            <w:r>
              <w:rPr>
                <w:rFonts w:hint="eastAsia"/>
                <w:color w:val="auto"/>
                <w:sz w:val="24"/>
                <w:szCs w:val="24"/>
                <w:lang w:eastAsia="zh-CN"/>
              </w:rPr>
              <w:t>；</w:t>
            </w:r>
            <w:r>
              <w:rPr>
                <w:rFonts w:hint="eastAsia"/>
                <w:color w:val="auto"/>
                <w:sz w:val="24"/>
                <w:szCs w:val="24"/>
              </w:rPr>
              <w:t>一般工业固体废物处置参照执行</w:t>
            </w:r>
            <w:r>
              <w:rPr>
                <w:rFonts w:hint="eastAsia"/>
                <w:color w:val="auto"/>
                <w:sz w:val="24"/>
                <w:szCs w:val="24"/>
                <w:lang w:eastAsia="zh-CN"/>
              </w:rPr>
              <w:t>《</w:t>
            </w:r>
            <w:r>
              <w:rPr>
                <w:rFonts w:hint="eastAsia"/>
                <w:color w:val="auto"/>
                <w:sz w:val="24"/>
                <w:szCs w:val="24"/>
              </w:rPr>
              <w:t>一般工业固体废物贮存和填埋污染控制标准</w:t>
            </w:r>
            <w:r>
              <w:rPr>
                <w:rFonts w:hint="eastAsia"/>
                <w:color w:val="auto"/>
                <w:sz w:val="24"/>
                <w:szCs w:val="24"/>
                <w:lang w:eastAsia="zh-CN"/>
              </w:rPr>
              <w:t>》（</w:t>
            </w:r>
            <w:r>
              <w:rPr>
                <w:rFonts w:hint="eastAsia"/>
                <w:color w:val="auto"/>
                <w:sz w:val="24"/>
                <w:szCs w:val="24"/>
              </w:rPr>
              <w:t>GB18599-2020</w:t>
            </w:r>
            <w:r>
              <w:rPr>
                <w:rFonts w:hint="eastAsia"/>
                <w:color w:val="auto"/>
                <w:sz w:val="24"/>
                <w:szCs w:val="24"/>
                <w:lang w:eastAsia="zh-CN"/>
              </w:rPr>
              <w:t>）；</w:t>
            </w:r>
            <w:r>
              <w:rPr>
                <w:rFonts w:hint="eastAsia"/>
                <w:color w:val="auto"/>
                <w:sz w:val="24"/>
                <w:szCs w:val="24"/>
              </w:rPr>
              <w:t>危险废物的暂存及污染控制按</w:t>
            </w:r>
            <w:r>
              <w:rPr>
                <w:rFonts w:hint="eastAsia"/>
                <w:color w:val="auto"/>
                <w:sz w:val="24"/>
                <w:szCs w:val="24"/>
                <w:lang w:eastAsia="zh-CN"/>
              </w:rPr>
              <w:t>《</w:t>
            </w:r>
            <w:r>
              <w:rPr>
                <w:rFonts w:hint="eastAsia"/>
                <w:color w:val="auto"/>
                <w:sz w:val="24"/>
                <w:szCs w:val="24"/>
              </w:rPr>
              <w:t>危险废物贮存污染控制标准</w:t>
            </w:r>
            <w:r>
              <w:rPr>
                <w:rFonts w:hint="eastAsia"/>
                <w:color w:val="auto"/>
                <w:sz w:val="24"/>
                <w:szCs w:val="24"/>
                <w:lang w:eastAsia="zh-CN"/>
              </w:rPr>
              <w:t>》（</w:t>
            </w:r>
            <w:r>
              <w:rPr>
                <w:rFonts w:hint="eastAsia"/>
                <w:color w:val="auto"/>
                <w:sz w:val="24"/>
                <w:szCs w:val="24"/>
              </w:rPr>
              <w:t>GB18597-2023</w:t>
            </w:r>
            <w:r>
              <w:rPr>
                <w:rFonts w:hint="eastAsia"/>
                <w:color w:val="auto"/>
                <w:sz w:val="24"/>
                <w:szCs w:val="24"/>
                <w:lang w:eastAsia="zh-CN"/>
              </w:rPr>
              <w:t>）</w:t>
            </w:r>
            <w:r>
              <w:rPr>
                <w:rFonts w:hint="eastAsia"/>
                <w:color w:val="auto"/>
                <w:sz w:val="24"/>
                <w:szCs w:val="24"/>
              </w:rPr>
              <w:t>进行暂存、控制。</w:t>
            </w:r>
          </w:p>
        </w:tc>
      </w:tr>
      <w:tr w14:paraId="4FBA9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30" w:hRule="atLeast"/>
          <w:jc w:val="center"/>
        </w:trPr>
        <w:tc>
          <w:tcPr>
            <w:tcW w:w="719" w:type="dxa"/>
            <w:tcBorders>
              <w:tl2br w:val="nil"/>
              <w:tr2bl w:val="nil"/>
            </w:tcBorders>
            <w:noWrap w:val="0"/>
            <w:vAlign w:val="center"/>
          </w:tcPr>
          <w:p w14:paraId="3FE4C4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总量</w:t>
            </w:r>
          </w:p>
          <w:p w14:paraId="4FD831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控制</w:t>
            </w:r>
          </w:p>
          <w:p w14:paraId="2A5716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宋体" w:hAnsi="宋体" w:cs="宋体"/>
                <w:color w:val="auto"/>
                <w:kern w:val="0"/>
                <w:sz w:val="24"/>
                <w:highlight w:val="none"/>
              </w:rPr>
            </w:pPr>
            <w:r>
              <w:rPr>
                <w:rFonts w:hint="eastAsia" w:ascii="宋体" w:hAnsi="宋体" w:cs="宋体"/>
                <w:color w:val="auto"/>
                <w:kern w:val="0"/>
                <w:sz w:val="24"/>
                <w:highlight w:val="none"/>
              </w:rPr>
              <w:t>指标</w:t>
            </w:r>
          </w:p>
        </w:tc>
        <w:tc>
          <w:tcPr>
            <w:tcW w:w="8560" w:type="dxa"/>
            <w:tcBorders>
              <w:tl2br w:val="nil"/>
              <w:tr2bl w:val="nil"/>
            </w:tcBorders>
            <w:noWrap w:val="0"/>
            <w:vAlign w:val="center"/>
          </w:tcPr>
          <w:p w14:paraId="2E09FE0F">
            <w:pPr>
              <w:keepLines w:val="0"/>
              <w:pageBreakBefore w:val="0"/>
              <w:wordWrap/>
              <w:topLinePunct w:val="0"/>
              <w:bidi w:val="0"/>
              <w:adjustRightInd w:val="0"/>
              <w:snapToGrid w:val="0"/>
              <w:spacing w:line="360" w:lineRule="auto"/>
              <w:ind w:left="0" w:leftChars="0" w:firstLine="0" w:firstLineChars="0"/>
              <w:textAlignment w:val="auto"/>
              <w:rPr>
                <w:b/>
                <w:bCs/>
                <w:color w:val="auto"/>
                <w:sz w:val="24"/>
                <w:szCs w:val="24"/>
              </w:rPr>
            </w:pPr>
            <w:r>
              <w:rPr>
                <w:rFonts w:hint="eastAsia"/>
                <w:b/>
                <w:bCs/>
                <w:color w:val="auto"/>
                <w:sz w:val="24"/>
                <w:szCs w:val="24"/>
                <w:lang w:val="en-US" w:eastAsia="zh-CN"/>
              </w:rPr>
              <w:t xml:space="preserve">3.4 </w:t>
            </w:r>
            <w:r>
              <w:rPr>
                <w:b/>
                <w:bCs/>
                <w:color w:val="auto"/>
                <w:sz w:val="24"/>
                <w:szCs w:val="24"/>
              </w:rPr>
              <w:t>总量控制原则</w:t>
            </w:r>
          </w:p>
          <w:p w14:paraId="40491A67">
            <w:pPr>
              <w:bidi w:val="0"/>
              <w:ind w:left="0" w:leftChars="0" w:firstLine="0" w:firstLineChars="0"/>
              <w:rPr>
                <w:rFonts w:hint="default" w:ascii="Times New Roman" w:hAnsi="Times New Roman" w:cs="Times New Roman"/>
                <w:b/>
                <w:bCs/>
                <w:color w:val="auto"/>
                <w:sz w:val="24"/>
                <w:szCs w:val="24"/>
              </w:rPr>
            </w:pPr>
            <w:r>
              <w:rPr>
                <w:rFonts w:hint="eastAsia" w:cs="Times New Roman"/>
                <w:b/>
                <w:bCs/>
                <w:color w:val="auto"/>
                <w:sz w:val="24"/>
                <w:szCs w:val="24"/>
                <w:lang w:val="en-US" w:eastAsia="zh-CN"/>
              </w:rPr>
              <w:t xml:space="preserve">3.4.1 </w:t>
            </w:r>
            <w:r>
              <w:rPr>
                <w:rFonts w:hint="default" w:ascii="Times New Roman" w:hAnsi="Times New Roman" w:cs="Times New Roman"/>
                <w:b/>
                <w:bCs/>
                <w:color w:val="auto"/>
                <w:sz w:val="24"/>
                <w:szCs w:val="24"/>
              </w:rPr>
              <w:t>总量控制原则</w:t>
            </w:r>
          </w:p>
          <w:p w14:paraId="093D5FE1">
            <w:pPr>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根据《安徽省环保厅关于进一步加强建设项目新增大气污染物总量指标管理工作的通知》</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皖环发〔2017〕19号</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，新增大气主要污染物排放的建设项目环境影响评价文件审批前取得的总量指标从两项增加为四项。在二氧化硫、氮氧化物的基础上增加烟</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粉</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尘、挥发性有机物</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VOCs</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w:t>
            </w:r>
          </w:p>
          <w:p w14:paraId="7BD2C3D4">
            <w:pPr>
              <w:bidi w:val="0"/>
              <w:ind w:left="0" w:leftChars="0" w:firstLine="0" w:firstLineChars="0"/>
              <w:rPr>
                <w:rFonts w:hint="default" w:ascii="Times New Roman" w:hAnsi="Times New Roman" w:cs="Times New Roman"/>
                <w:b/>
                <w:bCs/>
                <w:color w:val="auto"/>
                <w:sz w:val="24"/>
                <w:szCs w:val="24"/>
                <w:lang w:val="en-US" w:eastAsia="zh-CN"/>
              </w:rPr>
            </w:pPr>
            <w:r>
              <w:rPr>
                <w:rFonts w:hint="eastAsia" w:cs="Times New Roman"/>
                <w:b/>
                <w:bCs/>
                <w:color w:val="auto"/>
                <w:sz w:val="24"/>
                <w:szCs w:val="24"/>
                <w:lang w:val="en-US" w:eastAsia="zh-CN"/>
              </w:rPr>
              <w:t xml:space="preserve">3.4.2 </w:t>
            </w:r>
            <w:r>
              <w:rPr>
                <w:rFonts w:hint="default" w:ascii="Times New Roman" w:hAnsi="Times New Roman" w:cs="Times New Roman"/>
                <w:b/>
                <w:bCs/>
                <w:color w:val="auto"/>
                <w:sz w:val="24"/>
                <w:szCs w:val="24"/>
                <w:lang w:val="en-US" w:eastAsia="zh-CN"/>
              </w:rPr>
              <w:t>废水</w:t>
            </w:r>
          </w:p>
          <w:p w14:paraId="13F9D5C7">
            <w:pPr>
              <w:spacing w:line="360" w:lineRule="auto"/>
              <w:ind w:firstLine="480" w:firstLineChars="200"/>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本项目化学需氧量（COD）纳管量为0.29</w:t>
            </w:r>
            <w:r>
              <w:rPr>
                <w:rFonts w:hint="eastAsia" w:cs="Times New Roman"/>
                <w:color w:val="auto"/>
                <w:sz w:val="24"/>
                <w:szCs w:val="24"/>
                <w:lang w:val="en-US" w:eastAsia="zh-CN"/>
              </w:rPr>
              <w:t>6</w:t>
            </w:r>
            <w:r>
              <w:rPr>
                <w:rFonts w:hint="default" w:ascii="Times New Roman" w:hAnsi="Times New Roman" w:cs="Times New Roman"/>
                <w:color w:val="auto"/>
                <w:sz w:val="24"/>
                <w:szCs w:val="24"/>
                <w:lang w:val="en-US" w:eastAsia="zh-CN"/>
              </w:rPr>
              <w:t>t/a、氨氮（NH</w:t>
            </w:r>
            <w:r>
              <w:rPr>
                <w:rFonts w:hint="default" w:ascii="Times New Roman" w:hAnsi="Times New Roman" w:cs="Times New Roman"/>
                <w:color w:val="auto"/>
                <w:sz w:val="24"/>
                <w:szCs w:val="24"/>
                <w:vertAlign w:val="subscript"/>
                <w:lang w:val="en-US" w:eastAsia="zh-CN"/>
              </w:rPr>
              <w:t>3</w:t>
            </w:r>
            <w:r>
              <w:rPr>
                <w:rFonts w:hint="default" w:ascii="Times New Roman" w:hAnsi="Times New Roman" w:cs="Times New Roman"/>
                <w:color w:val="auto"/>
                <w:sz w:val="24"/>
                <w:szCs w:val="24"/>
                <w:lang w:val="en-US" w:eastAsia="zh-CN"/>
              </w:rPr>
              <w:t>-N）纳管量为</w:t>
            </w:r>
            <w:r>
              <w:rPr>
                <w:rFonts w:hint="eastAsia" w:cs="Times New Roman"/>
                <w:color w:val="auto"/>
                <w:sz w:val="24"/>
                <w:szCs w:val="24"/>
                <w:lang w:val="en-US" w:eastAsia="zh-CN"/>
              </w:rPr>
              <w:t>0.0246</w:t>
            </w:r>
            <w:r>
              <w:rPr>
                <w:rFonts w:hint="default" w:ascii="Times New Roman" w:hAnsi="Times New Roman" w:cs="Times New Roman"/>
                <w:color w:val="auto"/>
                <w:sz w:val="24"/>
                <w:szCs w:val="24"/>
                <w:lang w:val="en-US" w:eastAsia="zh-CN"/>
              </w:rPr>
              <w:t>t/a，根据《安徽省排污权有偿使用和交易管理办法</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试行</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皖环发</w:t>
            </w:r>
            <w:r>
              <w:rPr>
                <w:rFonts w:hint="eastAsia" w:cs="Times New Roman"/>
                <w:color w:val="auto"/>
                <w:sz w:val="24"/>
                <w:szCs w:val="24"/>
                <w:lang w:val="en-US" w:eastAsia="zh-CN"/>
              </w:rPr>
              <w:t>〔2023〕</w:t>
            </w:r>
            <w:r>
              <w:rPr>
                <w:rFonts w:hint="default" w:ascii="Times New Roman" w:hAnsi="Times New Roman" w:cs="Times New Roman"/>
                <w:color w:val="auto"/>
                <w:sz w:val="24"/>
                <w:szCs w:val="24"/>
                <w:lang w:val="en-US" w:eastAsia="zh-CN"/>
              </w:rPr>
              <w:t>72 号</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第五条·现阶段实施排污权交易的排污单位为全省列入排污许可重点和简化管理范围内有污染物许可排放量要求的排污单位。本项目</w:t>
            </w:r>
            <w:r>
              <w:rPr>
                <w:rFonts w:hint="eastAsia" w:cs="Times New Roman"/>
                <w:color w:val="auto"/>
                <w:sz w:val="24"/>
                <w:szCs w:val="24"/>
                <w:lang w:val="en-US" w:eastAsia="zh-CN"/>
              </w:rPr>
              <w:t>行业类别</w:t>
            </w:r>
            <w:r>
              <w:rPr>
                <w:rFonts w:hint="default" w:ascii="Times New Roman" w:hAnsi="Times New Roman" w:cs="Times New Roman"/>
                <w:color w:val="auto"/>
                <w:sz w:val="24"/>
                <w:szCs w:val="24"/>
                <w:lang w:val="en-US" w:eastAsia="zh-CN"/>
              </w:rPr>
              <w:t>为C3422</w:t>
            </w:r>
            <w:r>
              <w:rPr>
                <w:rFonts w:hint="eastAsia" w:cs="Times New Roman"/>
                <w:color w:val="auto"/>
                <w:sz w:val="24"/>
                <w:szCs w:val="24"/>
                <w:lang w:val="en-US" w:eastAsia="zh-CN"/>
              </w:rPr>
              <w:t>金属成形</w:t>
            </w:r>
            <w:r>
              <w:rPr>
                <w:rFonts w:hint="default" w:ascii="Times New Roman" w:hAnsi="Times New Roman" w:cs="Times New Roman"/>
                <w:color w:val="auto"/>
                <w:sz w:val="24"/>
                <w:szCs w:val="24"/>
                <w:lang w:val="en-US" w:eastAsia="zh-CN"/>
              </w:rPr>
              <w:t>机床制造</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C3423铸造机械制造</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C3461烘炉、熔炉及电炉制造，参考《固定污染源排污许可证分类管理名录（2019版）》二十九、通用设备制造业 34，属于登记管理，不需申请排放量，因此无需开展排污权交易，因此本项目化学需氧量（COD）和氨氮（NH</w:t>
            </w:r>
            <w:r>
              <w:rPr>
                <w:rFonts w:hint="default" w:ascii="Times New Roman" w:hAnsi="Times New Roman" w:cs="Times New Roman"/>
                <w:color w:val="auto"/>
                <w:sz w:val="24"/>
                <w:szCs w:val="24"/>
                <w:vertAlign w:val="subscript"/>
                <w:lang w:val="en-US" w:eastAsia="zh-CN"/>
              </w:rPr>
              <w:t>3</w:t>
            </w:r>
            <w:r>
              <w:rPr>
                <w:rFonts w:hint="default" w:ascii="Times New Roman" w:hAnsi="Times New Roman" w:cs="Times New Roman"/>
                <w:color w:val="auto"/>
                <w:sz w:val="24"/>
                <w:szCs w:val="24"/>
                <w:lang w:val="en-US" w:eastAsia="zh-CN"/>
              </w:rPr>
              <w:t>-N）总量控制指标统一纳入</w:t>
            </w:r>
            <w:r>
              <w:rPr>
                <w:rFonts w:hint="eastAsia" w:cs="Times New Roman"/>
                <w:color w:val="auto"/>
                <w:sz w:val="24"/>
                <w:szCs w:val="24"/>
                <w:lang w:val="en-US" w:eastAsia="zh-CN"/>
              </w:rPr>
              <w:t>青阳县污水处理厂</w:t>
            </w:r>
            <w:r>
              <w:rPr>
                <w:rFonts w:hint="default" w:ascii="Times New Roman" w:hAnsi="Times New Roman" w:cs="Times New Roman"/>
                <w:color w:val="auto"/>
                <w:sz w:val="24"/>
                <w:szCs w:val="24"/>
                <w:lang w:val="en-US" w:eastAsia="zh-CN"/>
              </w:rPr>
              <w:t>总量。</w:t>
            </w:r>
          </w:p>
          <w:p w14:paraId="4B963236">
            <w:pPr>
              <w:bidi w:val="0"/>
              <w:ind w:left="0" w:leftChars="0" w:firstLine="0" w:firstLineChars="0"/>
              <w:rPr>
                <w:rFonts w:hint="default" w:ascii="Times New Roman" w:hAnsi="Times New Roman" w:cs="Times New Roman"/>
                <w:b/>
                <w:bCs/>
                <w:color w:val="auto"/>
                <w:sz w:val="24"/>
                <w:szCs w:val="24"/>
              </w:rPr>
            </w:pPr>
            <w:r>
              <w:rPr>
                <w:rFonts w:hint="eastAsia" w:cs="Times New Roman"/>
                <w:b/>
                <w:bCs/>
                <w:color w:val="auto"/>
                <w:sz w:val="24"/>
                <w:szCs w:val="24"/>
                <w:lang w:val="en-US" w:eastAsia="zh-CN"/>
              </w:rPr>
              <w:t xml:space="preserve">3.4.3 </w:t>
            </w:r>
            <w:r>
              <w:rPr>
                <w:rFonts w:hint="default" w:ascii="Times New Roman" w:hAnsi="Times New Roman" w:cs="Times New Roman"/>
                <w:b/>
                <w:bCs/>
                <w:color w:val="auto"/>
                <w:sz w:val="24"/>
                <w:szCs w:val="24"/>
              </w:rPr>
              <w:t>废气</w:t>
            </w:r>
          </w:p>
          <w:p w14:paraId="01CEB9BA">
            <w:pPr>
              <w:bidi w:val="0"/>
              <w:rPr>
                <w:rFonts w:hint="default" w:ascii="Times New Roman" w:hAnsi="Times New Roman" w:cs="Times New Roman"/>
                <w:b w:val="0"/>
                <w:bCs w:val="0"/>
                <w:color w:val="auto"/>
                <w:lang w:val="en-US" w:eastAsia="zh-CN"/>
              </w:rPr>
            </w:pPr>
            <w:r>
              <w:rPr>
                <w:rFonts w:hint="default" w:ascii="Times New Roman" w:hAnsi="Times New Roman" w:cs="Times New Roman"/>
                <w:color w:val="auto"/>
                <w:sz w:val="24"/>
                <w:szCs w:val="24"/>
              </w:rPr>
              <w:t>根据《安徽省排污权有偿使用和交易管理办法（试行），现阶段实施排污权交易的废气污染物为二氧化硫（SO</w:t>
            </w:r>
            <w:r>
              <w:rPr>
                <w:rFonts w:hint="default" w:ascii="Times New Roman" w:hAnsi="Times New Roman" w:cs="Times New Roman"/>
                <w:color w:val="auto"/>
                <w:sz w:val="24"/>
                <w:szCs w:val="24"/>
                <w:vertAlign w:val="subscript"/>
              </w:rPr>
              <w:t>2</w:t>
            </w:r>
            <w:r>
              <w:rPr>
                <w:rFonts w:hint="default" w:ascii="Times New Roman" w:hAnsi="Times New Roman" w:cs="Times New Roman"/>
                <w:color w:val="auto"/>
                <w:sz w:val="24"/>
                <w:szCs w:val="24"/>
              </w:rPr>
              <w:t>）、氮氧化物（NO</w:t>
            </w:r>
            <w:r>
              <w:rPr>
                <w:rFonts w:hint="default" w:ascii="Times New Roman" w:hAnsi="Times New Roman" w:cs="Times New Roman"/>
                <w:color w:val="auto"/>
                <w:sz w:val="24"/>
                <w:szCs w:val="24"/>
                <w:vertAlign w:val="subscript"/>
              </w:rPr>
              <w:t>X</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US" w:eastAsia="zh-CN"/>
              </w:rPr>
              <w:t>在项目实际排污前，需购买</w:t>
            </w:r>
            <w:r>
              <w:rPr>
                <w:rFonts w:hint="default" w:ascii="Times New Roman" w:hAnsi="Times New Roman" w:cs="Times New Roman"/>
                <w:color w:val="auto"/>
                <w:sz w:val="24"/>
                <w:szCs w:val="24"/>
              </w:rPr>
              <w:t>二氧化硫（SO</w:t>
            </w:r>
            <w:r>
              <w:rPr>
                <w:rFonts w:hint="default" w:ascii="Times New Roman" w:hAnsi="Times New Roman" w:cs="Times New Roman"/>
                <w:color w:val="auto"/>
                <w:sz w:val="24"/>
                <w:szCs w:val="24"/>
                <w:vertAlign w:val="subscript"/>
              </w:rPr>
              <w:t>2</w:t>
            </w:r>
            <w:r>
              <w:rPr>
                <w:rFonts w:hint="default" w:ascii="Times New Roman" w:hAnsi="Times New Roman" w:cs="Times New Roman"/>
                <w:color w:val="auto"/>
                <w:sz w:val="24"/>
                <w:szCs w:val="24"/>
              </w:rPr>
              <w:t>）、氮氧化物（NO</w:t>
            </w:r>
            <w:r>
              <w:rPr>
                <w:rFonts w:hint="default" w:ascii="Times New Roman" w:hAnsi="Times New Roman" w:cs="Times New Roman"/>
                <w:color w:val="auto"/>
                <w:sz w:val="24"/>
                <w:szCs w:val="24"/>
                <w:vertAlign w:val="subscript"/>
              </w:rPr>
              <w:t>X</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US" w:eastAsia="zh-CN"/>
              </w:rPr>
              <w:t>的排污权。</w:t>
            </w:r>
            <w:r>
              <w:rPr>
                <w:rFonts w:hint="default" w:ascii="Times New Roman" w:hAnsi="Times New Roman" w:cs="Times New Roman"/>
                <w:color w:val="auto"/>
                <w:sz w:val="24"/>
                <w:szCs w:val="24"/>
              </w:rPr>
              <w:t>本项目</w:t>
            </w:r>
            <w:r>
              <w:rPr>
                <w:rFonts w:hint="default" w:ascii="Times New Roman" w:hAnsi="Times New Roman" w:cs="Times New Roman"/>
                <w:color w:val="auto"/>
                <w:sz w:val="24"/>
                <w:szCs w:val="24"/>
                <w:lang w:eastAsia="zh-CN"/>
              </w:rPr>
              <w:t>不涉及</w:t>
            </w:r>
            <w:r>
              <w:rPr>
                <w:rFonts w:hint="default" w:ascii="Times New Roman" w:hAnsi="Times New Roman" w:cs="Times New Roman"/>
                <w:color w:val="auto"/>
                <w:sz w:val="24"/>
                <w:szCs w:val="24"/>
              </w:rPr>
              <w:t>二氧化硫（SO</w:t>
            </w:r>
            <w:r>
              <w:rPr>
                <w:rFonts w:hint="default" w:ascii="Times New Roman" w:hAnsi="Times New Roman" w:cs="Times New Roman"/>
                <w:color w:val="auto"/>
                <w:sz w:val="24"/>
                <w:szCs w:val="24"/>
                <w:vertAlign w:val="subscript"/>
              </w:rPr>
              <w:t>2</w:t>
            </w:r>
            <w:r>
              <w:rPr>
                <w:rFonts w:hint="default" w:ascii="Times New Roman" w:hAnsi="Times New Roman" w:cs="Times New Roman"/>
                <w:color w:val="auto"/>
                <w:sz w:val="24"/>
                <w:szCs w:val="24"/>
              </w:rPr>
              <w:t>）、氮氧化物（NO</w:t>
            </w:r>
            <w:r>
              <w:rPr>
                <w:rFonts w:hint="default" w:ascii="Times New Roman" w:hAnsi="Times New Roman" w:cs="Times New Roman"/>
                <w:color w:val="auto"/>
                <w:sz w:val="24"/>
                <w:szCs w:val="24"/>
                <w:vertAlign w:val="subscript"/>
              </w:rPr>
              <w:t>X</w:t>
            </w:r>
            <w:r>
              <w:rPr>
                <w:rFonts w:hint="default" w:ascii="Times New Roman" w:hAnsi="Times New Roman" w:cs="Times New Roman"/>
                <w:color w:val="auto"/>
                <w:sz w:val="24"/>
                <w:szCs w:val="24"/>
              </w:rPr>
              <w:t>）</w:t>
            </w:r>
            <w:r>
              <w:rPr>
                <w:rFonts w:hint="default" w:ascii="Times New Roman" w:hAnsi="Times New Roman" w:cs="Times New Roman" w:eastAsiaTheme="minorEastAsia"/>
                <w:color w:val="auto"/>
                <w:sz w:val="24"/>
                <w:szCs w:val="24"/>
                <w:lang w:eastAsia="zh-CN"/>
              </w:rPr>
              <w:t>排放</w:t>
            </w:r>
            <w:r>
              <w:rPr>
                <w:rFonts w:hint="default" w:ascii="Times New Roman" w:hAnsi="Times New Roman" w:cs="Times New Roman"/>
                <w:color w:val="auto"/>
                <w:sz w:val="24"/>
                <w:szCs w:val="24"/>
              </w:rPr>
              <w:t>。根据工程分析，</w:t>
            </w:r>
            <w:r>
              <w:rPr>
                <w:rFonts w:hint="default" w:ascii="Times New Roman" w:hAnsi="Times New Roman" w:cs="Times New Roman"/>
                <w:color w:val="auto"/>
                <w:sz w:val="24"/>
                <w:szCs w:val="24"/>
                <w:lang w:val="en-US" w:eastAsia="zh-CN"/>
              </w:rPr>
              <w:t>本</w:t>
            </w:r>
            <w:r>
              <w:rPr>
                <w:rFonts w:hint="default" w:ascii="Times New Roman" w:hAnsi="Times New Roman" w:cs="Times New Roman"/>
                <w:color w:val="auto"/>
                <w:sz w:val="24"/>
                <w:szCs w:val="24"/>
              </w:rPr>
              <w:t>项目</w:t>
            </w:r>
            <w:r>
              <w:rPr>
                <w:rFonts w:hint="default" w:ascii="Times New Roman" w:hAnsi="Times New Roman" w:cs="Times New Roman"/>
                <w:color w:val="auto"/>
                <w:sz w:val="24"/>
                <w:szCs w:val="24"/>
                <w:lang w:val="en-US" w:eastAsia="zh-CN"/>
              </w:rPr>
              <w:t>新增</w:t>
            </w:r>
            <w:r>
              <w:rPr>
                <w:rFonts w:hint="eastAsia" w:cs="Times New Roman" w:eastAsiaTheme="minorEastAsia"/>
                <w:bCs/>
                <w:color w:val="auto"/>
                <w:sz w:val="24"/>
                <w:szCs w:val="24"/>
                <w:lang w:val="en-US" w:eastAsia="zh-CN"/>
              </w:rPr>
              <w:t>颗粒物</w:t>
            </w:r>
            <w:r>
              <w:rPr>
                <w:rFonts w:hint="default" w:ascii="Times New Roman" w:hAnsi="Times New Roman" w:cs="Times New Roman"/>
                <w:color w:val="auto"/>
                <w:sz w:val="24"/>
                <w:szCs w:val="24"/>
              </w:rPr>
              <w:t>有组织排放量为0.</w:t>
            </w:r>
            <w:r>
              <w:rPr>
                <w:rFonts w:hint="eastAsia" w:cs="Times New Roman"/>
                <w:color w:val="auto"/>
                <w:sz w:val="24"/>
                <w:szCs w:val="24"/>
                <w:lang w:val="en-US" w:eastAsia="zh-CN"/>
              </w:rPr>
              <w:t>272</w:t>
            </w:r>
            <w:r>
              <w:rPr>
                <w:rFonts w:hint="default" w:ascii="Times New Roman" w:hAnsi="Times New Roman" w:cs="Times New Roman" w:eastAsiaTheme="minorEastAsia"/>
                <w:bCs/>
                <w:color w:val="auto"/>
                <w:sz w:val="24"/>
                <w:szCs w:val="24"/>
              </w:rPr>
              <w:t>t/a</w:t>
            </w:r>
            <w:r>
              <w:rPr>
                <w:rFonts w:hint="eastAsia" w:cs="Times New Roman" w:eastAsiaTheme="minorEastAsia"/>
                <w:bCs/>
                <w:color w:val="auto"/>
                <w:sz w:val="24"/>
                <w:szCs w:val="24"/>
                <w:lang w:eastAsia="zh-CN"/>
              </w:rPr>
              <w:t>、</w:t>
            </w:r>
            <w:r>
              <w:rPr>
                <w:rFonts w:hint="default" w:ascii="Times New Roman" w:hAnsi="Times New Roman" w:cs="Times New Roman"/>
                <w:color w:val="auto"/>
                <w:sz w:val="24"/>
                <w:szCs w:val="24"/>
              </w:rPr>
              <w:t>VOCs</w:t>
            </w:r>
            <w:r>
              <w:rPr>
                <w:rFonts w:hint="eastAsia" w:cs="Times New Roman" w:eastAsiaTheme="minorEastAsia"/>
                <w:bCs/>
                <w:color w:val="auto"/>
                <w:sz w:val="24"/>
                <w:szCs w:val="24"/>
                <w:lang w:val="en-US" w:eastAsia="zh-CN"/>
              </w:rPr>
              <w:t>有组织排放量为</w:t>
            </w:r>
            <w:r>
              <w:rPr>
                <w:rFonts w:hint="default" w:ascii="Times New Roman" w:hAnsi="Times New Roman" w:cs="Times New Roman"/>
                <w:color w:val="auto"/>
                <w:sz w:val="24"/>
                <w:szCs w:val="24"/>
              </w:rPr>
              <w:t>0.0</w:t>
            </w:r>
            <w:r>
              <w:rPr>
                <w:rFonts w:hint="eastAsia" w:cs="Times New Roman"/>
                <w:color w:val="auto"/>
                <w:sz w:val="24"/>
                <w:szCs w:val="24"/>
                <w:lang w:val="en-US" w:eastAsia="zh-CN"/>
              </w:rPr>
              <w:t>667</w:t>
            </w:r>
            <w:r>
              <w:rPr>
                <w:rFonts w:hint="default" w:ascii="Times New Roman" w:hAnsi="Times New Roman" w:cs="Times New Roman"/>
                <w:color w:val="auto"/>
                <w:sz w:val="24"/>
                <w:szCs w:val="24"/>
              </w:rPr>
              <w:t>t/a</w:t>
            </w:r>
            <w:r>
              <w:rPr>
                <w:rFonts w:hint="eastAsia" w:ascii="Times New Roman" w:hAnsi="Times New Roman" w:cs="Times New Roman" w:eastAsiaTheme="minorEastAsia"/>
                <w:bCs/>
                <w:color w:val="auto"/>
                <w:sz w:val="24"/>
                <w:szCs w:val="24"/>
                <w:lang w:eastAsia="zh-CN"/>
              </w:rPr>
              <w:t>，</w:t>
            </w:r>
            <w:r>
              <w:rPr>
                <w:rFonts w:hint="default" w:ascii="Times New Roman" w:hAnsi="Times New Roman" w:cs="Times New Roman"/>
                <w:b w:val="0"/>
                <w:bCs w:val="0"/>
                <w:color w:val="auto"/>
                <w:lang w:val="en-US" w:eastAsia="zh-CN"/>
              </w:rPr>
              <w:t>具体见下表：</w:t>
            </w:r>
          </w:p>
          <w:p w14:paraId="4DA6A763">
            <w:pPr>
              <w:pStyle w:val="38"/>
              <w:bidi w:val="0"/>
              <w:rPr>
                <w:rFonts w:hint="default" w:ascii="Times New Roman" w:hAnsi="Times New Roman" w:cs="Times New Roman"/>
                <w:color w:val="auto"/>
                <w:lang w:val="en-US" w:eastAsia="zh-CN"/>
              </w:rPr>
            </w:pPr>
            <w:r>
              <w:rPr>
                <w:rFonts w:hint="default" w:ascii="Times New Roman" w:hAnsi="Times New Roman" w:cs="Times New Roman"/>
                <w:color w:val="auto"/>
              </w:rPr>
              <w:t>表3-</w:t>
            </w:r>
            <w:r>
              <w:rPr>
                <w:rFonts w:hint="eastAsia" w:cs="Times New Roman"/>
                <w:color w:val="auto"/>
                <w:lang w:val="en-US" w:eastAsia="zh-CN"/>
              </w:rPr>
              <w:t>10</w:t>
            </w:r>
            <w:r>
              <w:rPr>
                <w:rFonts w:hint="default" w:ascii="Times New Roman" w:hAnsi="Times New Roman" w:cs="Times New Roman"/>
                <w:color w:val="auto"/>
                <w:lang w:val="en-US" w:eastAsia="zh-CN"/>
              </w:rPr>
              <w:t xml:space="preserve">  </w:t>
            </w:r>
            <w:r>
              <w:rPr>
                <w:rFonts w:hint="default" w:ascii="Times New Roman" w:hAnsi="Times New Roman" w:cs="Times New Roman"/>
                <w:color w:val="auto"/>
              </w:rPr>
              <w:t>总量控制建议表</w:t>
            </w:r>
          </w:p>
          <w:tbl>
            <w:tblPr>
              <w:tblStyle w:val="32"/>
              <w:tblW w:w="83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366"/>
              <w:gridCol w:w="4953"/>
            </w:tblGrid>
            <w:tr w14:paraId="590B7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0" w:hRule="atLeast"/>
                <w:jc w:val="center"/>
              </w:trPr>
              <w:tc>
                <w:tcPr>
                  <w:tcW w:w="3366" w:type="dxa"/>
                  <w:tcBorders>
                    <w:tl2br w:val="nil"/>
                    <w:tr2bl w:val="nil"/>
                  </w:tcBorders>
                  <w:noWrap w:val="0"/>
                  <w:vAlign w:val="center"/>
                </w:tcPr>
                <w:p w14:paraId="60BEAA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总量控制因子</w:t>
                  </w:r>
                </w:p>
              </w:tc>
              <w:tc>
                <w:tcPr>
                  <w:tcW w:w="4953" w:type="dxa"/>
                  <w:tcBorders>
                    <w:tl2br w:val="nil"/>
                    <w:tr2bl w:val="nil"/>
                  </w:tcBorders>
                  <w:noWrap w:val="0"/>
                  <w:vAlign w:val="center"/>
                </w:tcPr>
                <w:p w14:paraId="42B2FC5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本项目总量（t/a）</w:t>
                  </w:r>
                </w:p>
              </w:tc>
            </w:tr>
            <w:tr w14:paraId="1F1C1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0" w:hRule="atLeast"/>
                <w:jc w:val="center"/>
              </w:trPr>
              <w:tc>
                <w:tcPr>
                  <w:tcW w:w="3366" w:type="dxa"/>
                  <w:tcBorders>
                    <w:tl2br w:val="nil"/>
                    <w:tr2bl w:val="nil"/>
                  </w:tcBorders>
                  <w:noWrap w:val="0"/>
                  <w:vAlign w:val="center"/>
                </w:tcPr>
                <w:p w14:paraId="725F6C6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b w:val="0"/>
                      <w:bCs/>
                      <w:color w:val="auto"/>
                      <w:sz w:val="21"/>
                      <w:szCs w:val="21"/>
                      <w:lang w:val="en-US" w:eastAsia="zh-CN"/>
                    </w:rPr>
                    <w:t>颗粒物</w:t>
                  </w:r>
                </w:p>
              </w:tc>
              <w:tc>
                <w:tcPr>
                  <w:tcW w:w="4953" w:type="dxa"/>
                  <w:tcBorders>
                    <w:tl2br w:val="nil"/>
                    <w:tr2bl w:val="nil"/>
                  </w:tcBorders>
                  <w:noWrap w:val="0"/>
                  <w:vAlign w:val="center"/>
                </w:tcPr>
                <w:p w14:paraId="2E0BBF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lang w:val="en-US" w:eastAsia="zh-CN"/>
                    </w:rPr>
                  </w:pPr>
                  <w:r>
                    <w:rPr>
                      <w:rFonts w:hint="eastAsia" w:cs="Times New Roman"/>
                      <w:b w:val="0"/>
                      <w:bCs/>
                      <w:color w:val="auto"/>
                      <w:sz w:val="21"/>
                      <w:szCs w:val="21"/>
                      <w:lang w:val="en-US" w:eastAsia="zh-CN"/>
                    </w:rPr>
                    <w:t>0.272</w:t>
                  </w:r>
                </w:p>
              </w:tc>
            </w:tr>
            <w:tr w14:paraId="33F29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3366" w:type="dxa"/>
                  <w:tcBorders>
                    <w:tl2br w:val="nil"/>
                    <w:tr2bl w:val="nil"/>
                  </w:tcBorders>
                  <w:noWrap w:val="0"/>
                  <w:vAlign w:val="center"/>
                </w:tcPr>
                <w:p w14:paraId="22F5FEA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b w:val="0"/>
                      <w:bCs/>
                      <w:color w:val="auto"/>
                      <w:sz w:val="21"/>
                      <w:szCs w:val="21"/>
                      <w:lang w:val="en-US" w:eastAsia="zh-CN"/>
                    </w:rPr>
                    <w:t>VOCs</w:t>
                  </w:r>
                </w:p>
              </w:tc>
              <w:tc>
                <w:tcPr>
                  <w:tcW w:w="4953" w:type="dxa"/>
                  <w:tcBorders>
                    <w:tl2br w:val="nil"/>
                    <w:tr2bl w:val="nil"/>
                  </w:tcBorders>
                  <w:noWrap w:val="0"/>
                  <w:vAlign w:val="center"/>
                </w:tcPr>
                <w:p w14:paraId="6E7593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lang w:val="en-US" w:eastAsia="zh-CN"/>
                    </w:rPr>
                  </w:pPr>
                  <w:r>
                    <w:rPr>
                      <w:rFonts w:hint="eastAsia" w:cs="Times New Roman"/>
                      <w:b w:val="0"/>
                      <w:bCs/>
                      <w:color w:val="auto"/>
                      <w:sz w:val="21"/>
                      <w:szCs w:val="21"/>
                      <w:lang w:val="en-US" w:eastAsia="zh-CN"/>
                    </w:rPr>
                    <w:t>0.0667</w:t>
                  </w:r>
                </w:p>
              </w:tc>
            </w:tr>
          </w:tbl>
          <w:p w14:paraId="57FC91E0">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综上，</w:t>
            </w:r>
            <w:r>
              <w:rPr>
                <w:rFonts w:hint="default" w:ascii="Times New Roman" w:hAnsi="Times New Roman" w:cs="Times New Roman"/>
                <w:color w:val="auto"/>
                <w:sz w:val="24"/>
                <w:szCs w:val="24"/>
              </w:rPr>
              <w:t>本环评建议废气总量控制指标为：</w:t>
            </w:r>
            <w:r>
              <w:rPr>
                <w:rFonts w:hint="eastAsia" w:cs="Times New Roman"/>
                <w:color w:val="auto"/>
                <w:sz w:val="24"/>
                <w:szCs w:val="24"/>
                <w:lang w:val="en-US" w:eastAsia="zh-CN"/>
              </w:rPr>
              <w:t>颗粒物</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0.</w:t>
            </w:r>
            <w:r>
              <w:rPr>
                <w:rFonts w:hint="eastAsia" w:cs="Times New Roman"/>
                <w:color w:val="auto"/>
                <w:sz w:val="24"/>
                <w:szCs w:val="24"/>
                <w:lang w:val="en-US" w:eastAsia="zh-CN"/>
              </w:rPr>
              <w:t>272</w:t>
            </w:r>
            <w:r>
              <w:rPr>
                <w:rFonts w:hint="default" w:ascii="Times New Roman" w:hAnsi="Times New Roman" w:cs="Times New Roman"/>
                <w:color w:val="auto"/>
                <w:sz w:val="24"/>
                <w:szCs w:val="24"/>
              </w:rPr>
              <w:t>t/a</w:t>
            </w:r>
            <w:r>
              <w:rPr>
                <w:rFonts w:hint="eastAsia" w:cs="Times New Roman"/>
                <w:color w:val="auto"/>
                <w:sz w:val="24"/>
                <w:szCs w:val="24"/>
                <w:lang w:eastAsia="zh-CN"/>
              </w:rPr>
              <w:t>、</w:t>
            </w:r>
            <w:r>
              <w:rPr>
                <w:rFonts w:hint="default" w:ascii="Times New Roman" w:hAnsi="Times New Roman" w:cs="Times New Roman"/>
                <w:color w:val="auto"/>
                <w:sz w:val="24"/>
                <w:szCs w:val="24"/>
              </w:rPr>
              <w:t>VOCs</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0.0</w:t>
            </w:r>
            <w:r>
              <w:rPr>
                <w:rFonts w:hint="eastAsia" w:cs="Times New Roman"/>
                <w:color w:val="auto"/>
                <w:sz w:val="24"/>
                <w:szCs w:val="24"/>
                <w:lang w:val="en-US" w:eastAsia="zh-CN"/>
              </w:rPr>
              <w:t>667</w:t>
            </w:r>
            <w:r>
              <w:rPr>
                <w:rFonts w:hint="default" w:ascii="Times New Roman" w:hAnsi="Times New Roman" w:cs="Times New Roman"/>
                <w:color w:val="auto"/>
                <w:sz w:val="24"/>
                <w:szCs w:val="24"/>
              </w:rPr>
              <w:t>t/a。</w:t>
            </w:r>
          </w:p>
          <w:p w14:paraId="61F7D74E">
            <w:pPr>
              <w:keepLines w:val="0"/>
              <w:pageBreakBefore w:val="0"/>
              <w:wordWrap/>
              <w:topLinePunct w:val="0"/>
              <w:bidi w:val="0"/>
              <w:adjustRightInd w:val="0"/>
              <w:snapToGrid w:val="0"/>
              <w:textAlignment w:val="auto"/>
              <w:rPr>
                <w:rFonts w:hint="eastAsia"/>
                <w:color w:val="auto"/>
                <w:sz w:val="24"/>
                <w:szCs w:val="24"/>
              </w:rPr>
            </w:pPr>
          </w:p>
          <w:p w14:paraId="6741F37A">
            <w:pPr>
              <w:bidi w:val="0"/>
              <w:rPr>
                <w:rFonts w:hint="eastAsia"/>
                <w:color w:val="auto"/>
                <w:lang w:val="en-US" w:eastAsia="zh-CN"/>
              </w:rPr>
            </w:pPr>
          </w:p>
          <w:p w14:paraId="320B268D">
            <w:pPr>
              <w:keepLines w:val="0"/>
              <w:pageBreakBefore w:val="0"/>
              <w:wordWrap/>
              <w:topLinePunct w:val="0"/>
              <w:bidi w:val="0"/>
              <w:adjustRightInd w:val="0"/>
              <w:snapToGrid w:val="0"/>
              <w:textAlignment w:val="auto"/>
              <w:rPr>
                <w:rFonts w:hint="eastAsia"/>
                <w:color w:val="auto"/>
                <w:lang w:eastAsia="zh-CN"/>
              </w:rPr>
            </w:pPr>
          </w:p>
        </w:tc>
      </w:tr>
    </w:tbl>
    <w:p w14:paraId="5227DC8B">
      <w:pPr>
        <w:pStyle w:val="4"/>
        <w:bidi w:val="0"/>
        <w:rPr>
          <w:color w:val="auto"/>
          <w:sz w:val="32"/>
          <w:szCs w:val="32"/>
        </w:rPr>
      </w:pPr>
      <w:r>
        <w:rPr>
          <w:rFonts w:hint="eastAsia" w:ascii="黑体" w:hAnsi="黑体"/>
          <w:snapToGrid w:val="0"/>
          <w:color w:val="auto"/>
          <w:sz w:val="32"/>
          <w:szCs w:val="32"/>
          <w:lang w:val="en-US" w:eastAsia="zh-CN"/>
        </w:rPr>
        <w:t>四、</w:t>
      </w:r>
      <w:r>
        <w:rPr>
          <w:rFonts w:hint="eastAsia" w:ascii="黑体" w:hAnsi="黑体" w:eastAsia="黑体"/>
          <w:snapToGrid w:val="0"/>
          <w:color w:val="auto"/>
          <w:sz w:val="32"/>
          <w:szCs w:val="32"/>
        </w:rPr>
        <w:t>主要环境影响和保护措施</w:t>
      </w:r>
    </w:p>
    <w:tbl>
      <w:tblPr>
        <w:tblStyle w:val="31"/>
        <w:tblW w:w="9384"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Layout w:type="fixed"/>
        <w:tblCellMar>
          <w:top w:w="0" w:type="dxa"/>
          <w:left w:w="108" w:type="dxa"/>
          <w:bottom w:w="0" w:type="dxa"/>
          <w:right w:w="108" w:type="dxa"/>
        </w:tblCellMar>
      </w:tblPr>
      <w:tblGrid>
        <w:gridCol w:w="758"/>
        <w:gridCol w:w="8626"/>
      </w:tblGrid>
      <w:tr w14:paraId="2E3BB707">
        <w:tblPrEx>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CellMar>
            <w:top w:w="0" w:type="dxa"/>
            <w:left w:w="108" w:type="dxa"/>
            <w:bottom w:w="0" w:type="dxa"/>
            <w:right w:w="108" w:type="dxa"/>
          </w:tblCellMar>
        </w:tblPrEx>
        <w:trPr>
          <w:trHeight w:val="12283" w:hRule="atLeast"/>
          <w:jc w:val="center"/>
        </w:trPr>
        <w:tc>
          <w:tcPr>
            <w:tcW w:w="758" w:type="dxa"/>
            <w:tcBorders>
              <w:tl2br w:val="nil"/>
              <w:tr2bl w:val="nil"/>
            </w:tcBorders>
            <w:noWrap w:val="0"/>
            <w:tcMar>
              <w:left w:w="28" w:type="dxa"/>
              <w:right w:w="28" w:type="dxa"/>
            </w:tcMar>
            <w:vAlign w:val="center"/>
          </w:tcPr>
          <w:p w14:paraId="3EB698DC">
            <w:pPr>
              <w:bidi w:val="0"/>
              <w:ind w:left="0" w:leftChars="0" w:firstLine="0" w:firstLineChars="0"/>
              <w:jc w:val="center"/>
              <w:rPr>
                <w:rFonts w:hint="eastAsia" w:cs="宋体"/>
                <w:bCs/>
                <w:color w:val="auto"/>
                <w:kern w:val="2"/>
                <w:sz w:val="24"/>
                <w:szCs w:val="24"/>
              </w:rPr>
            </w:pPr>
            <w:r>
              <w:rPr>
                <w:rFonts w:hint="eastAsia"/>
                <w:color w:val="auto"/>
                <w:sz w:val="24"/>
                <w:szCs w:val="24"/>
              </w:rPr>
              <w:t>施工期环境保护措施</w:t>
            </w:r>
          </w:p>
        </w:tc>
        <w:tc>
          <w:tcPr>
            <w:tcW w:w="8626" w:type="dxa"/>
            <w:tcBorders>
              <w:tl2br w:val="nil"/>
              <w:tr2bl w:val="nil"/>
            </w:tcBorders>
            <w:noWrap w:val="0"/>
            <w:vAlign w:val="top"/>
          </w:tcPr>
          <w:p w14:paraId="3839F054">
            <w:pPr>
              <w:bidi w:val="0"/>
              <w:jc w:val="both"/>
              <w:rPr>
                <w:color w:val="auto"/>
                <w:sz w:val="24"/>
                <w:szCs w:val="24"/>
              </w:rPr>
            </w:pPr>
            <w:r>
              <w:rPr>
                <w:rFonts w:hint="default" w:ascii="Times New Roman" w:hAnsi="Times New Roman" w:cs="Times New Roman"/>
                <w:color w:val="auto"/>
                <w:sz w:val="24"/>
                <w:szCs w:val="24"/>
              </w:rPr>
              <w:t>根据现场勘查，</w:t>
            </w:r>
            <w:r>
              <w:rPr>
                <w:rFonts w:hint="default" w:ascii="Times New Roman" w:hAnsi="Times New Roman" w:cs="Times New Roman"/>
                <w:color w:val="auto"/>
                <w:sz w:val="24"/>
                <w:szCs w:val="24"/>
                <w:lang w:eastAsia="zh-CN"/>
              </w:rPr>
              <w:t>本项目</w:t>
            </w:r>
            <w:r>
              <w:rPr>
                <w:rFonts w:hint="eastAsia" w:cs="Times New Roman"/>
                <w:color w:val="auto"/>
                <w:sz w:val="24"/>
                <w:szCs w:val="24"/>
                <w:lang w:eastAsia="zh-CN"/>
              </w:rPr>
              <w:t>租赁</w:t>
            </w:r>
            <w:r>
              <w:rPr>
                <w:rFonts w:hint="default" w:ascii="Times New Roman" w:hAnsi="Times New Roman" w:cs="Times New Roman"/>
                <w:color w:val="auto"/>
                <w:sz w:val="24"/>
                <w:szCs w:val="24"/>
                <w:lang w:eastAsia="zh-CN"/>
              </w:rPr>
              <w:t>现有</w:t>
            </w:r>
            <w:r>
              <w:rPr>
                <w:rFonts w:hint="eastAsia" w:cs="Times New Roman"/>
                <w:color w:val="auto"/>
                <w:sz w:val="24"/>
                <w:szCs w:val="24"/>
                <w:lang w:eastAsia="zh-CN"/>
              </w:rPr>
              <w:t>空置</w:t>
            </w:r>
            <w:r>
              <w:rPr>
                <w:rFonts w:hint="default" w:ascii="Times New Roman" w:hAnsi="Times New Roman" w:cs="Times New Roman"/>
                <w:color w:val="auto"/>
                <w:sz w:val="24"/>
                <w:szCs w:val="24"/>
                <w:lang w:eastAsia="zh-CN"/>
              </w:rPr>
              <w:t>厂房，施工期只是简单的设备安装，对周边环境影响较小。</w:t>
            </w:r>
          </w:p>
          <w:p w14:paraId="5F782BF7">
            <w:pPr>
              <w:adjustRightInd w:val="0"/>
              <w:snapToGrid w:val="0"/>
              <w:jc w:val="both"/>
              <w:rPr>
                <w:rFonts w:ascii="宋体" w:hAnsi="宋体" w:cs="宋体"/>
                <w:bCs/>
                <w:color w:val="auto"/>
                <w:spacing w:val="-10"/>
                <w:sz w:val="24"/>
                <w:szCs w:val="24"/>
              </w:rPr>
            </w:pPr>
          </w:p>
        </w:tc>
      </w:tr>
    </w:tbl>
    <w:p w14:paraId="6EEAAF74">
      <w:pPr>
        <w:bidi w:val="0"/>
        <w:rPr>
          <w:rFonts w:hint="eastAsia"/>
          <w:color w:val="auto"/>
        </w:rPr>
        <w:sectPr>
          <w:pgSz w:w="11905" w:h="16838"/>
          <w:pgMar w:top="1701" w:right="1531" w:bottom="1701" w:left="1531" w:header="1134" w:footer="1020" w:gutter="0"/>
          <w:pgBorders>
            <w:top w:val="none" w:sz="0" w:space="0"/>
            <w:left w:val="none" w:sz="0" w:space="0"/>
            <w:bottom w:val="none" w:sz="0" w:space="0"/>
            <w:right w:val="none" w:sz="0" w:space="0"/>
          </w:pgBorders>
          <w:pgNumType w:fmt="decimal"/>
          <w:cols w:space="720" w:num="1"/>
          <w:rtlGutter w:val="0"/>
          <w:docGrid w:linePitch="312" w:charSpace="0"/>
        </w:sectPr>
      </w:pPr>
    </w:p>
    <w:tbl>
      <w:tblPr>
        <w:tblStyle w:val="31"/>
        <w:tblW w:w="15119"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Layout w:type="fixed"/>
        <w:tblCellMar>
          <w:top w:w="0" w:type="dxa"/>
          <w:left w:w="108" w:type="dxa"/>
          <w:bottom w:w="0" w:type="dxa"/>
          <w:right w:w="108" w:type="dxa"/>
        </w:tblCellMar>
      </w:tblPr>
      <w:tblGrid>
        <w:gridCol w:w="336"/>
        <w:gridCol w:w="14783"/>
      </w:tblGrid>
      <w:tr w14:paraId="7578A20C">
        <w:tblPrEx>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CellMar>
            <w:top w:w="0" w:type="dxa"/>
            <w:left w:w="108" w:type="dxa"/>
            <w:bottom w:w="0" w:type="dxa"/>
            <w:right w:w="108" w:type="dxa"/>
          </w:tblCellMar>
        </w:tblPrEx>
        <w:trPr>
          <w:trHeight w:val="8732" w:hRule="atLeast"/>
          <w:jc w:val="center"/>
        </w:trPr>
        <w:tc>
          <w:tcPr>
            <w:tcW w:w="336" w:type="dxa"/>
            <w:tcBorders>
              <w:tl2br w:val="nil"/>
              <w:tr2bl w:val="nil"/>
            </w:tcBorders>
            <w:noWrap w:val="0"/>
            <w:tcMar>
              <w:left w:w="28" w:type="dxa"/>
              <w:right w:w="28" w:type="dxa"/>
            </w:tcMar>
            <w:vAlign w:val="center"/>
          </w:tcPr>
          <w:p w14:paraId="2BFBDC7B">
            <w:pPr>
              <w:adjustRightInd w:val="0"/>
              <w:snapToGrid w:val="0"/>
              <w:ind w:left="0" w:leftChars="0" w:firstLine="0" w:firstLineChars="0"/>
              <w:jc w:val="center"/>
              <w:rPr>
                <w:rFonts w:ascii="宋体" w:hAnsi="宋体" w:cs="宋体"/>
                <w:bCs/>
                <w:color w:val="auto"/>
                <w:szCs w:val="21"/>
              </w:rPr>
            </w:pPr>
            <w:r>
              <w:rPr>
                <w:rFonts w:hint="eastAsia" w:ascii="宋体" w:hAnsi="宋体" w:cs="宋体"/>
                <w:bCs/>
                <w:color w:val="auto"/>
                <w:sz w:val="24"/>
                <w:szCs w:val="24"/>
                <w:lang w:val="en-US" w:eastAsia="zh-CN"/>
              </w:rPr>
              <w:t>运</w:t>
            </w:r>
            <w:r>
              <w:rPr>
                <w:rFonts w:hint="eastAsia" w:ascii="宋体" w:hAnsi="宋体" w:cs="宋体"/>
                <w:bCs/>
                <w:color w:val="auto"/>
                <w:sz w:val="24"/>
                <w:szCs w:val="24"/>
              </w:rPr>
              <w:t>营期环境影响</w:t>
            </w:r>
            <w:r>
              <w:rPr>
                <w:rFonts w:hint="eastAsia" w:ascii="宋体" w:hAnsi="宋体" w:cs="宋体"/>
                <w:bCs/>
                <w:color w:val="auto"/>
                <w:sz w:val="24"/>
                <w:szCs w:val="24"/>
                <w:lang w:val="en-US" w:eastAsia="zh-CN"/>
              </w:rPr>
              <w:t>和</w:t>
            </w:r>
            <w:r>
              <w:rPr>
                <w:rFonts w:hint="eastAsia" w:ascii="宋体" w:hAnsi="宋体" w:cs="宋体"/>
                <w:bCs/>
                <w:color w:val="auto"/>
                <w:sz w:val="24"/>
                <w:szCs w:val="24"/>
              </w:rPr>
              <w:t>保护措施</w:t>
            </w:r>
          </w:p>
        </w:tc>
        <w:tc>
          <w:tcPr>
            <w:tcW w:w="14783" w:type="dxa"/>
            <w:tcBorders>
              <w:tl2br w:val="nil"/>
              <w:tr2bl w:val="nil"/>
            </w:tcBorders>
            <w:noWrap w:val="0"/>
            <w:vAlign w:val="top"/>
          </w:tcPr>
          <w:p w14:paraId="010BF506">
            <w:pPr>
              <w:bidi w:val="0"/>
              <w:ind w:left="0" w:leftChars="0" w:firstLine="0" w:firstLineChars="0"/>
              <w:jc w:val="both"/>
              <w:rPr>
                <w:rFonts w:hint="default"/>
                <w:b/>
                <w:bCs/>
                <w:color w:val="auto"/>
                <w:lang w:val="en-US" w:eastAsia="zh-CN"/>
              </w:rPr>
            </w:pPr>
            <w:r>
              <w:rPr>
                <w:rFonts w:hint="eastAsia"/>
                <w:b/>
                <w:bCs/>
                <w:color w:val="auto"/>
                <w:lang w:val="en-US" w:eastAsia="zh-CN"/>
              </w:rPr>
              <w:t xml:space="preserve">4.1 </w:t>
            </w:r>
            <w:r>
              <w:rPr>
                <w:rFonts w:hint="default"/>
                <w:b/>
                <w:bCs/>
                <w:color w:val="auto"/>
                <w:lang w:val="en-US" w:eastAsia="zh-CN"/>
              </w:rPr>
              <w:t>废气</w:t>
            </w:r>
          </w:p>
          <w:p w14:paraId="14F118D6">
            <w:pPr>
              <w:bidi w:val="0"/>
              <w:ind w:left="0" w:leftChars="0" w:firstLine="0" w:firstLineChars="0"/>
              <w:jc w:val="both"/>
              <w:rPr>
                <w:rFonts w:hint="default"/>
                <w:b/>
                <w:bCs/>
                <w:color w:val="auto"/>
                <w:lang w:val="en-US" w:eastAsia="zh-CN"/>
              </w:rPr>
            </w:pPr>
            <w:r>
              <w:rPr>
                <w:rFonts w:hint="eastAsia"/>
                <w:b/>
                <w:bCs/>
                <w:color w:val="auto"/>
                <w:lang w:val="en-US" w:eastAsia="zh-CN"/>
              </w:rPr>
              <w:t xml:space="preserve">4.1.1 </w:t>
            </w:r>
            <w:r>
              <w:rPr>
                <w:rFonts w:hint="default"/>
                <w:b/>
                <w:bCs/>
                <w:color w:val="auto"/>
                <w:lang w:val="en-US" w:eastAsia="zh-CN"/>
              </w:rPr>
              <w:t>废气污染源强汇总</w:t>
            </w:r>
          </w:p>
          <w:p w14:paraId="04E6055E">
            <w:pPr>
              <w:autoSpaceDE w:val="0"/>
              <w:autoSpaceDN w:val="0"/>
              <w:adjustRightInd w:val="0"/>
              <w:spacing w:line="360" w:lineRule="auto"/>
              <w:ind w:firstLine="480" w:firstLineChars="200"/>
              <w:jc w:val="both"/>
              <w:rPr>
                <w:rFonts w:hint="default"/>
                <w:color w:val="auto"/>
                <w:sz w:val="24"/>
                <w:szCs w:val="24"/>
                <w:lang w:val="en-US" w:eastAsia="zh-CN"/>
              </w:rPr>
            </w:pPr>
            <w:r>
              <w:rPr>
                <w:rFonts w:hint="eastAsia"/>
                <w:color w:val="auto"/>
                <w:kern w:val="0"/>
                <w:sz w:val="24"/>
                <w:szCs w:val="24"/>
                <w:lang w:eastAsia="zh-CN"/>
              </w:rPr>
              <w:t>本项目</w:t>
            </w:r>
            <w:r>
              <w:rPr>
                <w:color w:val="auto"/>
                <w:kern w:val="0"/>
                <w:sz w:val="24"/>
                <w:szCs w:val="24"/>
              </w:rPr>
              <w:t>产生的废气主要是</w:t>
            </w:r>
            <w:r>
              <w:rPr>
                <w:rFonts w:hint="eastAsia"/>
                <w:color w:val="auto"/>
                <w:kern w:val="0"/>
                <w:sz w:val="24"/>
                <w:szCs w:val="24"/>
                <w:lang w:val="en-US" w:eastAsia="zh-CN"/>
              </w:rPr>
              <w:t>颗粒物和</w:t>
            </w:r>
            <w:r>
              <w:rPr>
                <w:rFonts w:hint="eastAsia"/>
                <w:color w:val="auto"/>
                <w:kern w:val="0"/>
                <w:sz w:val="24"/>
                <w:szCs w:val="24"/>
                <w:lang w:eastAsia="zh-CN"/>
              </w:rPr>
              <w:t>非甲烷总烃（以VOCs计）</w:t>
            </w:r>
            <w:r>
              <w:rPr>
                <w:rFonts w:hint="eastAsia"/>
                <w:color w:val="auto"/>
                <w:kern w:val="0"/>
                <w:sz w:val="24"/>
                <w:szCs w:val="24"/>
                <w:lang w:val="en-US" w:eastAsia="zh-CN"/>
              </w:rPr>
              <w:t>。</w:t>
            </w:r>
            <w:r>
              <w:rPr>
                <w:rFonts w:hint="eastAsia"/>
                <w:color w:val="auto"/>
                <w:kern w:val="0"/>
                <w:sz w:val="24"/>
                <w:szCs w:val="24"/>
              </w:rPr>
              <w:t>废气污染物排放源见下表。</w:t>
            </w:r>
          </w:p>
          <w:p w14:paraId="117F29B6">
            <w:pPr>
              <w:pStyle w:val="38"/>
              <w:bidi w:val="0"/>
              <w:rPr>
                <w:rFonts w:hint="default"/>
                <w:color w:val="auto"/>
              </w:rPr>
            </w:pPr>
            <w:r>
              <w:rPr>
                <w:rFonts w:hint="default"/>
                <w:color w:val="auto"/>
              </w:rPr>
              <w:t xml:space="preserve">表4-1  </w:t>
            </w:r>
            <w:r>
              <w:rPr>
                <w:rFonts w:hint="eastAsia"/>
                <w:color w:val="auto"/>
                <w:lang w:eastAsia="zh-CN"/>
              </w:rPr>
              <w:t>本项目</w:t>
            </w:r>
            <w:r>
              <w:rPr>
                <w:rFonts w:hint="default"/>
                <w:color w:val="auto"/>
              </w:rPr>
              <w:t>废气污染物产生排放情况表</w:t>
            </w:r>
          </w:p>
          <w:tbl>
            <w:tblPr>
              <w:tblStyle w:val="32"/>
              <w:tblW w:w="147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78"/>
              <w:gridCol w:w="666"/>
              <w:gridCol w:w="859"/>
              <w:gridCol w:w="746"/>
              <w:gridCol w:w="718"/>
              <w:gridCol w:w="1080"/>
              <w:gridCol w:w="797"/>
              <w:gridCol w:w="906"/>
              <w:gridCol w:w="990"/>
              <w:gridCol w:w="667"/>
              <w:gridCol w:w="765"/>
              <w:gridCol w:w="1472"/>
              <w:gridCol w:w="695"/>
              <w:gridCol w:w="703"/>
              <w:gridCol w:w="927"/>
              <w:gridCol w:w="1125"/>
              <w:gridCol w:w="815"/>
            </w:tblGrid>
            <w:tr w14:paraId="2DA62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78" w:type="dxa"/>
                  <w:tcBorders>
                    <w:tl2br w:val="nil"/>
                    <w:tr2bl w:val="nil"/>
                  </w:tcBorders>
                  <w:vAlign w:val="center"/>
                </w:tcPr>
                <w:p w14:paraId="639CDED8">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污染工段</w:t>
                  </w:r>
                </w:p>
              </w:tc>
              <w:tc>
                <w:tcPr>
                  <w:tcW w:w="1525" w:type="dxa"/>
                  <w:gridSpan w:val="2"/>
                  <w:tcBorders>
                    <w:tl2br w:val="nil"/>
                    <w:tr2bl w:val="nil"/>
                  </w:tcBorders>
                  <w:vAlign w:val="center"/>
                </w:tcPr>
                <w:p w14:paraId="771CB011">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污染物</w:t>
                  </w:r>
                </w:p>
              </w:tc>
              <w:tc>
                <w:tcPr>
                  <w:tcW w:w="746" w:type="dxa"/>
                  <w:tcBorders>
                    <w:tl2br w:val="nil"/>
                    <w:tr2bl w:val="nil"/>
                  </w:tcBorders>
                  <w:vAlign w:val="center"/>
                </w:tcPr>
                <w:p w14:paraId="030795D6">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风量m</w:t>
                  </w:r>
                  <w:r>
                    <w:rPr>
                      <w:rFonts w:hint="default" w:ascii="Times New Roman" w:hAnsi="Times New Roman" w:cs="Times New Roman"/>
                      <w:b/>
                      <w:bCs/>
                      <w:color w:val="auto"/>
                      <w:sz w:val="21"/>
                      <w:szCs w:val="21"/>
                      <w:vertAlign w:val="superscript"/>
                    </w:rPr>
                    <w:t>3</w:t>
                  </w:r>
                  <w:r>
                    <w:rPr>
                      <w:rFonts w:hint="default" w:ascii="Times New Roman" w:hAnsi="Times New Roman" w:cs="Times New Roman"/>
                      <w:b/>
                      <w:bCs/>
                      <w:color w:val="auto"/>
                      <w:sz w:val="21"/>
                      <w:szCs w:val="21"/>
                    </w:rPr>
                    <w:t>/h</w:t>
                  </w:r>
                </w:p>
              </w:tc>
              <w:tc>
                <w:tcPr>
                  <w:tcW w:w="718" w:type="dxa"/>
                  <w:tcBorders>
                    <w:tl2br w:val="nil"/>
                    <w:tr2bl w:val="nil"/>
                  </w:tcBorders>
                  <w:vAlign w:val="center"/>
                </w:tcPr>
                <w:p w14:paraId="7DE8C5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产生浓度mg/m</w:t>
                  </w:r>
                  <w:r>
                    <w:rPr>
                      <w:rFonts w:hint="default" w:ascii="Times New Roman" w:hAnsi="Times New Roman" w:cs="Times New Roman"/>
                      <w:b/>
                      <w:bCs/>
                      <w:color w:val="auto"/>
                      <w:sz w:val="21"/>
                      <w:szCs w:val="21"/>
                      <w:vertAlign w:val="superscript"/>
                    </w:rPr>
                    <w:t>3</w:t>
                  </w:r>
                </w:p>
              </w:tc>
              <w:tc>
                <w:tcPr>
                  <w:tcW w:w="1080" w:type="dxa"/>
                  <w:tcBorders>
                    <w:tl2br w:val="nil"/>
                    <w:tr2bl w:val="nil"/>
                  </w:tcBorders>
                  <w:vAlign w:val="center"/>
                </w:tcPr>
                <w:p w14:paraId="602D04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产生速率kg/h</w:t>
                  </w:r>
                </w:p>
              </w:tc>
              <w:tc>
                <w:tcPr>
                  <w:tcW w:w="797" w:type="dxa"/>
                  <w:tcBorders>
                    <w:tl2br w:val="nil"/>
                    <w:tr2bl w:val="nil"/>
                  </w:tcBorders>
                  <w:vAlign w:val="center"/>
                </w:tcPr>
                <w:p w14:paraId="6DF0FAD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产生量t/a</w:t>
                  </w:r>
                </w:p>
              </w:tc>
              <w:tc>
                <w:tcPr>
                  <w:tcW w:w="906" w:type="dxa"/>
                  <w:tcBorders>
                    <w:tl2br w:val="nil"/>
                    <w:tr2bl w:val="nil"/>
                  </w:tcBorders>
                  <w:vAlign w:val="center"/>
                </w:tcPr>
                <w:p w14:paraId="6609D16A">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收集情况</w:t>
                  </w:r>
                </w:p>
              </w:tc>
              <w:tc>
                <w:tcPr>
                  <w:tcW w:w="990" w:type="dxa"/>
                  <w:tcBorders>
                    <w:tl2br w:val="nil"/>
                    <w:tr2bl w:val="nil"/>
                  </w:tcBorders>
                  <w:vAlign w:val="center"/>
                </w:tcPr>
                <w:p w14:paraId="13BD0433">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治理措施</w:t>
                  </w:r>
                </w:p>
              </w:tc>
              <w:tc>
                <w:tcPr>
                  <w:tcW w:w="667" w:type="dxa"/>
                  <w:tcBorders>
                    <w:tl2br w:val="nil"/>
                    <w:tr2bl w:val="nil"/>
                  </w:tcBorders>
                  <w:vAlign w:val="center"/>
                </w:tcPr>
                <w:p w14:paraId="28E58763">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设施名称</w:t>
                  </w:r>
                </w:p>
              </w:tc>
              <w:tc>
                <w:tcPr>
                  <w:tcW w:w="765" w:type="dxa"/>
                  <w:tcBorders>
                    <w:tl2br w:val="nil"/>
                    <w:tr2bl w:val="nil"/>
                  </w:tcBorders>
                  <w:vAlign w:val="center"/>
                </w:tcPr>
                <w:p w14:paraId="6F61667A">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治理技术</w:t>
                  </w:r>
                </w:p>
              </w:tc>
              <w:tc>
                <w:tcPr>
                  <w:tcW w:w="1472" w:type="dxa"/>
                  <w:tcBorders>
                    <w:tl2br w:val="nil"/>
                    <w:tr2bl w:val="nil"/>
                  </w:tcBorders>
                  <w:vAlign w:val="center"/>
                </w:tcPr>
                <w:p w14:paraId="55A083D4">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是否为可行技术</w:t>
                  </w:r>
                </w:p>
              </w:tc>
              <w:tc>
                <w:tcPr>
                  <w:tcW w:w="695" w:type="dxa"/>
                  <w:tcBorders>
                    <w:tl2br w:val="nil"/>
                    <w:tr2bl w:val="nil"/>
                  </w:tcBorders>
                  <w:vAlign w:val="center"/>
                </w:tcPr>
                <w:p w14:paraId="72BC3B6F">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收集效率</w:t>
                  </w:r>
                  <w:r>
                    <w:rPr>
                      <w:rFonts w:hint="default" w:ascii="Times New Roman" w:hAnsi="Times New Roman" w:cs="Times New Roman"/>
                      <w:color w:val="auto"/>
                      <w:sz w:val="21"/>
                      <w:szCs w:val="21"/>
                      <w:lang w:val="en-US" w:eastAsia="zh-CN"/>
                    </w:rPr>
                    <w:t>%</w:t>
                  </w:r>
                </w:p>
              </w:tc>
              <w:tc>
                <w:tcPr>
                  <w:tcW w:w="703" w:type="dxa"/>
                  <w:tcBorders>
                    <w:tl2br w:val="nil"/>
                    <w:tr2bl w:val="nil"/>
                  </w:tcBorders>
                  <w:vAlign w:val="center"/>
                </w:tcPr>
                <w:p w14:paraId="6DABCA25">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处理效率</w:t>
                  </w:r>
                  <w:r>
                    <w:rPr>
                      <w:rFonts w:hint="default" w:ascii="Times New Roman" w:hAnsi="Times New Roman" w:cs="Times New Roman"/>
                      <w:color w:val="auto"/>
                      <w:sz w:val="21"/>
                      <w:szCs w:val="21"/>
                      <w:lang w:val="en-US" w:eastAsia="zh-CN"/>
                    </w:rPr>
                    <w:t>%</w:t>
                  </w:r>
                </w:p>
              </w:tc>
              <w:tc>
                <w:tcPr>
                  <w:tcW w:w="927" w:type="dxa"/>
                  <w:tcBorders>
                    <w:tl2br w:val="nil"/>
                    <w:tr2bl w:val="nil"/>
                  </w:tcBorders>
                  <w:vAlign w:val="center"/>
                </w:tcPr>
                <w:p w14:paraId="70DB4740">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w:t>
                  </w:r>
                </w:p>
                <w:p w14:paraId="726EBD53">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浓度mg/m</w:t>
                  </w:r>
                  <w:r>
                    <w:rPr>
                      <w:rFonts w:hint="default" w:ascii="Times New Roman" w:hAnsi="Times New Roman" w:cs="Times New Roman"/>
                      <w:b/>
                      <w:bCs/>
                      <w:color w:val="auto"/>
                      <w:sz w:val="21"/>
                      <w:szCs w:val="21"/>
                      <w:vertAlign w:val="superscript"/>
                    </w:rPr>
                    <w:t>3</w:t>
                  </w:r>
                </w:p>
              </w:tc>
              <w:tc>
                <w:tcPr>
                  <w:tcW w:w="1125" w:type="dxa"/>
                  <w:tcBorders>
                    <w:tl2br w:val="nil"/>
                    <w:tr2bl w:val="nil"/>
                  </w:tcBorders>
                  <w:vAlign w:val="center"/>
                </w:tcPr>
                <w:p w14:paraId="1D2DBD3C">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排放速率kg/h</w:t>
                  </w:r>
                </w:p>
              </w:tc>
              <w:tc>
                <w:tcPr>
                  <w:tcW w:w="815" w:type="dxa"/>
                  <w:tcBorders>
                    <w:tl2br w:val="nil"/>
                    <w:tr2bl w:val="nil"/>
                  </w:tcBorders>
                  <w:vAlign w:val="center"/>
                </w:tcPr>
                <w:p w14:paraId="4265ACF6">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排放量t/a</w:t>
                  </w:r>
                </w:p>
              </w:tc>
            </w:tr>
            <w:tr w14:paraId="74952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78" w:type="dxa"/>
                  <w:vMerge w:val="restart"/>
                  <w:tcBorders>
                    <w:tl2br w:val="nil"/>
                    <w:tr2bl w:val="nil"/>
                  </w:tcBorders>
                  <w:vAlign w:val="center"/>
                </w:tcPr>
                <w:p w14:paraId="21D174EF">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激光切割</w:t>
                  </w:r>
                </w:p>
              </w:tc>
              <w:tc>
                <w:tcPr>
                  <w:tcW w:w="666" w:type="dxa"/>
                  <w:vMerge w:val="restart"/>
                  <w:tcBorders>
                    <w:tl2br w:val="nil"/>
                    <w:tr2bl w:val="nil"/>
                  </w:tcBorders>
                  <w:vAlign w:val="center"/>
                </w:tcPr>
                <w:p w14:paraId="35557FA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eastAsia="zh-CN"/>
                    </w:rPr>
                    <w:t>颗粒物</w:t>
                  </w:r>
                </w:p>
              </w:tc>
              <w:tc>
                <w:tcPr>
                  <w:tcW w:w="859" w:type="dxa"/>
                  <w:tcBorders>
                    <w:tl2br w:val="nil"/>
                    <w:tr2bl w:val="nil"/>
                  </w:tcBorders>
                  <w:vAlign w:val="center"/>
                </w:tcPr>
                <w:p w14:paraId="6D35B66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有组织</w:t>
                  </w:r>
                </w:p>
              </w:tc>
              <w:tc>
                <w:tcPr>
                  <w:tcW w:w="746" w:type="dxa"/>
                  <w:tcBorders>
                    <w:tl2br w:val="nil"/>
                    <w:tr2bl w:val="nil"/>
                  </w:tcBorders>
                  <w:vAlign w:val="center"/>
                </w:tcPr>
                <w:p w14:paraId="2C94596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4000</w:t>
                  </w:r>
                </w:p>
              </w:tc>
              <w:tc>
                <w:tcPr>
                  <w:tcW w:w="718" w:type="dxa"/>
                  <w:tcBorders>
                    <w:tl2br w:val="nil"/>
                    <w:tr2bl w:val="nil"/>
                  </w:tcBorders>
                  <w:vAlign w:val="center"/>
                </w:tcPr>
                <w:p w14:paraId="15AAF65C">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143.94</w:t>
                  </w:r>
                </w:p>
              </w:tc>
              <w:tc>
                <w:tcPr>
                  <w:tcW w:w="1080" w:type="dxa"/>
                  <w:tcBorders>
                    <w:tl2br w:val="nil"/>
                    <w:tr2bl w:val="nil"/>
                  </w:tcBorders>
                  <w:vAlign w:val="center"/>
                </w:tcPr>
                <w:p w14:paraId="2DE0435A">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0.576</w:t>
                  </w:r>
                </w:p>
              </w:tc>
              <w:tc>
                <w:tcPr>
                  <w:tcW w:w="797" w:type="dxa"/>
                  <w:tcBorders>
                    <w:tl2br w:val="nil"/>
                    <w:tr2bl w:val="nil"/>
                  </w:tcBorders>
                  <w:vAlign w:val="center"/>
                </w:tcPr>
                <w:p w14:paraId="5F628BF2">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0.76</w:t>
                  </w:r>
                </w:p>
              </w:tc>
              <w:tc>
                <w:tcPr>
                  <w:tcW w:w="906" w:type="dxa"/>
                  <w:vMerge w:val="restart"/>
                  <w:tcBorders>
                    <w:tl2br w:val="nil"/>
                    <w:tr2bl w:val="nil"/>
                  </w:tcBorders>
                  <w:vAlign w:val="center"/>
                </w:tcPr>
                <w:p w14:paraId="1C0CA658">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jc w:val="center"/>
                    <w:textAlignment w:val="auto"/>
                    <w:rPr>
                      <w:rFonts w:hint="default" w:ascii="Times New Roman" w:hAnsi="Times New Roman" w:cs="Times New Roman"/>
                      <w:b w:val="0"/>
                      <w:bCs w:val="0"/>
                      <w:color w:val="auto"/>
                      <w:szCs w:val="21"/>
                    </w:rPr>
                  </w:pPr>
                  <w:r>
                    <w:rPr>
                      <w:rFonts w:hint="eastAsia" w:ascii="Times New Roman" w:hAnsi="Times New Roman" w:cs="Times New Roman"/>
                      <w:b w:val="0"/>
                      <w:bCs w:val="0"/>
                      <w:color w:val="auto"/>
                      <w:szCs w:val="21"/>
                      <w:lang w:val="en-US" w:eastAsia="zh-CN"/>
                    </w:rPr>
                    <w:t>集气罩</w:t>
                  </w:r>
                  <w:r>
                    <w:rPr>
                      <w:rFonts w:hint="default" w:ascii="Times New Roman" w:hAnsi="Times New Roman" w:cs="Times New Roman"/>
                      <w:b w:val="0"/>
                      <w:bCs w:val="0"/>
                      <w:color w:val="auto"/>
                      <w:szCs w:val="21"/>
                    </w:rPr>
                    <w:t>负压收集</w:t>
                  </w:r>
                </w:p>
              </w:tc>
              <w:tc>
                <w:tcPr>
                  <w:tcW w:w="990" w:type="dxa"/>
                  <w:vMerge w:val="restart"/>
                  <w:tcBorders>
                    <w:tl2br w:val="nil"/>
                    <w:tr2bl w:val="nil"/>
                  </w:tcBorders>
                  <w:vAlign w:val="center"/>
                </w:tcPr>
                <w:p w14:paraId="5AD638E5">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val="0"/>
                      <w:color w:val="auto"/>
                      <w:szCs w:val="21"/>
                      <w:lang w:val="en-US" w:eastAsia="zh-CN"/>
                    </w:rPr>
                  </w:pPr>
                  <w:r>
                    <w:rPr>
                      <w:rFonts w:hint="default" w:ascii="Times New Roman" w:hAnsi="Times New Roman" w:cs="Times New Roman"/>
                      <w:b w:val="0"/>
                      <w:bCs w:val="0"/>
                      <w:color w:val="auto"/>
                      <w:szCs w:val="21"/>
                    </w:rPr>
                    <w:t>+</w:t>
                  </w:r>
                  <w:r>
                    <w:rPr>
                      <w:rFonts w:hint="eastAsia" w:ascii="Times New Roman" w:hAnsi="Times New Roman" w:cs="Times New Roman"/>
                      <w:b w:val="0"/>
                      <w:bCs w:val="0"/>
                      <w:color w:val="auto"/>
                      <w:szCs w:val="21"/>
                      <w:lang w:val="en-US" w:eastAsia="zh-CN"/>
                    </w:rPr>
                    <w:t>布袋除尘器</w:t>
                  </w:r>
                </w:p>
              </w:tc>
              <w:tc>
                <w:tcPr>
                  <w:tcW w:w="667" w:type="dxa"/>
                  <w:vMerge w:val="restart"/>
                  <w:tcBorders>
                    <w:tl2br w:val="nil"/>
                    <w:tr2bl w:val="nil"/>
                  </w:tcBorders>
                  <w:vAlign w:val="center"/>
                </w:tcPr>
                <w:p w14:paraId="61E591B9">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rPr>
                    <w:t>TA00</w:t>
                  </w:r>
                  <w:r>
                    <w:rPr>
                      <w:rFonts w:hint="eastAsia" w:ascii="Times New Roman" w:hAnsi="Times New Roman" w:cs="Times New Roman"/>
                      <w:b w:val="0"/>
                      <w:bCs w:val="0"/>
                      <w:color w:val="auto"/>
                      <w:szCs w:val="21"/>
                      <w:lang w:val="en-US" w:eastAsia="zh-CN"/>
                    </w:rPr>
                    <w:t>1</w:t>
                  </w:r>
                </w:p>
              </w:tc>
              <w:tc>
                <w:tcPr>
                  <w:tcW w:w="765" w:type="dxa"/>
                  <w:vMerge w:val="restart"/>
                  <w:tcBorders>
                    <w:tl2br w:val="nil"/>
                    <w:tr2bl w:val="nil"/>
                  </w:tcBorders>
                  <w:vAlign w:val="center"/>
                </w:tcPr>
                <w:p w14:paraId="4127883D">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袋式除尘</w:t>
                  </w:r>
                </w:p>
              </w:tc>
              <w:tc>
                <w:tcPr>
                  <w:tcW w:w="1472" w:type="dxa"/>
                  <w:vMerge w:val="restart"/>
                  <w:tcBorders>
                    <w:tl2br w:val="nil"/>
                    <w:tr2bl w:val="nil"/>
                  </w:tcBorders>
                  <w:vAlign w:val="center"/>
                </w:tcPr>
                <w:p w14:paraId="10E16950">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《排放源统计调查产排污核算方法和系数手册》推荐技术</w:t>
                  </w:r>
                </w:p>
              </w:tc>
              <w:tc>
                <w:tcPr>
                  <w:tcW w:w="695" w:type="dxa"/>
                  <w:vMerge w:val="restart"/>
                  <w:tcBorders>
                    <w:tl2br w:val="nil"/>
                    <w:tr2bl w:val="nil"/>
                  </w:tcBorders>
                  <w:vAlign w:val="center"/>
                </w:tcPr>
                <w:p w14:paraId="226B649E">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80</w:t>
                  </w:r>
                </w:p>
              </w:tc>
              <w:tc>
                <w:tcPr>
                  <w:tcW w:w="703" w:type="dxa"/>
                  <w:vMerge w:val="restart"/>
                  <w:tcBorders>
                    <w:tl2br w:val="nil"/>
                    <w:tr2bl w:val="nil"/>
                  </w:tcBorders>
                  <w:vAlign w:val="center"/>
                </w:tcPr>
                <w:p w14:paraId="6D11B7C7">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95</w:t>
                  </w:r>
                </w:p>
              </w:tc>
              <w:tc>
                <w:tcPr>
                  <w:tcW w:w="927" w:type="dxa"/>
                  <w:tcBorders>
                    <w:tl2br w:val="nil"/>
                    <w:tr2bl w:val="nil"/>
                  </w:tcBorders>
                  <w:vAlign w:val="center"/>
                </w:tcPr>
                <w:p w14:paraId="46C89F9D">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7.197</w:t>
                  </w:r>
                </w:p>
              </w:tc>
              <w:tc>
                <w:tcPr>
                  <w:tcW w:w="1125" w:type="dxa"/>
                  <w:tcBorders>
                    <w:tl2br w:val="nil"/>
                    <w:tr2bl w:val="nil"/>
                  </w:tcBorders>
                  <w:vAlign w:val="center"/>
                </w:tcPr>
                <w:p w14:paraId="3C02AFCD">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0.288</w:t>
                  </w:r>
                </w:p>
              </w:tc>
              <w:tc>
                <w:tcPr>
                  <w:tcW w:w="815" w:type="dxa"/>
                  <w:tcBorders>
                    <w:tl2br w:val="nil"/>
                    <w:tr2bl w:val="nil"/>
                  </w:tcBorders>
                  <w:vAlign w:val="center"/>
                </w:tcPr>
                <w:p w14:paraId="27DCF9E5">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0.038</w:t>
                  </w:r>
                </w:p>
              </w:tc>
            </w:tr>
            <w:tr w14:paraId="5FBDA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78" w:type="dxa"/>
                  <w:vMerge w:val="continue"/>
                  <w:tcBorders>
                    <w:tl2br w:val="nil"/>
                    <w:tr2bl w:val="nil"/>
                  </w:tcBorders>
                  <w:vAlign w:val="center"/>
                </w:tcPr>
                <w:p w14:paraId="0D6A0A09">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color w:val="auto"/>
                      <w:sz w:val="21"/>
                      <w:szCs w:val="21"/>
                      <w:lang w:val="en-US" w:eastAsia="zh-CN"/>
                    </w:rPr>
                  </w:pPr>
                </w:p>
              </w:tc>
              <w:tc>
                <w:tcPr>
                  <w:tcW w:w="666" w:type="dxa"/>
                  <w:vMerge w:val="continue"/>
                  <w:tcBorders>
                    <w:tl2br w:val="nil"/>
                    <w:tr2bl w:val="nil"/>
                  </w:tcBorders>
                  <w:vAlign w:val="center"/>
                </w:tcPr>
                <w:p w14:paraId="3C531DE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p>
              </w:tc>
              <w:tc>
                <w:tcPr>
                  <w:tcW w:w="859" w:type="dxa"/>
                  <w:tcBorders>
                    <w:tl2br w:val="nil"/>
                    <w:tr2bl w:val="nil"/>
                  </w:tcBorders>
                  <w:vAlign w:val="center"/>
                </w:tcPr>
                <w:p w14:paraId="35D6130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无组织</w:t>
                  </w:r>
                </w:p>
              </w:tc>
              <w:tc>
                <w:tcPr>
                  <w:tcW w:w="746" w:type="dxa"/>
                  <w:tcBorders>
                    <w:tl2br w:val="nil"/>
                    <w:tr2bl w:val="nil"/>
                  </w:tcBorders>
                  <w:vAlign w:val="center"/>
                </w:tcPr>
                <w:p w14:paraId="3FF24BE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718" w:type="dxa"/>
                  <w:tcBorders>
                    <w:tl2br w:val="nil"/>
                    <w:tr2bl w:val="nil"/>
                  </w:tcBorders>
                  <w:vAlign w:val="center"/>
                </w:tcPr>
                <w:p w14:paraId="5143FC5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1080" w:type="dxa"/>
                  <w:tcBorders>
                    <w:tl2br w:val="nil"/>
                    <w:tr2bl w:val="nil"/>
                  </w:tcBorders>
                  <w:vAlign w:val="center"/>
                </w:tcPr>
                <w:p w14:paraId="42B27ADF">
                  <w:pPr>
                    <w:pStyle w:val="37"/>
                    <w:bidi w:val="0"/>
                    <w:ind w:left="0" w:leftChars="0" w:right="0" w:rightChars="0"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0.1439</w:t>
                  </w:r>
                </w:p>
              </w:tc>
              <w:tc>
                <w:tcPr>
                  <w:tcW w:w="797" w:type="dxa"/>
                  <w:tcBorders>
                    <w:tl2br w:val="nil"/>
                    <w:tr2bl w:val="nil"/>
                  </w:tcBorders>
                  <w:vAlign w:val="center"/>
                </w:tcPr>
                <w:p w14:paraId="42250E90">
                  <w:pPr>
                    <w:pStyle w:val="37"/>
                    <w:bidi w:val="0"/>
                    <w:ind w:left="0" w:leftChars="0" w:right="0" w:rightChars="0"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0.19</w:t>
                  </w:r>
                </w:p>
              </w:tc>
              <w:tc>
                <w:tcPr>
                  <w:tcW w:w="906" w:type="dxa"/>
                  <w:vMerge w:val="continue"/>
                  <w:tcBorders>
                    <w:tl2br w:val="nil"/>
                    <w:tr2bl w:val="nil"/>
                  </w:tcBorders>
                  <w:vAlign w:val="center"/>
                </w:tcPr>
                <w:p w14:paraId="675A300A">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auto"/>
                      <w:szCs w:val="21"/>
                    </w:rPr>
                  </w:pPr>
                </w:p>
              </w:tc>
              <w:tc>
                <w:tcPr>
                  <w:tcW w:w="990" w:type="dxa"/>
                  <w:vMerge w:val="continue"/>
                  <w:tcBorders>
                    <w:tl2br w:val="nil"/>
                    <w:tr2bl w:val="nil"/>
                  </w:tcBorders>
                  <w:vAlign w:val="center"/>
                </w:tcPr>
                <w:p w14:paraId="01D86DB8">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auto"/>
                      <w:szCs w:val="21"/>
                    </w:rPr>
                  </w:pPr>
                </w:p>
              </w:tc>
              <w:tc>
                <w:tcPr>
                  <w:tcW w:w="667" w:type="dxa"/>
                  <w:vMerge w:val="continue"/>
                  <w:tcBorders>
                    <w:tl2br w:val="nil"/>
                    <w:tr2bl w:val="nil"/>
                  </w:tcBorders>
                  <w:vAlign w:val="center"/>
                </w:tcPr>
                <w:p w14:paraId="166AF6F6">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auto"/>
                      <w:szCs w:val="21"/>
                    </w:rPr>
                  </w:pPr>
                </w:p>
              </w:tc>
              <w:tc>
                <w:tcPr>
                  <w:tcW w:w="765" w:type="dxa"/>
                  <w:vMerge w:val="continue"/>
                  <w:tcBorders>
                    <w:tl2br w:val="nil"/>
                    <w:tr2bl w:val="nil"/>
                  </w:tcBorders>
                  <w:vAlign w:val="center"/>
                </w:tcPr>
                <w:p w14:paraId="3F4F5DEB">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cs="Times New Roman"/>
                      <w:b w:val="0"/>
                      <w:bCs/>
                      <w:color w:val="auto"/>
                      <w:sz w:val="21"/>
                      <w:szCs w:val="21"/>
                      <w:lang w:val="en-US" w:eastAsia="zh-CN"/>
                    </w:rPr>
                  </w:pPr>
                </w:p>
              </w:tc>
              <w:tc>
                <w:tcPr>
                  <w:tcW w:w="1472" w:type="dxa"/>
                  <w:vMerge w:val="continue"/>
                  <w:tcBorders>
                    <w:tl2br w:val="nil"/>
                    <w:tr2bl w:val="nil"/>
                  </w:tcBorders>
                  <w:vAlign w:val="center"/>
                </w:tcPr>
                <w:p w14:paraId="458FA028">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695" w:type="dxa"/>
                  <w:vMerge w:val="continue"/>
                  <w:tcBorders>
                    <w:tl2br w:val="nil"/>
                    <w:tr2bl w:val="nil"/>
                  </w:tcBorders>
                  <w:vAlign w:val="center"/>
                </w:tcPr>
                <w:p w14:paraId="5E3F586C">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eastAsia" w:cs="Times New Roman"/>
                      <w:b w:val="0"/>
                      <w:bCs/>
                      <w:color w:val="auto"/>
                      <w:sz w:val="21"/>
                      <w:szCs w:val="21"/>
                      <w:lang w:val="en-US" w:eastAsia="zh-CN"/>
                    </w:rPr>
                  </w:pPr>
                </w:p>
              </w:tc>
              <w:tc>
                <w:tcPr>
                  <w:tcW w:w="703" w:type="dxa"/>
                  <w:vMerge w:val="continue"/>
                  <w:tcBorders>
                    <w:tl2br w:val="nil"/>
                    <w:tr2bl w:val="nil"/>
                  </w:tcBorders>
                  <w:vAlign w:val="center"/>
                </w:tcPr>
                <w:p w14:paraId="1AB71774">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eastAsia" w:cs="Times New Roman"/>
                      <w:b w:val="0"/>
                      <w:bCs/>
                      <w:color w:val="auto"/>
                      <w:sz w:val="21"/>
                      <w:szCs w:val="21"/>
                      <w:lang w:val="en-US" w:eastAsia="zh-CN"/>
                    </w:rPr>
                  </w:pPr>
                </w:p>
              </w:tc>
              <w:tc>
                <w:tcPr>
                  <w:tcW w:w="927" w:type="dxa"/>
                  <w:tcBorders>
                    <w:tl2br w:val="nil"/>
                    <w:tr2bl w:val="nil"/>
                  </w:tcBorders>
                  <w:vAlign w:val="center"/>
                </w:tcPr>
                <w:p w14:paraId="7679EB6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1125" w:type="dxa"/>
                  <w:tcBorders>
                    <w:tl2br w:val="nil"/>
                    <w:tr2bl w:val="nil"/>
                  </w:tcBorders>
                  <w:vAlign w:val="center"/>
                </w:tcPr>
                <w:p w14:paraId="6C66AABF">
                  <w:pPr>
                    <w:pStyle w:val="37"/>
                    <w:bidi w:val="0"/>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0.1439</w:t>
                  </w:r>
                </w:p>
              </w:tc>
              <w:tc>
                <w:tcPr>
                  <w:tcW w:w="815" w:type="dxa"/>
                  <w:tcBorders>
                    <w:tl2br w:val="nil"/>
                    <w:tr2bl w:val="nil"/>
                  </w:tcBorders>
                  <w:vAlign w:val="center"/>
                </w:tcPr>
                <w:p w14:paraId="39BA0CE9">
                  <w:pPr>
                    <w:pStyle w:val="37"/>
                    <w:bidi w:val="0"/>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0.19</w:t>
                  </w:r>
                </w:p>
              </w:tc>
            </w:tr>
            <w:tr w14:paraId="64765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78" w:type="dxa"/>
                  <w:tcBorders>
                    <w:tl2br w:val="nil"/>
                    <w:tr2bl w:val="nil"/>
                  </w:tcBorders>
                  <w:vAlign w:val="center"/>
                </w:tcPr>
                <w:p w14:paraId="6FCA5FD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锯床切割</w:t>
                  </w:r>
                </w:p>
              </w:tc>
              <w:tc>
                <w:tcPr>
                  <w:tcW w:w="666" w:type="dxa"/>
                  <w:tcBorders>
                    <w:tl2br w:val="nil"/>
                    <w:tr2bl w:val="nil"/>
                  </w:tcBorders>
                  <w:vAlign w:val="center"/>
                </w:tcPr>
                <w:p w14:paraId="700E6B7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859" w:type="dxa"/>
                  <w:tcBorders>
                    <w:tl2br w:val="nil"/>
                    <w:tr2bl w:val="nil"/>
                  </w:tcBorders>
                  <w:vAlign w:val="center"/>
                </w:tcPr>
                <w:p w14:paraId="3EF3BAB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color w:val="auto"/>
                      <w:sz w:val="21"/>
                      <w:szCs w:val="21"/>
                      <w:lang w:eastAsia="zh-CN"/>
                    </w:rPr>
                  </w:pPr>
                  <w:r>
                    <w:rPr>
                      <w:rFonts w:hint="eastAsia" w:ascii="Times New Roman" w:hAnsi="Times New Roman" w:cs="Times New Roman"/>
                      <w:b w:val="0"/>
                      <w:bCs/>
                      <w:color w:val="auto"/>
                      <w:sz w:val="21"/>
                      <w:szCs w:val="21"/>
                      <w:lang w:eastAsia="zh-CN"/>
                    </w:rPr>
                    <w:t>无组织</w:t>
                  </w:r>
                </w:p>
              </w:tc>
              <w:tc>
                <w:tcPr>
                  <w:tcW w:w="746" w:type="dxa"/>
                  <w:tcBorders>
                    <w:tl2br w:val="nil"/>
                    <w:tr2bl w:val="nil"/>
                  </w:tcBorders>
                  <w:vAlign w:val="center"/>
                </w:tcPr>
                <w:p w14:paraId="5D1492B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718" w:type="dxa"/>
                  <w:tcBorders>
                    <w:tl2br w:val="nil"/>
                    <w:tr2bl w:val="nil"/>
                  </w:tcBorders>
                  <w:vAlign w:val="center"/>
                </w:tcPr>
                <w:p w14:paraId="4562FA3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1080" w:type="dxa"/>
                  <w:tcBorders>
                    <w:tl2br w:val="nil"/>
                    <w:tr2bl w:val="nil"/>
                  </w:tcBorders>
                  <w:vAlign w:val="center"/>
                </w:tcPr>
                <w:p w14:paraId="70BAE6DB">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3.981</w:t>
                  </w:r>
                </w:p>
              </w:tc>
              <w:tc>
                <w:tcPr>
                  <w:tcW w:w="797" w:type="dxa"/>
                  <w:tcBorders>
                    <w:tl2br w:val="nil"/>
                    <w:tr2bl w:val="nil"/>
                  </w:tcBorders>
                  <w:vAlign w:val="center"/>
                </w:tcPr>
                <w:p w14:paraId="2994076D">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10.51</w:t>
                  </w:r>
                </w:p>
              </w:tc>
              <w:tc>
                <w:tcPr>
                  <w:tcW w:w="906" w:type="dxa"/>
                  <w:tcBorders>
                    <w:tl2br w:val="nil"/>
                    <w:tr2bl w:val="nil"/>
                  </w:tcBorders>
                  <w:vAlign w:val="center"/>
                </w:tcPr>
                <w:p w14:paraId="57F44124">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auto"/>
                      <w:szCs w:val="21"/>
                      <w:lang w:val="en-US" w:eastAsia="zh-CN"/>
                    </w:rPr>
                  </w:pPr>
                  <w:r>
                    <w:rPr>
                      <w:rFonts w:hint="eastAsia" w:ascii="Times New Roman" w:hAnsi="Times New Roman" w:cs="Times New Roman"/>
                      <w:b w:val="0"/>
                      <w:bCs w:val="0"/>
                      <w:color w:val="auto"/>
                      <w:szCs w:val="21"/>
                      <w:lang w:val="en-US" w:eastAsia="zh-CN"/>
                    </w:rPr>
                    <w:t>/</w:t>
                  </w:r>
                </w:p>
              </w:tc>
              <w:tc>
                <w:tcPr>
                  <w:tcW w:w="990" w:type="dxa"/>
                  <w:tcBorders>
                    <w:tl2br w:val="nil"/>
                    <w:tr2bl w:val="nil"/>
                  </w:tcBorders>
                  <w:vAlign w:val="center"/>
                </w:tcPr>
                <w:p w14:paraId="7B18D187">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val="0"/>
                      <w:color w:val="auto"/>
                      <w:szCs w:val="21"/>
                      <w:lang w:val="en-US" w:eastAsia="zh-CN"/>
                    </w:rPr>
                  </w:pPr>
                  <w:r>
                    <w:rPr>
                      <w:rFonts w:hint="eastAsia" w:ascii="Times New Roman" w:hAnsi="Times New Roman" w:cs="Times New Roman"/>
                      <w:b w:val="0"/>
                      <w:bCs w:val="0"/>
                      <w:color w:val="auto"/>
                      <w:szCs w:val="21"/>
                      <w:lang w:val="en-US" w:eastAsia="zh-CN"/>
                    </w:rPr>
                    <w:t>移动式袋式除尘器</w:t>
                  </w:r>
                </w:p>
              </w:tc>
              <w:tc>
                <w:tcPr>
                  <w:tcW w:w="667" w:type="dxa"/>
                  <w:tcBorders>
                    <w:tl2br w:val="nil"/>
                    <w:tr2bl w:val="nil"/>
                  </w:tcBorders>
                  <w:vAlign w:val="center"/>
                </w:tcPr>
                <w:p w14:paraId="756915D4">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val="0"/>
                      <w:color w:val="auto"/>
                      <w:szCs w:val="21"/>
                      <w:lang w:val="en-US" w:eastAsia="zh-CN"/>
                    </w:rPr>
                  </w:pPr>
                  <w:r>
                    <w:rPr>
                      <w:rFonts w:hint="default" w:ascii="Times New Roman" w:hAnsi="Times New Roman" w:cs="Times New Roman"/>
                      <w:b w:val="0"/>
                      <w:bCs w:val="0"/>
                      <w:color w:val="auto"/>
                      <w:szCs w:val="21"/>
                    </w:rPr>
                    <w:t>TA00</w:t>
                  </w:r>
                  <w:r>
                    <w:rPr>
                      <w:rFonts w:hint="eastAsia" w:ascii="Times New Roman" w:hAnsi="Times New Roman" w:cs="Times New Roman"/>
                      <w:b w:val="0"/>
                      <w:bCs w:val="0"/>
                      <w:color w:val="auto"/>
                      <w:szCs w:val="21"/>
                      <w:lang w:val="en-US" w:eastAsia="zh-CN"/>
                    </w:rPr>
                    <w:t>2</w:t>
                  </w:r>
                </w:p>
              </w:tc>
              <w:tc>
                <w:tcPr>
                  <w:tcW w:w="765" w:type="dxa"/>
                  <w:tcBorders>
                    <w:tl2br w:val="nil"/>
                    <w:tr2bl w:val="nil"/>
                  </w:tcBorders>
                  <w:vAlign w:val="center"/>
                </w:tcPr>
                <w:p w14:paraId="34367EB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472" w:type="dxa"/>
                  <w:tcBorders>
                    <w:tl2br w:val="nil"/>
                    <w:tr2bl w:val="nil"/>
                  </w:tcBorders>
                  <w:vAlign w:val="center"/>
                </w:tcPr>
                <w:p w14:paraId="21524D9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695" w:type="dxa"/>
                  <w:tcBorders>
                    <w:tl2br w:val="nil"/>
                    <w:tr2bl w:val="nil"/>
                  </w:tcBorders>
                  <w:vAlign w:val="center"/>
                </w:tcPr>
                <w:p w14:paraId="0C7839DC">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w:t>
                  </w:r>
                </w:p>
              </w:tc>
              <w:tc>
                <w:tcPr>
                  <w:tcW w:w="703" w:type="dxa"/>
                  <w:tcBorders>
                    <w:tl2br w:val="nil"/>
                    <w:tr2bl w:val="nil"/>
                  </w:tcBorders>
                  <w:vAlign w:val="center"/>
                </w:tcPr>
                <w:p w14:paraId="165D1D70">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w:t>
                  </w:r>
                </w:p>
              </w:tc>
              <w:tc>
                <w:tcPr>
                  <w:tcW w:w="927" w:type="dxa"/>
                  <w:tcBorders>
                    <w:tl2br w:val="nil"/>
                    <w:tr2bl w:val="nil"/>
                  </w:tcBorders>
                  <w:vAlign w:val="center"/>
                </w:tcPr>
                <w:p w14:paraId="06704D6E">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w:t>
                  </w:r>
                </w:p>
              </w:tc>
              <w:tc>
                <w:tcPr>
                  <w:tcW w:w="1125" w:type="dxa"/>
                  <w:tcBorders>
                    <w:tl2br w:val="nil"/>
                    <w:tr2bl w:val="nil"/>
                  </w:tcBorders>
                  <w:vAlign w:val="center"/>
                </w:tcPr>
                <w:p w14:paraId="411CE5DD">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0.9555</w:t>
                  </w:r>
                </w:p>
              </w:tc>
              <w:tc>
                <w:tcPr>
                  <w:tcW w:w="815" w:type="dxa"/>
                  <w:tcBorders>
                    <w:tl2br w:val="nil"/>
                    <w:tr2bl w:val="nil"/>
                  </w:tcBorders>
                  <w:vAlign w:val="center"/>
                </w:tcPr>
                <w:p w14:paraId="4A097E1F">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2.5224</w:t>
                  </w:r>
                </w:p>
              </w:tc>
            </w:tr>
            <w:tr w14:paraId="4C21B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78" w:type="dxa"/>
                  <w:vMerge w:val="restart"/>
                  <w:tcBorders>
                    <w:tl2br w:val="nil"/>
                    <w:tr2bl w:val="nil"/>
                  </w:tcBorders>
                  <w:vAlign w:val="center"/>
                </w:tcPr>
                <w:p w14:paraId="2DC79068">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焊接</w:t>
                  </w:r>
                </w:p>
              </w:tc>
              <w:tc>
                <w:tcPr>
                  <w:tcW w:w="666" w:type="dxa"/>
                  <w:tcBorders>
                    <w:tl2br w:val="nil"/>
                    <w:tr2bl w:val="nil"/>
                  </w:tcBorders>
                  <w:vAlign w:val="center"/>
                </w:tcPr>
                <w:p w14:paraId="5D849E2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859" w:type="dxa"/>
                  <w:tcBorders>
                    <w:tl2br w:val="nil"/>
                    <w:tr2bl w:val="nil"/>
                  </w:tcBorders>
                  <w:vAlign w:val="center"/>
                </w:tcPr>
                <w:p w14:paraId="7F62C35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eastAsia="宋体" w:cs="Times New Roman"/>
                      <w:b w:val="0"/>
                      <w:bCs/>
                      <w:color w:val="auto"/>
                      <w:sz w:val="21"/>
                      <w:szCs w:val="21"/>
                      <w:lang w:eastAsia="zh-CN"/>
                    </w:rPr>
                  </w:pPr>
                  <w:r>
                    <w:rPr>
                      <w:rFonts w:hint="eastAsia" w:ascii="Times New Roman" w:hAnsi="Times New Roman" w:cs="Times New Roman"/>
                      <w:b w:val="0"/>
                      <w:bCs/>
                      <w:color w:val="auto"/>
                      <w:sz w:val="21"/>
                      <w:szCs w:val="21"/>
                      <w:lang w:eastAsia="zh-CN"/>
                    </w:rPr>
                    <w:t>无组织</w:t>
                  </w:r>
                </w:p>
              </w:tc>
              <w:tc>
                <w:tcPr>
                  <w:tcW w:w="746" w:type="dxa"/>
                  <w:tcBorders>
                    <w:tl2br w:val="nil"/>
                    <w:tr2bl w:val="nil"/>
                  </w:tcBorders>
                  <w:vAlign w:val="center"/>
                </w:tcPr>
                <w:p w14:paraId="302B3C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718" w:type="dxa"/>
                  <w:tcBorders>
                    <w:tl2br w:val="nil"/>
                    <w:tr2bl w:val="nil"/>
                  </w:tcBorders>
                  <w:vAlign w:val="center"/>
                </w:tcPr>
                <w:p w14:paraId="1181F3E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1080" w:type="dxa"/>
                  <w:tcBorders>
                    <w:tl2br w:val="nil"/>
                    <w:tr2bl w:val="nil"/>
                  </w:tcBorders>
                  <w:vAlign w:val="center"/>
                </w:tcPr>
                <w:p w14:paraId="151C57A8">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0.181</w:t>
                  </w:r>
                </w:p>
              </w:tc>
              <w:tc>
                <w:tcPr>
                  <w:tcW w:w="797" w:type="dxa"/>
                  <w:tcBorders>
                    <w:tl2br w:val="nil"/>
                    <w:tr2bl w:val="nil"/>
                  </w:tcBorders>
                  <w:vAlign w:val="center"/>
                </w:tcPr>
                <w:p w14:paraId="6E08ADD0">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0.478</w:t>
                  </w:r>
                </w:p>
              </w:tc>
              <w:tc>
                <w:tcPr>
                  <w:tcW w:w="906" w:type="dxa"/>
                  <w:tcBorders>
                    <w:tl2br w:val="nil"/>
                    <w:tr2bl w:val="nil"/>
                  </w:tcBorders>
                  <w:vAlign w:val="center"/>
                </w:tcPr>
                <w:p w14:paraId="6C453623">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auto"/>
                      <w:szCs w:val="21"/>
                      <w:lang w:val="en-US" w:eastAsia="zh-CN"/>
                    </w:rPr>
                  </w:pPr>
                  <w:r>
                    <w:rPr>
                      <w:rFonts w:hint="eastAsia" w:ascii="Times New Roman" w:hAnsi="Times New Roman" w:cs="Times New Roman"/>
                      <w:b w:val="0"/>
                      <w:bCs w:val="0"/>
                      <w:color w:val="auto"/>
                      <w:szCs w:val="21"/>
                      <w:lang w:val="en-US" w:eastAsia="zh-CN"/>
                    </w:rPr>
                    <w:t>/</w:t>
                  </w:r>
                </w:p>
              </w:tc>
              <w:tc>
                <w:tcPr>
                  <w:tcW w:w="990" w:type="dxa"/>
                  <w:vMerge w:val="restart"/>
                  <w:tcBorders>
                    <w:tl2br w:val="nil"/>
                    <w:tr2bl w:val="nil"/>
                  </w:tcBorders>
                  <w:vAlign w:val="center"/>
                </w:tcPr>
                <w:p w14:paraId="3C4708D7">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auto"/>
                      <w:szCs w:val="21"/>
                      <w:lang w:val="en-US" w:eastAsia="zh-CN"/>
                    </w:rPr>
                  </w:pPr>
                  <w:r>
                    <w:rPr>
                      <w:rFonts w:hint="eastAsia" w:ascii="Times New Roman" w:hAnsi="Times New Roman" w:cs="Times New Roman"/>
                      <w:b w:val="0"/>
                      <w:bCs w:val="0"/>
                      <w:color w:val="auto"/>
                      <w:szCs w:val="21"/>
                      <w:lang w:val="en-US" w:eastAsia="zh-CN"/>
                    </w:rPr>
                    <w:t>移动式烟尘净化器</w:t>
                  </w:r>
                </w:p>
              </w:tc>
              <w:tc>
                <w:tcPr>
                  <w:tcW w:w="667" w:type="dxa"/>
                  <w:vMerge w:val="restart"/>
                  <w:tcBorders>
                    <w:tl2br w:val="nil"/>
                    <w:tr2bl w:val="nil"/>
                  </w:tcBorders>
                  <w:vAlign w:val="center"/>
                </w:tcPr>
                <w:p w14:paraId="26DCF1F3">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val="0"/>
                      <w:color w:val="auto"/>
                      <w:szCs w:val="21"/>
                      <w:lang w:val="en-US" w:eastAsia="zh-CN"/>
                    </w:rPr>
                  </w:pPr>
                  <w:r>
                    <w:rPr>
                      <w:rFonts w:hint="default" w:ascii="Times New Roman" w:hAnsi="Times New Roman" w:cs="Times New Roman"/>
                      <w:b w:val="0"/>
                      <w:bCs w:val="0"/>
                      <w:color w:val="auto"/>
                      <w:szCs w:val="21"/>
                    </w:rPr>
                    <w:t>TA00</w:t>
                  </w:r>
                  <w:r>
                    <w:rPr>
                      <w:rFonts w:hint="eastAsia" w:ascii="Times New Roman" w:hAnsi="Times New Roman" w:cs="Times New Roman"/>
                      <w:b w:val="0"/>
                      <w:bCs w:val="0"/>
                      <w:color w:val="auto"/>
                      <w:szCs w:val="21"/>
                      <w:lang w:val="en-US" w:eastAsia="zh-CN"/>
                    </w:rPr>
                    <w:t>3</w:t>
                  </w:r>
                </w:p>
              </w:tc>
              <w:tc>
                <w:tcPr>
                  <w:tcW w:w="765" w:type="dxa"/>
                  <w:tcBorders>
                    <w:tl2br w:val="nil"/>
                    <w:tr2bl w:val="nil"/>
                  </w:tcBorders>
                  <w:vAlign w:val="center"/>
                </w:tcPr>
                <w:p w14:paraId="3180CFAF">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472" w:type="dxa"/>
                  <w:vMerge w:val="restart"/>
                  <w:tcBorders>
                    <w:tl2br w:val="nil"/>
                    <w:tr2bl w:val="nil"/>
                  </w:tcBorders>
                  <w:vAlign w:val="center"/>
                </w:tcPr>
                <w:p w14:paraId="5A1C1D05">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《排放源统计调查产排污核算方法和系数手册》推荐技术</w:t>
                  </w:r>
                </w:p>
              </w:tc>
              <w:tc>
                <w:tcPr>
                  <w:tcW w:w="695" w:type="dxa"/>
                  <w:tcBorders>
                    <w:tl2br w:val="nil"/>
                    <w:tr2bl w:val="nil"/>
                  </w:tcBorders>
                  <w:vAlign w:val="center"/>
                </w:tcPr>
                <w:p w14:paraId="0AFD3619">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eastAsia" w:cs="Times New Roman"/>
                      <w:b w:val="0"/>
                      <w:bCs/>
                      <w:color w:val="auto"/>
                      <w:sz w:val="21"/>
                      <w:szCs w:val="21"/>
                      <w:lang w:val="en-US" w:eastAsia="zh-CN"/>
                    </w:rPr>
                  </w:pPr>
                  <w:r>
                    <w:rPr>
                      <w:rFonts w:hint="eastAsia" w:cs="Times New Roman"/>
                      <w:b w:val="0"/>
                      <w:bCs/>
                      <w:color w:val="auto"/>
                      <w:sz w:val="21"/>
                      <w:szCs w:val="21"/>
                      <w:lang w:val="en-US" w:eastAsia="zh-CN"/>
                    </w:rPr>
                    <w:t>80</w:t>
                  </w:r>
                </w:p>
              </w:tc>
              <w:tc>
                <w:tcPr>
                  <w:tcW w:w="703" w:type="dxa"/>
                  <w:tcBorders>
                    <w:tl2br w:val="nil"/>
                    <w:tr2bl w:val="nil"/>
                  </w:tcBorders>
                  <w:vAlign w:val="center"/>
                </w:tcPr>
                <w:p w14:paraId="3BB68D38">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95</w:t>
                  </w:r>
                </w:p>
              </w:tc>
              <w:tc>
                <w:tcPr>
                  <w:tcW w:w="927" w:type="dxa"/>
                  <w:tcBorders>
                    <w:tl2br w:val="nil"/>
                    <w:tr2bl w:val="nil"/>
                  </w:tcBorders>
                  <w:vAlign w:val="center"/>
                </w:tcPr>
                <w:p w14:paraId="08A7ED36">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w:t>
                  </w:r>
                </w:p>
              </w:tc>
              <w:tc>
                <w:tcPr>
                  <w:tcW w:w="1125" w:type="dxa"/>
                  <w:tcBorders>
                    <w:tl2br w:val="nil"/>
                    <w:tr2bl w:val="nil"/>
                  </w:tcBorders>
                  <w:vAlign w:val="center"/>
                </w:tcPr>
                <w:p w14:paraId="3162D8C3">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0.0435</w:t>
                  </w:r>
                </w:p>
              </w:tc>
              <w:tc>
                <w:tcPr>
                  <w:tcW w:w="815" w:type="dxa"/>
                  <w:tcBorders>
                    <w:tl2br w:val="nil"/>
                    <w:tr2bl w:val="nil"/>
                  </w:tcBorders>
                  <w:vAlign w:val="center"/>
                </w:tcPr>
                <w:p w14:paraId="646456A2">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0.1147</w:t>
                  </w:r>
                </w:p>
              </w:tc>
            </w:tr>
            <w:tr w14:paraId="5D8B0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78" w:type="dxa"/>
                  <w:vMerge w:val="continue"/>
                  <w:tcBorders>
                    <w:tl2br w:val="nil"/>
                    <w:tr2bl w:val="nil"/>
                  </w:tcBorders>
                  <w:vAlign w:val="center"/>
                </w:tcPr>
                <w:p w14:paraId="316A28F0">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cs="Times New Roman"/>
                      <w:color w:val="auto"/>
                      <w:sz w:val="21"/>
                      <w:szCs w:val="21"/>
                      <w:lang w:val="en-US" w:eastAsia="zh-CN"/>
                    </w:rPr>
                  </w:pPr>
                </w:p>
              </w:tc>
              <w:tc>
                <w:tcPr>
                  <w:tcW w:w="666" w:type="dxa"/>
                  <w:tcBorders>
                    <w:tl2br w:val="nil"/>
                    <w:tr2bl w:val="nil"/>
                  </w:tcBorders>
                  <w:vAlign w:val="center"/>
                </w:tcPr>
                <w:p w14:paraId="3BB5607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锡及其化合物</w:t>
                  </w:r>
                </w:p>
              </w:tc>
              <w:tc>
                <w:tcPr>
                  <w:tcW w:w="859" w:type="dxa"/>
                  <w:tcBorders>
                    <w:tl2br w:val="nil"/>
                    <w:tr2bl w:val="nil"/>
                  </w:tcBorders>
                  <w:vAlign w:val="center"/>
                </w:tcPr>
                <w:p w14:paraId="2E5023E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color w:val="auto"/>
                      <w:sz w:val="21"/>
                      <w:szCs w:val="21"/>
                      <w:lang w:eastAsia="zh-CN"/>
                    </w:rPr>
                  </w:pPr>
                  <w:r>
                    <w:rPr>
                      <w:rFonts w:hint="eastAsia" w:ascii="Times New Roman" w:hAnsi="Times New Roman" w:cs="Times New Roman"/>
                      <w:b w:val="0"/>
                      <w:bCs/>
                      <w:color w:val="auto"/>
                      <w:sz w:val="21"/>
                      <w:szCs w:val="21"/>
                      <w:lang w:eastAsia="zh-CN"/>
                    </w:rPr>
                    <w:t>无组织</w:t>
                  </w:r>
                </w:p>
              </w:tc>
              <w:tc>
                <w:tcPr>
                  <w:tcW w:w="746" w:type="dxa"/>
                  <w:tcBorders>
                    <w:tl2br w:val="nil"/>
                    <w:tr2bl w:val="nil"/>
                  </w:tcBorders>
                  <w:vAlign w:val="center"/>
                </w:tcPr>
                <w:p w14:paraId="71E41A1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718" w:type="dxa"/>
                  <w:tcBorders>
                    <w:tl2br w:val="nil"/>
                    <w:tr2bl w:val="nil"/>
                  </w:tcBorders>
                  <w:vAlign w:val="center"/>
                </w:tcPr>
                <w:p w14:paraId="281E15B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1080" w:type="dxa"/>
                  <w:tcBorders>
                    <w:tl2br w:val="nil"/>
                    <w:tr2bl w:val="nil"/>
                  </w:tcBorders>
                  <w:vAlign w:val="center"/>
                </w:tcPr>
                <w:p w14:paraId="4FC30477">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s="Times New Roman"/>
                      <w:b w:val="0"/>
                      <w:bCs/>
                      <w:color w:val="auto"/>
                      <w:sz w:val="21"/>
                      <w:szCs w:val="21"/>
                      <w:lang w:val="en-US" w:eastAsia="zh-CN"/>
                    </w:rPr>
                  </w:pPr>
                  <w:r>
                    <w:rPr>
                      <w:rFonts w:hint="eastAsia"/>
                      <w:b w:val="0"/>
                      <w:bCs/>
                      <w:color w:val="auto"/>
                      <w:sz w:val="21"/>
                      <w:szCs w:val="21"/>
                      <w:lang w:val="en-US" w:eastAsia="zh-CN"/>
                    </w:rPr>
                    <w:t>0.1798</w:t>
                  </w:r>
                </w:p>
              </w:tc>
              <w:tc>
                <w:tcPr>
                  <w:tcW w:w="797" w:type="dxa"/>
                  <w:tcBorders>
                    <w:tl2br w:val="nil"/>
                    <w:tr2bl w:val="nil"/>
                  </w:tcBorders>
                  <w:vAlign w:val="center"/>
                </w:tcPr>
                <w:p w14:paraId="22171969">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0.4747</w:t>
                  </w:r>
                </w:p>
              </w:tc>
              <w:tc>
                <w:tcPr>
                  <w:tcW w:w="906" w:type="dxa"/>
                  <w:tcBorders>
                    <w:tl2br w:val="nil"/>
                    <w:tr2bl w:val="nil"/>
                  </w:tcBorders>
                  <w:vAlign w:val="center"/>
                </w:tcPr>
                <w:p w14:paraId="1605BA11">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auto"/>
                      <w:szCs w:val="21"/>
                      <w:lang w:val="en-US" w:eastAsia="zh-CN"/>
                    </w:rPr>
                  </w:pPr>
                  <w:r>
                    <w:rPr>
                      <w:rFonts w:hint="eastAsia" w:ascii="Times New Roman" w:hAnsi="Times New Roman" w:cs="Times New Roman"/>
                      <w:b w:val="0"/>
                      <w:bCs w:val="0"/>
                      <w:color w:val="auto"/>
                      <w:szCs w:val="21"/>
                      <w:lang w:val="en-US" w:eastAsia="zh-CN"/>
                    </w:rPr>
                    <w:t>/</w:t>
                  </w:r>
                </w:p>
              </w:tc>
              <w:tc>
                <w:tcPr>
                  <w:tcW w:w="990" w:type="dxa"/>
                  <w:vMerge w:val="continue"/>
                  <w:tcBorders>
                    <w:tl2br w:val="nil"/>
                    <w:tr2bl w:val="nil"/>
                  </w:tcBorders>
                  <w:vAlign w:val="center"/>
                </w:tcPr>
                <w:p w14:paraId="064D92FA">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cs="Times New Roman"/>
                      <w:b w:val="0"/>
                      <w:bCs w:val="0"/>
                      <w:color w:val="auto"/>
                      <w:szCs w:val="21"/>
                      <w:lang w:val="en-US" w:eastAsia="zh-CN"/>
                    </w:rPr>
                  </w:pPr>
                </w:p>
              </w:tc>
              <w:tc>
                <w:tcPr>
                  <w:tcW w:w="667" w:type="dxa"/>
                  <w:vMerge w:val="continue"/>
                  <w:tcBorders>
                    <w:tl2br w:val="nil"/>
                    <w:tr2bl w:val="nil"/>
                  </w:tcBorders>
                  <w:vAlign w:val="center"/>
                </w:tcPr>
                <w:p w14:paraId="0CF1A647">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auto"/>
                      <w:szCs w:val="21"/>
                    </w:rPr>
                  </w:pPr>
                </w:p>
              </w:tc>
              <w:tc>
                <w:tcPr>
                  <w:tcW w:w="765" w:type="dxa"/>
                  <w:tcBorders>
                    <w:tl2br w:val="nil"/>
                    <w:tr2bl w:val="nil"/>
                  </w:tcBorders>
                  <w:vAlign w:val="center"/>
                </w:tcPr>
                <w:p w14:paraId="5E9EB038">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472" w:type="dxa"/>
                  <w:vMerge w:val="continue"/>
                  <w:tcBorders>
                    <w:tl2br w:val="nil"/>
                    <w:tr2bl w:val="nil"/>
                  </w:tcBorders>
                  <w:vAlign w:val="center"/>
                </w:tcPr>
                <w:p w14:paraId="3A05246A">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695" w:type="dxa"/>
                  <w:tcBorders>
                    <w:tl2br w:val="nil"/>
                    <w:tr2bl w:val="nil"/>
                  </w:tcBorders>
                  <w:vAlign w:val="center"/>
                </w:tcPr>
                <w:p w14:paraId="3B8AD375">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eastAsia" w:cs="Times New Roman"/>
                      <w:b w:val="0"/>
                      <w:bCs/>
                      <w:color w:val="auto"/>
                      <w:sz w:val="21"/>
                      <w:szCs w:val="21"/>
                      <w:lang w:val="en-US" w:eastAsia="zh-CN"/>
                    </w:rPr>
                  </w:pPr>
                  <w:r>
                    <w:rPr>
                      <w:rFonts w:hint="eastAsia" w:cs="Times New Roman"/>
                      <w:b w:val="0"/>
                      <w:bCs/>
                      <w:color w:val="auto"/>
                      <w:sz w:val="21"/>
                      <w:szCs w:val="21"/>
                      <w:lang w:val="en-US" w:eastAsia="zh-CN"/>
                    </w:rPr>
                    <w:t>80</w:t>
                  </w:r>
                </w:p>
              </w:tc>
              <w:tc>
                <w:tcPr>
                  <w:tcW w:w="703" w:type="dxa"/>
                  <w:tcBorders>
                    <w:tl2br w:val="nil"/>
                    <w:tr2bl w:val="nil"/>
                  </w:tcBorders>
                  <w:vAlign w:val="center"/>
                </w:tcPr>
                <w:p w14:paraId="66EFD191">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eastAsia" w:cs="Times New Roman"/>
                      <w:b w:val="0"/>
                      <w:bCs/>
                      <w:color w:val="auto"/>
                      <w:sz w:val="21"/>
                      <w:szCs w:val="21"/>
                      <w:lang w:val="en-US" w:eastAsia="zh-CN"/>
                    </w:rPr>
                  </w:pPr>
                  <w:r>
                    <w:rPr>
                      <w:rFonts w:hint="eastAsia" w:cs="Times New Roman"/>
                      <w:b w:val="0"/>
                      <w:bCs/>
                      <w:color w:val="auto"/>
                      <w:sz w:val="21"/>
                      <w:szCs w:val="21"/>
                      <w:lang w:val="en-US" w:eastAsia="zh-CN"/>
                    </w:rPr>
                    <w:t>95</w:t>
                  </w:r>
                </w:p>
              </w:tc>
              <w:tc>
                <w:tcPr>
                  <w:tcW w:w="927" w:type="dxa"/>
                  <w:tcBorders>
                    <w:tl2br w:val="nil"/>
                    <w:tr2bl w:val="nil"/>
                  </w:tcBorders>
                  <w:vAlign w:val="center"/>
                </w:tcPr>
                <w:p w14:paraId="2967091E">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eastAsia" w:cs="Times New Roman"/>
                      <w:b w:val="0"/>
                      <w:bCs/>
                      <w:color w:val="auto"/>
                      <w:sz w:val="21"/>
                      <w:szCs w:val="21"/>
                      <w:lang w:val="en-US" w:eastAsia="zh-CN"/>
                    </w:rPr>
                  </w:pPr>
                  <w:r>
                    <w:rPr>
                      <w:rFonts w:hint="eastAsia" w:cs="Times New Roman"/>
                      <w:b w:val="0"/>
                      <w:bCs/>
                      <w:color w:val="auto"/>
                      <w:sz w:val="21"/>
                      <w:szCs w:val="21"/>
                      <w:lang w:val="en-US" w:eastAsia="zh-CN"/>
                    </w:rPr>
                    <w:t>/</w:t>
                  </w:r>
                </w:p>
              </w:tc>
              <w:tc>
                <w:tcPr>
                  <w:tcW w:w="1125" w:type="dxa"/>
                  <w:tcBorders>
                    <w:tl2br w:val="nil"/>
                    <w:tr2bl w:val="nil"/>
                  </w:tcBorders>
                  <w:vAlign w:val="center"/>
                </w:tcPr>
                <w:p w14:paraId="08D811EB">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0.0431</w:t>
                  </w:r>
                </w:p>
              </w:tc>
              <w:tc>
                <w:tcPr>
                  <w:tcW w:w="815" w:type="dxa"/>
                  <w:tcBorders>
                    <w:tl2br w:val="nil"/>
                    <w:tr2bl w:val="nil"/>
                  </w:tcBorders>
                  <w:vAlign w:val="center"/>
                </w:tcPr>
                <w:p w14:paraId="7D0D336F">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0.1139</w:t>
                  </w:r>
                </w:p>
              </w:tc>
            </w:tr>
            <w:tr w14:paraId="5B448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78" w:type="dxa"/>
                  <w:vMerge w:val="continue"/>
                  <w:tcBorders>
                    <w:tl2br w:val="nil"/>
                    <w:tr2bl w:val="nil"/>
                  </w:tcBorders>
                  <w:vAlign w:val="center"/>
                </w:tcPr>
                <w:p w14:paraId="19CE004C">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cs="Times New Roman"/>
                      <w:color w:val="auto"/>
                      <w:sz w:val="21"/>
                      <w:szCs w:val="21"/>
                      <w:lang w:val="en-US" w:eastAsia="zh-CN"/>
                    </w:rPr>
                  </w:pPr>
                </w:p>
              </w:tc>
              <w:tc>
                <w:tcPr>
                  <w:tcW w:w="666" w:type="dxa"/>
                  <w:tcBorders>
                    <w:tl2br w:val="nil"/>
                    <w:tr2bl w:val="nil"/>
                  </w:tcBorders>
                  <w:vAlign w:val="center"/>
                </w:tcPr>
                <w:p w14:paraId="5CD4B2B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铜及其化合物</w:t>
                  </w:r>
                </w:p>
              </w:tc>
              <w:tc>
                <w:tcPr>
                  <w:tcW w:w="859" w:type="dxa"/>
                  <w:tcBorders>
                    <w:tl2br w:val="nil"/>
                    <w:tr2bl w:val="nil"/>
                  </w:tcBorders>
                  <w:vAlign w:val="center"/>
                </w:tcPr>
                <w:p w14:paraId="0FC4A88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color w:val="auto"/>
                      <w:sz w:val="21"/>
                      <w:szCs w:val="21"/>
                      <w:lang w:eastAsia="zh-CN"/>
                    </w:rPr>
                  </w:pPr>
                  <w:r>
                    <w:rPr>
                      <w:rFonts w:hint="eastAsia" w:ascii="Times New Roman" w:hAnsi="Times New Roman" w:cs="Times New Roman"/>
                      <w:b w:val="0"/>
                      <w:bCs/>
                      <w:color w:val="auto"/>
                      <w:sz w:val="21"/>
                      <w:szCs w:val="21"/>
                      <w:lang w:eastAsia="zh-CN"/>
                    </w:rPr>
                    <w:t>无组织</w:t>
                  </w:r>
                </w:p>
              </w:tc>
              <w:tc>
                <w:tcPr>
                  <w:tcW w:w="746" w:type="dxa"/>
                  <w:tcBorders>
                    <w:tl2br w:val="nil"/>
                    <w:tr2bl w:val="nil"/>
                  </w:tcBorders>
                  <w:vAlign w:val="center"/>
                </w:tcPr>
                <w:p w14:paraId="0E19D81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718" w:type="dxa"/>
                  <w:tcBorders>
                    <w:tl2br w:val="nil"/>
                    <w:tr2bl w:val="nil"/>
                  </w:tcBorders>
                  <w:vAlign w:val="center"/>
                </w:tcPr>
                <w:p w14:paraId="2EAFD2D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1080" w:type="dxa"/>
                  <w:tcBorders>
                    <w:tl2br w:val="nil"/>
                    <w:tr2bl w:val="nil"/>
                  </w:tcBorders>
                  <w:vAlign w:val="center"/>
                </w:tcPr>
                <w:p w14:paraId="644C856C">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s="Times New Roman"/>
                      <w:b w:val="0"/>
                      <w:bCs/>
                      <w:color w:val="auto"/>
                      <w:sz w:val="21"/>
                      <w:szCs w:val="21"/>
                      <w:lang w:val="en-US" w:eastAsia="zh-CN"/>
                    </w:rPr>
                  </w:pPr>
                  <w:r>
                    <w:rPr>
                      <w:rFonts w:hint="eastAsia"/>
                      <w:b w:val="0"/>
                      <w:bCs/>
                      <w:color w:val="auto"/>
                      <w:sz w:val="21"/>
                      <w:szCs w:val="21"/>
                      <w:lang w:val="en-US" w:eastAsia="zh-CN"/>
                    </w:rPr>
                    <w:t>0.0012</w:t>
                  </w:r>
                </w:p>
              </w:tc>
              <w:tc>
                <w:tcPr>
                  <w:tcW w:w="797" w:type="dxa"/>
                  <w:tcBorders>
                    <w:tl2br w:val="nil"/>
                    <w:tr2bl w:val="nil"/>
                  </w:tcBorders>
                  <w:vAlign w:val="center"/>
                </w:tcPr>
                <w:p w14:paraId="7223016F">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0.0033</w:t>
                  </w:r>
                </w:p>
              </w:tc>
              <w:tc>
                <w:tcPr>
                  <w:tcW w:w="906" w:type="dxa"/>
                  <w:tcBorders>
                    <w:tl2br w:val="nil"/>
                    <w:tr2bl w:val="nil"/>
                  </w:tcBorders>
                  <w:vAlign w:val="center"/>
                </w:tcPr>
                <w:p w14:paraId="56298C84">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auto"/>
                      <w:szCs w:val="21"/>
                      <w:lang w:val="en-US" w:eastAsia="zh-CN"/>
                    </w:rPr>
                  </w:pPr>
                  <w:r>
                    <w:rPr>
                      <w:rFonts w:hint="eastAsia" w:ascii="Times New Roman" w:hAnsi="Times New Roman" w:cs="Times New Roman"/>
                      <w:b w:val="0"/>
                      <w:bCs w:val="0"/>
                      <w:color w:val="auto"/>
                      <w:szCs w:val="21"/>
                      <w:lang w:val="en-US" w:eastAsia="zh-CN"/>
                    </w:rPr>
                    <w:t>/</w:t>
                  </w:r>
                </w:p>
              </w:tc>
              <w:tc>
                <w:tcPr>
                  <w:tcW w:w="990" w:type="dxa"/>
                  <w:vMerge w:val="continue"/>
                  <w:tcBorders>
                    <w:tl2br w:val="nil"/>
                    <w:tr2bl w:val="nil"/>
                  </w:tcBorders>
                  <w:vAlign w:val="center"/>
                </w:tcPr>
                <w:p w14:paraId="1F262FBE">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cs="Times New Roman"/>
                      <w:b w:val="0"/>
                      <w:bCs w:val="0"/>
                      <w:color w:val="auto"/>
                      <w:szCs w:val="21"/>
                      <w:lang w:val="en-US" w:eastAsia="zh-CN"/>
                    </w:rPr>
                  </w:pPr>
                </w:p>
              </w:tc>
              <w:tc>
                <w:tcPr>
                  <w:tcW w:w="667" w:type="dxa"/>
                  <w:vMerge w:val="continue"/>
                  <w:tcBorders>
                    <w:tl2br w:val="nil"/>
                    <w:tr2bl w:val="nil"/>
                  </w:tcBorders>
                  <w:vAlign w:val="center"/>
                </w:tcPr>
                <w:p w14:paraId="4EC25C32">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auto"/>
                      <w:szCs w:val="21"/>
                    </w:rPr>
                  </w:pPr>
                </w:p>
              </w:tc>
              <w:tc>
                <w:tcPr>
                  <w:tcW w:w="765" w:type="dxa"/>
                  <w:tcBorders>
                    <w:tl2br w:val="nil"/>
                    <w:tr2bl w:val="nil"/>
                  </w:tcBorders>
                  <w:vAlign w:val="center"/>
                </w:tcPr>
                <w:p w14:paraId="4B7BAA84">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472" w:type="dxa"/>
                  <w:vMerge w:val="continue"/>
                  <w:tcBorders>
                    <w:tl2br w:val="nil"/>
                    <w:tr2bl w:val="nil"/>
                  </w:tcBorders>
                  <w:vAlign w:val="center"/>
                </w:tcPr>
                <w:p w14:paraId="1FE6E4C2">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695" w:type="dxa"/>
                  <w:tcBorders>
                    <w:tl2br w:val="nil"/>
                    <w:tr2bl w:val="nil"/>
                  </w:tcBorders>
                  <w:vAlign w:val="center"/>
                </w:tcPr>
                <w:p w14:paraId="4DBE1A8E">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eastAsia" w:cs="Times New Roman"/>
                      <w:b w:val="0"/>
                      <w:bCs/>
                      <w:color w:val="auto"/>
                      <w:sz w:val="21"/>
                      <w:szCs w:val="21"/>
                      <w:lang w:val="en-US" w:eastAsia="zh-CN"/>
                    </w:rPr>
                  </w:pPr>
                  <w:r>
                    <w:rPr>
                      <w:rFonts w:hint="eastAsia" w:cs="Times New Roman"/>
                      <w:b w:val="0"/>
                      <w:bCs/>
                      <w:color w:val="auto"/>
                      <w:sz w:val="21"/>
                      <w:szCs w:val="21"/>
                      <w:lang w:val="en-US" w:eastAsia="zh-CN"/>
                    </w:rPr>
                    <w:t>80</w:t>
                  </w:r>
                </w:p>
              </w:tc>
              <w:tc>
                <w:tcPr>
                  <w:tcW w:w="703" w:type="dxa"/>
                  <w:tcBorders>
                    <w:tl2br w:val="nil"/>
                    <w:tr2bl w:val="nil"/>
                  </w:tcBorders>
                  <w:vAlign w:val="center"/>
                </w:tcPr>
                <w:p w14:paraId="041A5BC6">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eastAsia" w:cs="Times New Roman"/>
                      <w:b w:val="0"/>
                      <w:bCs/>
                      <w:color w:val="auto"/>
                      <w:sz w:val="21"/>
                      <w:szCs w:val="21"/>
                      <w:lang w:val="en-US" w:eastAsia="zh-CN"/>
                    </w:rPr>
                  </w:pPr>
                  <w:r>
                    <w:rPr>
                      <w:rFonts w:hint="eastAsia" w:cs="Times New Roman"/>
                      <w:b w:val="0"/>
                      <w:bCs/>
                      <w:color w:val="auto"/>
                      <w:sz w:val="21"/>
                      <w:szCs w:val="21"/>
                      <w:lang w:val="en-US" w:eastAsia="zh-CN"/>
                    </w:rPr>
                    <w:t>95</w:t>
                  </w:r>
                </w:p>
              </w:tc>
              <w:tc>
                <w:tcPr>
                  <w:tcW w:w="927" w:type="dxa"/>
                  <w:tcBorders>
                    <w:tl2br w:val="nil"/>
                    <w:tr2bl w:val="nil"/>
                  </w:tcBorders>
                  <w:vAlign w:val="center"/>
                </w:tcPr>
                <w:p w14:paraId="516695A2">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eastAsia" w:cs="Times New Roman"/>
                      <w:b w:val="0"/>
                      <w:bCs/>
                      <w:color w:val="auto"/>
                      <w:sz w:val="21"/>
                      <w:szCs w:val="21"/>
                      <w:lang w:val="en-US" w:eastAsia="zh-CN"/>
                    </w:rPr>
                  </w:pPr>
                  <w:r>
                    <w:rPr>
                      <w:rFonts w:hint="eastAsia" w:cs="Times New Roman"/>
                      <w:b w:val="0"/>
                      <w:bCs/>
                      <w:color w:val="auto"/>
                      <w:sz w:val="21"/>
                      <w:szCs w:val="21"/>
                      <w:lang w:val="en-US" w:eastAsia="zh-CN"/>
                    </w:rPr>
                    <w:t>/</w:t>
                  </w:r>
                </w:p>
              </w:tc>
              <w:tc>
                <w:tcPr>
                  <w:tcW w:w="1125" w:type="dxa"/>
                  <w:tcBorders>
                    <w:tl2br w:val="nil"/>
                    <w:tr2bl w:val="nil"/>
                  </w:tcBorders>
                  <w:vAlign w:val="center"/>
                </w:tcPr>
                <w:p w14:paraId="67E8EFC8">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0.0004</w:t>
                  </w:r>
                </w:p>
              </w:tc>
              <w:tc>
                <w:tcPr>
                  <w:tcW w:w="815" w:type="dxa"/>
                  <w:tcBorders>
                    <w:tl2br w:val="nil"/>
                    <w:tr2bl w:val="nil"/>
                  </w:tcBorders>
                  <w:vAlign w:val="center"/>
                </w:tcPr>
                <w:p w14:paraId="265DEDA9">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0.0008</w:t>
                  </w:r>
                </w:p>
              </w:tc>
            </w:tr>
            <w:tr w14:paraId="2BFF9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7" w:hRule="atLeast"/>
                <w:jc w:val="center"/>
              </w:trPr>
              <w:tc>
                <w:tcPr>
                  <w:tcW w:w="778" w:type="dxa"/>
                  <w:vMerge w:val="restart"/>
                  <w:tcBorders>
                    <w:tl2br w:val="nil"/>
                    <w:tr2bl w:val="nil"/>
                  </w:tcBorders>
                  <w:vAlign w:val="center"/>
                </w:tcPr>
                <w:p w14:paraId="030BEAAD">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val="en-US" w:eastAsia="zh-CN"/>
                    </w:rPr>
                    <w:t>喷漆、晾干</w:t>
                  </w:r>
                </w:p>
              </w:tc>
              <w:tc>
                <w:tcPr>
                  <w:tcW w:w="666" w:type="dxa"/>
                  <w:vMerge w:val="restart"/>
                  <w:tcBorders>
                    <w:tl2br w:val="nil"/>
                    <w:tr2bl w:val="nil"/>
                  </w:tcBorders>
                  <w:vAlign w:val="center"/>
                </w:tcPr>
                <w:p w14:paraId="0D5F24C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cs="Times New Roman"/>
                      <w:b w:val="0"/>
                      <w:bCs/>
                      <w:color w:val="auto"/>
                      <w:sz w:val="21"/>
                      <w:szCs w:val="21"/>
                      <w:lang w:val="en-US" w:eastAsia="zh-CN"/>
                    </w:rPr>
                    <w:t>非甲烷总烃</w:t>
                  </w:r>
                </w:p>
              </w:tc>
              <w:tc>
                <w:tcPr>
                  <w:tcW w:w="859" w:type="dxa"/>
                  <w:tcBorders>
                    <w:tl2br w:val="nil"/>
                    <w:tr2bl w:val="nil"/>
                  </w:tcBorders>
                  <w:vAlign w:val="center"/>
                </w:tcPr>
                <w:p w14:paraId="2FA9244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有组织</w:t>
                  </w:r>
                </w:p>
              </w:tc>
              <w:tc>
                <w:tcPr>
                  <w:tcW w:w="746" w:type="dxa"/>
                  <w:tcBorders>
                    <w:tl2br w:val="nil"/>
                    <w:tr2bl w:val="nil"/>
                  </w:tcBorders>
                  <w:vAlign w:val="center"/>
                </w:tcPr>
                <w:p w14:paraId="07671636">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14400</w:t>
                  </w:r>
                </w:p>
              </w:tc>
              <w:tc>
                <w:tcPr>
                  <w:tcW w:w="718" w:type="dxa"/>
                  <w:tcBorders>
                    <w:tl2br w:val="nil"/>
                    <w:tr2bl w:val="nil"/>
                  </w:tcBorders>
                  <w:vAlign w:val="center"/>
                </w:tcPr>
                <w:p w14:paraId="03027548">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28.9375</w:t>
                  </w:r>
                </w:p>
              </w:tc>
              <w:tc>
                <w:tcPr>
                  <w:tcW w:w="1080" w:type="dxa"/>
                  <w:tcBorders>
                    <w:tl2br w:val="nil"/>
                    <w:tr2bl w:val="nil"/>
                  </w:tcBorders>
                  <w:vAlign w:val="center"/>
                </w:tcPr>
                <w:p w14:paraId="78FC3BFA">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0.4167</w:t>
                  </w:r>
                </w:p>
              </w:tc>
              <w:tc>
                <w:tcPr>
                  <w:tcW w:w="797" w:type="dxa"/>
                  <w:tcBorders>
                    <w:tl2br w:val="nil"/>
                    <w:tr2bl w:val="nil"/>
                  </w:tcBorders>
                  <w:vAlign w:val="center"/>
                </w:tcPr>
                <w:p w14:paraId="753F349F">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0.6667</w:t>
                  </w:r>
                </w:p>
              </w:tc>
              <w:tc>
                <w:tcPr>
                  <w:tcW w:w="906" w:type="dxa"/>
                  <w:vMerge w:val="restart"/>
                  <w:tcBorders>
                    <w:tl2br w:val="nil"/>
                    <w:tr2bl w:val="nil"/>
                  </w:tcBorders>
                  <w:vAlign w:val="center"/>
                </w:tcPr>
                <w:p w14:paraId="417CA74D">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rPr>
                    <w:t>喷漆房</w:t>
                  </w:r>
                  <w:r>
                    <w:rPr>
                      <w:rFonts w:hint="eastAsia" w:ascii="Times New Roman" w:hAnsi="Times New Roman" w:cs="Times New Roman"/>
                      <w:b w:val="0"/>
                      <w:bCs w:val="0"/>
                      <w:color w:val="auto"/>
                      <w:szCs w:val="21"/>
                      <w:lang w:val="en-US" w:eastAsia="zh-CN"/>
                    </w:rPr>
                    <w:t>/</w:t>
                  </w:r>
                </w:p>
                <w:p w14:paraId="10DCBD35">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val="0"/>
                      <w:color w:val="auto"/>
                      <w:szCs w:val="21"/>
                      <w:lang w:val="en-US" w:eastAsia="zh-CN"/>
                    </w:rPr>
                    <w:t>晾干房</w:t>
                  </w:r>
                  <w:r>
                    <w:rPr>
                      <w:rFonts w:hint="default" w:ascii="Times New Roman" w:hAnsi="Times New Roman" w:cs="Times New Roman"/>
                      <w:b w:val="0"/>
                      <w:bCs w:val="0"/>
                      <w:color w:val="auto"/>
                      <w:szCs w:val="21"/>
                    </w:rPr>
                    <w:t>密闭负压收集</w:t>
                  </w:r>
                </w:p>
              </w:tc>
              <w:tc>
                <w:tcPr>
                  <w:tcW w:w="990" w:type="dxa"/>
                  <w:vMerge w:val="restart"/>
                  <w:tcBorders>
                    <w:tl2br w:val="nil"/>
                    <w:tr2bl w:val="nil"/>
                  </w:tcBorders>
                  <w:vAlign w:val="center"/>
                </w:tcPr>
                <w:p w14:paraId="5AC8A043">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val="0"/>
                      <w:color w:val="auto"/>
                      <w:szCs w:val="21"/>
                    </w:rPr>
                    <w:t>+</w:t>
                  </w:r>
                  <w:r>
                    <w:rPr>
                      <w:rFonts w:hint="eastAsia" w:ascii="Times New Roman" w:hAnsi="Times New Roman" w:cs="Times New Roman"/>
                      <w:b w:val="0"/>
                      <w:bCs w:val="0"/>
                      <w:color w:val="auto"/>
                      <w:szCs w:val="21"/>
                      <w:lang w:val="en-US" w:eastAsia="zh-CN"/>
                    </w:rPr>
                    <w:t>干式漆雾过滤器</w:t>
                  </w:r>
                  <w:r>
                    <w:rPr>
                      <w:rFonts w:hint="default" w:ascii="Times New Roman" w:hAnsi="Times New Roman" w:cs="Times New Roman"/>
                      <w:b w:val="0"/>
                      <w:bCs w:val="0"/>
                      <w:color w:val="auto"/>
                      <w:szCs w:val="21"/>
                    </w:rPr>
                    <w:t>+两级活性炭</w:t>
                  </w:r>
                </w:p>
              </w:tc>
              <w:tc>
                <w:tcPr>
                  <w:tcW w:w="667" w:type="dxa"/>
                  <w:vMerge w:val="restart"/>
                  <w:tcBorders>
                    <w:tl2br w:val="nil"/>
                    <w:tr2bl w:val="nil"/>
                  </w:tcBorders>
                  <w:vAlign w:val="center"/>
                </w:tcPr>
                <w:p w14:paraId="11A24CC6">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Cs w:val="21"/>
                    </w:rPr>
                    <w:t>TA00</w:t>
                  </w:r>
                  <w:r>
                    <w:rPr>
                      <w:rFonts w:hint="eastAsia" w:ascii="Times New Roman" w:hAnsi="Times New Roman" w:cs="Times New Roman"/>
                      <w:b w:val="0"/>
                      <w:bCs w:val="0"/>
                      <w:color w:val="auto"/>
                      <w:szCs w:val="21"/>
                      <w:lang w:val="en-US" w:eastAsia="zh-CN"/>
                    </w:rPr>
                    <w:t>4</w:t>
                  </w:r>
                </w:p>
              </w:tc>
              <w:tc>
                <w:tcPr>
                  <w:tcW w:w="765" w:type="dxa"/>
                  <w:vMerge w:val="restart"/>
                  <w:tcBorders>
                    <w:tl2br w:val="nil"/>
                    <w:tr2bl w:val="nil"/>
                  </w:tcBorders>
                  <w:vAlign w:val="center"/>
                </w:tcPr>
                <w:p w14:paraId="3873C1E4">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sz w:val="21"/>
                      <w:szCs w:val="21"/>
                      <w:lang w:val="en-US" w:eastAsia="zh-CN"/>
                    </w:rPr>
                    <w:t>吸附</w:t>
                  </w:r>
                  <w:r>
                    <w:rPr>
                      <w:rFonts w:hint="default" w:ascii="Times New Roman" w:hAnsi="Times New Roman" w:cs="Times New Roman"/>
                      <w:b w:val="0"/>
                      <w:bCs/>
                      <w:color w:val="auto"/>
                      <w:sz w:val="21"/>
                      <w:szCs w:val="21"/>
                    </w:rPr>
                    <w:t>法</w:t>
                  </w:r>
                </w:p>
              </w:tc>
              <w:tc>
                <w:tcPr>
                  <w:tcW w:w="1472" w:type="dxa"/>
                  <w:vMerge w:val="continue"/>
                  <w:tcBorders>
                    <w:tl2br w:val="nil"/>
                    <w:tr2bl w:val="nil"/>
                  </w:tcBorders>
                  <w:vAlign w:val="center"/>
                </w:tcPr>
                <w:p w14:paraId="3593D867">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695" w:type="dxa"/>
                  <w:vMerge w:val="restart"/>
                  <w:tcBorders>
                    <w:tl2br w:val="nil"/>
                    <w:tr2bl w:val="nil"/>
                  </w:tcBorders>
                  <w:vAlign w:val="center"/>
                </w:tcPr>
                <w:p w14:paraId="2DD4E86F">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99</w:t>
                  </w:r>
                </w:p>
              </w:tc>
              <w:tc>
                <w:tcPr>
                  <w:tcW w:w="703" w:type="dxa"/>
                  <w:vMerge w:val="restart"/>
                  <w:tcBorders>
                    <w:tl2br w:val="nil"/>
                    <w:tr2bl w:val="nil"/>
                  </w:tcBorders>
                  <w:vAlign w:val="center"/>
                </w:tcPr>
                <w:p w14:paraId="2ED384E8">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90</w:t>
                  </w:r>
                </w:p>
              </w:tc>
              <w:tc>
                <w:tcPr>
                  <w:tcW w:w="927" w:type="dxa"/>
                  <w:tcBorders>
                    <w:tl2br w:val="nil"/>
                    <w:tr2bl w:val="nil"/>
                  </w:tcBorders>
                  <w:vAlign w:val="center"/>
                </w:tcPr>
                <w:p w14:paraId="0357FC9F">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2.895</w:t>
                  </w:r>
                </w:p>
              </w:tc>
              <w:tc>
                <w:tcPr>
                  <w:tcW w:w="1125" w:type="dxa"/>
                  <w:tcBorders>
                    <w:tl2br w:val="nil"/>
                    <w:tr2bl w:val="nil"/>
                  </w:tcBorders>
                  <w:vAlign w:val="center"/>
                </w:tcPr>
                <w:p w14:paraId="497198B6">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0.0417</w:t>
                  </w:r>
                </w:p>
              </w:tc>
              <w:tc>
                <w:tcPr>
                  <w:tcW w:w="815" w:type="dxa"/>
                  <w:tcBorders>
                    <w:tl2br w:val="nil"/>
                    <w:tr2bl w:val="nil"/>
                  </w:tcBorders>
                  <w:vAlign w:val="center"/>
                </w:tcPr>
                <w:p w14:paraId="5AC0F08A">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0.0667</w:t>
                  </w:r>
                </w:p>
              </w:tc>
            </w:tr>
            <w:tr w14:paraId="1C863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2" w:hRule="atLeast"/>
                <w:jc w:val="center"/>
              </w:trPr>
              <w:tc>
                <w:tcPr>
                  <w:tcW w:w="778" w:type="dxa"/>
                  <w:vMerge w:val="continue"/>
                  <w:tcBorders>
                    <w:tl2br w:val="nil"/>
                    <w:tr2bl w:val="nil"/>
                  </w:tcBorders>
                  <w:vAlign w:val="center"/>
                </w:tcPr>
                <w:p w14:paraId="40BBB388">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color w:val="auto"/>
                      <w:sz w:val="21"/>
                      <w:szCs w:val="21"/>
                    </w:rPr>
                  </w:pPr>
                </w:p>
              </w:tc>
              <w:tc>
                <w:tcPr>
                  <w:tcW w:w="666" w:type="dxa"/>
                  <w:vMerge w:val="continue"/>
                  <w:tcBorders>
                    <w:tl2br w:val="nil"/>
                    <w:tr2bl w:val="nil"/>
                  </w:tcBorders>
                  <w:vAlign w:val="center"/>
                </w:tcPr>
                <w:p w14:paraId="19F1AED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rPr>
                  </w:pPr>
                </w:p>
              </w:tc>
              <w:tc>
                <w:tcPr>
                  <w:tcW w:w="859" w:type="dxa"/>
                  <w:tcBorders>
                    <w:tl2br w:val="nil"/>
                    <w:tr2bl w:val="nil"/>
                  </w:tcBorders>
                  <w:vAlign w:val="center"/>
                </w:tcPr>
                <w:p w14:paraId="086E123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无组织</w:t>
                  </w:r>
                </w:p>
              </w:tc>
              <w:tc>
                <w:tcPr>
                  <w:tcW w:w="746" w:type="dxa"/>
                  <w:tcBorders>
                    <w:tl2br w:val="nil"/>
                    <w:tr2bl w:val="nil"/>
                  </w:tcBorders>
                  <w:vAlign w:val="center"/>
                </w:tcPr>
                <w:p w14:paraId="4797CE78">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718" w:type="dxa"/>
                  <w:tcBorders>
                    <w:tl2br w:val="nil"/>
                    <w:tr2bl w:val="nil"/>
                  </w:tcBorders>
                  <w:vAlign w:val="center"/>
                </w:tcPr>
                <w:p w14:paraId="111895C7">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1080" w:type="dxa"/>
                  <w:tcBorders>
                    <w:tl2br w:val="nil"/>
                    <w:tr2bl w:val="nil"/>
                  </w:tcBorders>
                  <w:vAlign w:val="center"/>
                </w:tcPr>
                <w:p w14:paraId="55E7268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4.187×10</w:t>
                  </w:r>
                  <w:r>
                    <w:rPr>
                      <w:rFonts w:hint="eastAsia" w:ascii="Times New Roman" w:hAnsi="Times New Roman" w:cs="Times New Roman"/>
                      <w:b w:val="0"/>
                      <w:bCs/>
                      <w:color w:val="auto"/>
                      <w:sz w:val="21"/>
                      <w:szCs w:val="21"/>
                      <w:vertAlign w:val="superscript"/>
                      <w:lang w:val="en-US" w:eastAsia="zh-CN"/>
                    </w:rPr>
                    <w:t>-3</w:t>
                  </w:r>
                </w:p>
              </w:tc>
              <w:tc>
                <w:tcPr>
                  <w:tcW w:w="797" w:type="dxa"/>
                  <w:tcBorders>
                    <w:tl2br w:val="nil"/>
                    <w:tr2bl w:val="nil"/>
                  </w:tcBorders>
                  <w:vAlign w:val="center"/>
                </w:tcPr>
                <w:p w14:paraId="2E15DB7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0.0067</w:t>
                  </w:r>
                </w:p>
              </w:tc>
              <w:tc>
                <w:tcPr>
                  <w:tcW w:w="906" w:type="dxa"/>
                  <w:vMerge w:val="continue"/>
                  <w:tcBorders>
                    <w:tl2br w:val="nil"/>
                    <w:tr2bl w:val="nil"/>
                  </w:tcBorders>
                  <w:vAlign w:val="center"/>
                </w:tcPr>
                <w:p w14:paraId="186EB02F">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990" w:type="dxa"/>
                  <w:vMerge w:val="continue"/>
                  <w:tcBorders>
                    <w:tl2br w:val="nil"/>
                    <w:tr2bl w:val="nil"/>
                  </w:tcBorders>
                  <w:vAlign w:val="center"/>
                </w:tcPr>
                <w:p w14:paraId="05ACAE26">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667" w:type="dxa"/>
                  <w:vMerge w:val="continue"/>
                  <w:tcBorders>
                    <w:tl2br w:val="nil"/>
                    <w:tr2bl w:val="nil"/>
                  </w:tcBorders>
                  <w:vAlign w:val="center"/>
                </w:tcPr>
                <w:p w14:paraId="19D2CE67">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765" w:type="dxa"/>
                  <w:vMerge w:val="continue"/>
                  <w:tcBorders>
                    <w:tl2br w:val="nil"/>
                    <w:tr2bl w:val="nil"/>
                  </w:tcBorders>
                  <w:vAlign w:val="center"/>
                </w:tcPr>
                <w:p w14:paraId="1F0352C5">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1472" w:type="dxa"/>
                  <w:vMerge w:val="continue"/>
                  <w:tcBorders>
                    <w:tl2br w:val="nil"/>
                    <w:tr2bl w:val="nil"/>
                  </w:tcBorders>
                  <w:vAlign w:val="center"/>
                </w:tcPr>
                <w:p w14:paraId="61C28853">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695" w:type="dxa"/>
                  <w:vMerge w:val="continue"/>
                  <w:tcBorders>
                    <w:tl2br w:val="nil"/>
                    <w:tr2bl w:val="nil"/>
                  </w:tcBorders>
                  <w:vAlign w:val="center"/>
                </w:tcPr>
                <w:p w14:paraId="67989B12">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703" w:type="dxa"/>
                  <w:vMerge w:val="continue"/>
                  <w:tcBorders>
                    <w:tl2br w:val="nil"/>
                    <w:tr2bl w:val="nil"/>
                  </w:tcBorders>
                  <w:vAlign w:val="center"/>
                </w:tcPr>
                <w:p w14:paraId="17FED3CC">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927" w:type="dxa"/>
                  <w:tcBorders>
                    <w:tl2br w:val="nil"/>
                    <w:tr2bl w:val="nil"/>
                  </w:tcBorders>
                  <w:vAlign w:val="center"/>
                </w:tcPr>
                <w:p w14:paraId="08E3063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1125" w:type="dxa"/>
                  <w:tcBorders>
                    <w:tl2br w:val="nil"/>
                    <w:tr2bl w:val="nil"/>
                  </w:tcBorders>
                  <w:vAlign w:val="center"/>
                </w:tcPr>
                <w:p w14:paraId="495781E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4.187×10</w:t>
                  </w:r>
                  <w:r>
                    <w:rPr>
                      <w:rFonts w:hint="eastAsia" w:ascii="Times New Roman" w:hAnsi="Times New Roman" w:cs="Times New Roman"/>
                      <w:b w:val="0"/>
                      <w:bCs/>
                      <w:color w:val="auto"/>
                      <w:sz w:val="21"/>
                      <w:szCs w:val="21"/>
                      <w:vertAlign w:val="superscript"/>
                      <w:lang w:val="en-US" w:eastAsia="zh-CN"/>
                    </w:rPr>
                    <w:t>-3</w:t>
                  </w:r>
                </w:p>
              </w:tc>
              <w:tc>
                <w:tcPr>
                  <w:tcW w:w="815" w:type="dxa"/>
                  <w:tcBorders>
                    <w:tl2br w:val="nil"/>
                    <w:tr2bl w:val="nil"/>
                  </w:tcBorders>
                  <w:vAlign w:val="center"/>
                </w:tcPr>
                <w:p w14:paraId="72FA97A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0.0067</w:t>
                  </w:r>
                </w:p>
              </w:tc>
            </w:tr>
            <w:tr w14:paraId="0D82A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78" w:type="dxa"/>
                  <w:vMerge w:val="continue"/>
                  <w:tcBorders>
                    <w:tl2br w:val="nil"/>
                    <w:tr2bl w:val="nil"/>
                  </w:tcBorders>
                  <w:vAlign w:val="center"/>
                </w:tcPr>
                <w:p w14:paraId="371B5325">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eastAsia="zh-CN"/>
                    </w:rPr>
                  </w:pPr>
                </w:p>
              </w:tc>
              <w:tc>
                <w:tcPr>
                  <w:tcW w:w="666" w:type="dxa"/>
                  <w:tcBorders>
                    <w:tl2br w:val="nil"/>
                    <w:tr2bl w:val="nil"/>
                  </w:tcBorders>
                  <w:vAlign w:val="center"/>
                </w:tcPr>
                <w:p w14:paraId="6B483C8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eastAsia="宋体" w:cs="Times New Roman"/>
                      <w:b w:val="0"/>
                      <w:bCs/>
                      <w:color w:val="auto"/>
                      <w:sz w:val="21"/>
                      <w:szCs w:val="21"/>
                      <w:lang w:eastAsia="zh-CN"/>
                    </w:rPr>
                  </w:pPr>
                  <w:r>
                    <w:rPr>
                      <w:rFonts w:hint="eastAsia" w:ascii="Times New Roman" w:hAnsi="Times New Roman" w:cs="Times New Roman"/>
                      <w:b w:val="0"/>
                      <w:bCs/>
                      <w:color w:val="auto"/>
                      <w:sz w:val="21"/>
                      <w:szCs w:val="21"/>
                      <w:lang w:eastAsia="zh-CN"/>
                    </w:rPr>
                    <w:t>颗粒物</w:t>
                  </w:r>
                </w:p>
              </w:tc>
              <w:tc>
                <w:tcPr>
                  <w:tcW w:w="859" w:type="dxa"/>
                  <w:tcBorders>
                    <w:tl2br w:val="nil"/>
                    <w:tr2bl w:val="nil"/>
                  </w:tcBorders>
                  <w:vAlign w:val="center"/>
                </w:tcPr>
                <w:p w14:paraId="5BDA85D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有组织</w:t>
                  </w:r>
                </w:p>
              </w:tc>
              <w:tc>
                <w:tcPr>
                  <w:tcW w:w="746" w:type="dxa"/>
                  <w:tcBorders>
                    <w:tl2br w:val="nil"/>
                    <w:tr2bl w:val="nil"/>
                  </w:tcBorders>
                  <w:vAlign w:val="center"/>
                </w:tcPr>
                <w:p w14:paraId="29447CE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14400</w:t>
                  </w:r>
                </w:p>
              </w:tc>
              <w:tc>
                <w:tcPr>
                  <w:tcW w:w="718" w:type="dxa"/>
                  <w:tcBorders>
                    <w:tl2br w:val="nil"/>
                    <w:tr2bl w:val="nil"/>
                  </w:tcBorders>
                  <w:vAlign w:val="center"/>
                </w:tcPr>
                <w:p w14:paraId="64457978">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270.83</w:t>
                  </w:r>
                </w:p>
              </w:tc>
              <w:tc>
                <w:tcPr>
                  <w:tcW w:w="1080" w:type="dxa"/>
                  <w:tcBorders>
                    <w:tl2br w:val="nil"/>
                    <w:tr2bl w:val="nil"/>
                  </w:tcBorders>
                  <w:vAlign w:val="center"/>
                </w:tcPr>
                <w:p w14:paraId="34F4AE4F">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3.900</w:t>
                  </w:r>
                </w:p>
              </w:tc>
              <w:tc>
                <w:tcPr>
                  <w:tcW w:w="797" w:type="dxa"/>
                  <w:tcBorders>
                    <w:tl2br w:val="nil"/>
                    <w:tr2bl w:val="nil"/>
                  </w:tcBorders>
                  <w:vAlign w:val="center"/>
                </w:tcPr>
                <w:p w14:paraId="468BE9E8">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4.6799</w:t>
                  </w:r>
                </w:p>
              </w:tc>
              <w:tc>
                <w:tcPr>
                  <w:tcW w:w="906" w:type="dxa"/>
                  <w:vMerge w:val="continue"/>
                  <w:tcBorders>
                    <w:tl2br w:val="nil"/>
                    <w:tr2bl w:val="nil"/>
                  </w:tcBorders>
                  <w:vAlign w:val="center"/>
                </w:tcPr>
                <w:p w14:paraId="71BBE62D">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990" w:type="dxa"/>
                  <w:vMerge w:val="continue"/>
                  <w:tcBorders>
                    <w:tl2br w:val="nil"/>
                    <w:tr2bl w:val="nil"/>
                  </w:tcBorders>
                  <w:vAlign w:val="center"/>
                </w:tcPr>
                <w:p w14:paraId="35EDBFA5">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667" w:type="dxa"/>
                  <w:vMerge w:val="continue"/>
                  <w:tcBorders>
                    <w:tl2br w:val="nil"/>
                    <w:tr2bl w:val="nil"/>
                  </w:tcBorders>
                  <w:vAlign w:val="center"/>
                </w:tcPr>
                <w:p w14:paraId="4E443271">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765" w:type="dxa"/>
                  <w:tcBorders>
                    <w:tl2br w:val="nil"/>
                    <w:tr2bl w:val="nil"/>
                  </w:tcBorders>
                  <w:vAlign w:val="center"/>
                </w:tcPr>
                <w:p w14:paraId="6D6F2506">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472" w:type="dxa"/>
                  <w:vMerge w:val="continue"/>
                  <w:tcBorders>
                    <w:tl2br w:val="nil"/>
                    <w:tr2bl w:val="nil"/>
                  </w:tcBorders>
                  <w:vAlign w:val="center"/>
                </w:tcPr>
                <w:p w14:paraId="21F2207D">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695" w:type="dxa"/>
                  <w:tcBorders>
                    <w:tl2br w:val="nil"/>
                    <w:tr2bl w:val="nil"/>
                  </w:tcBorders>
                  <w:vAlign w:val="center"/>
                </w:tcPr>
                <w:p w14:paraId="29F44E19">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95</w:t>
                  </w:r>
                </w:p>
              </w:tc>
              <w:tc>
                <w:tcPr>
                  <w:tcW w:w="703" w:type="dxa"/>
                  <w:tcBorders>
                    <w:tl2br w:val="nil"/>
                    <w:tr2bl w:val="nil"/>
                  </w:tcBorders>
                  <w:vAlign w:val="center"/>
                </w:tcPr>
                <w:p w14:paraId="329EE141">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927" w:type="dxa"/>
                  <w:tcBorders>
                    <w:tl2br w:val="nil"/>
                    <w:tr2bl w:val="nil"/>
                  </w:tcBorders>
                  <w:vAlign w:val="center"/>
                </w:tcPr>
                <w:p w14:paraId="576251F5">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13.542</w:t>
                  </w:r>
                </w:p>
              </w:tc>
              <w:tc>
                <w:tcPr>
                  <w:tcW w:w="1125" w:type="dxa"/>
                  <w:tcBorders>
                    <w:tl2br w:val="nil"/>
                    <w:tr2bl w:val="nil"/>
                  </w:tcBorders>
                  <w:vAlign w:val="center"/>
                </w:tcPr>
                <w:p w14:paraId="00A4BFEC">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0.195</w:t>
                  </w:r>
                </w:p>
              </w:tc>
              <w:tc>
                <w:tcPr>
                  <w:tcW w:w="815" w:type="dxa"/>
                  <w:tcBorders>
                    <w:tl2br w:val="nil"/>
                    <w:tr2bl w:val="nil"/>
                  </w:tcBorders>
                  <w:vAlign w:val="center"/>
                </w:tcPr>
                <w:p w14:paraId="504001DC">
                  <w:pPr>
                    <w:keepNext w:val="0"/>
                    <w:keepLines w:val="0"/>
                    <w:pageBreakBefore w:val="0"/>
                    <w:widowControl w:val="0"/>
                    <w:suppressLineNumbers w:val="0"/>
                    <w:kinsoku/>
                    <w:wordWrap/>
                    <w:overflowPunct w:val="0"/>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0.234</w:t>
                  </w:r>
                </w:p>
              </w:tc>
            </w:tr>
          </w:tbl>
          <w:p w14:paraId="20BF0822">
            <w:pPr>
              <w:pStyle w:val="88"/>
              <w:spacing w:line="240" w:lineRule="auto"/>
              <w:ind w:firstLine="0" w:firstLineChars="0"/>
              <w:jc w:val="both"/>
              <w:rPr>
                <w:rFonts w:hint="eastAsia"/>
                <w:b/>
                <w:bCs/>
                <w:color w:val="auto"/>
                <w:sz w:val="21"/>
                <w:szCs w:val="21"/>
              </w:rPr>
            </w:pPr>
            <w:r>
              <w:rPr>
                <w:rFonts w:hint="eastAsia"/>
                <w:b/>
                <w:bCs/>
                <w:color w:val="auto"/>
                <w:sz w:val="21"/>
                <w:szCs w:val="21"/>
              </w:rPr>
              <w:t>注：上表废气</w:t>
            </w:r>
            <w:r>
              <w:rPr>
                <w:rFonts w:hint="eastAsia"/>
                <w:b/>
                <w:bCs/>
                <w:color w:val="auto"/>
                <w:sz w:val="21"/>
                <w:szCs w:val="21"/>
                <w:lang w:val="en-US" w:eastAsia="zh-CN"/>
              </w:rPr>
              <w:t>排放</w:t>
            </w:r>
            <w:r>
              <w:rPr>
                <w:rFonts w:hint="eastAsia"/>
                <w:b/>
                <w:bCs/>
                <w:color w:val="auto"/>
                <w:sz w:val="21"/>
                <w:szCs w:val="21"/>
              </w:rPr>
              <w:t>浓度以设计风量计。</w:t>
            </w:r>
          </w:p>
          <w:p w14:paraId="4846F384">
            <w:pPr>
              <w:pStyle w:val="38"/>
              <w:bidi w:val="0"/>
              <w:rPr>
                <w:color w:val="auto"/>
              </w:rPr>
            </w:pPr>
            <w:r>
              <w:rPr>
                <w:rFonts w:hint="eastAsia"/>
                <w:color w:val="auto"/>
              </w:rPr>
              <w:t>表4-2  项目有组织废气产生及排放情况汇总表</w:t>
            </w:r>
          </w:p>
          <w:tbl>
            <w:tblPr>
              <w:tblStyle w:val="32"/>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38"/>
              <w:gridCol w:w="1093"/>
              <w:gridCol w:w="859"/>
              <w:gridCol w:w="1360"/>
              <w:gridCol w:w="1184"/>
              <w:gridCol w:w="1086"/>
              <w:gridCol w:w="1218"/>
              <w:gridCol w:w="922"/>
              <w:gridCol w:w="907"/>
              <w:gridCol w:w="906"/>
              <w:gridCol w:w="2227"/>
              <w:gridCol w:w="1075"/>
              <w:gridCol w:w="870"/>
            </w:tblGrid>
            <w:tr w14:paraId="4FC16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88" w:type="pct"/>
                  <w:tcBorders>
                    <w:tl2br w:val="nil"/>
                    <w:tr2bl w:val="nil"/>
                  </w:tcBorders>
                  <w:vAlign w:val="center"/>
                </w:tcPr>
                <w:p w14:paraId="0A77C08E">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排气筒</w:t>
                  </w:r>
                </w:p>
              </w:tc>
              <w:tc>
                <w:tcPr>
                  <w:tcW w:w="375" w:type="pct"/>
                  <w:tcBorders>
                    <w:tl2br w:val="nil"/>
                    <w:tr2bl w:val="nil"/>
                  </w:tcBorders>
                  <w:vAlign w:val="center"/>
                </w:tcPr>
                <w:p w14:paraId="4AE5F963">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总处理风量m</w:t>
                  </w:r>
                  <w:r>
                    <w:rPr>
                      <w:rFonts w:hint="default" w:ascii="Times New Roman" w:hAnsi="Times New Roman" w:cs="Times New Roman"/>
                      <w:b/>
                      <w:bCs/>
                      <w:color w:val="auto"/>
                      <w:sz w:val="21"/>
                      <w:szCs w:val="21"/>
                      <w:vertAlign w:val="superscript"/>
                    </w:rPr>
                    <w:t>3</w:t>
                  </w:r>
                  <w:r>
                    <w:rPr>
                      <w:rFonts w:hint="default" w:ascii="Times New Roman" w:hAnsi="Times New Roman" w:cs="Times New Roman"/>
                      <w:b/>
                      <w:bCs/>
                      <w:color w:val="auto"/>
                      <w:sz w:val="21"/>
                      <w:szCs w:val="21"/>
                    </w:rPr>
                    <w:t>/h</w:t>
                  </w:r>
                </w:p>
              </w:tc>
              <w:tc>
                <w:tcPr>
                  <w:tcW w:w="295" w:type="pct"/>
                  <w:tcBorders>
                    <w:tl2br w:val="nil"/>
                    <w:tr2bl w:val="nil"/>
                  </w:tcBorders>
                  <w:vAlign w:val="center"/>
                </w:tcPr>
                <w:p w14:paraId="67F2FC58">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年工作时间</w:t>
                  </w:r>
                </w:p>
              </w:tc>
              <w:tc>
                <w:tcPr>
                  <w:tcW w:w="467" w:type="pct"/>
                  <w:tcBorders>
                    <w:tl2br w:val="nil"/>
                    <w:tr2bl w:val="nil"/>
                  </w:tcBorders>
                  <w:vAlign w:val="center"/>
                </w:tcPr>
                <w:p w14:paraId="6656B3DB">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污染物</w:t>
                  </w:r>
                </w:p>
              </w:tc>
              <w:tc>
                <w:tcPr>
                  <w:tcW w:w="407" w:type="pct"/>
                  <w:tcBorders>
                    <w:tl2br w:val="nil"/>
                    <w:tr2bl w:val="nil"/>
                  </w:tcBorders>
                  <w:vAlign w:val="center"/>
                </w:tcPr>
                <w:p w14:paraId="4C75719C">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排放浓度mg/m</w:t>
                  </w:r>
                  <w:r>
                    <w:rPr>
                      <w:rFonts w:hint="default" w:ascii="Times New Roman" w:hAnsi="Times New Roman" w:cs="Times New Roman"/>
                      <w:b/>
                      <w:bCs/>
                      <w:color w:val="auto"/>
                      <w:sz w:val="21"/>
                      <w:szCs w:val="21"/>
                      <w:vertAlign w:val="superscript"/>
                    </w:rPr>
                    <w:t>3</w:t>
                  </w:r>
                </w:p>
              </w:tc>
              <w:tc>
                <w:tcPr>
                  <w:tcW w:w="373" w:type="pct"/>
                  <w:tcBorders>
                    <w:tl2br w:val="nil"/>
                    <w:tr2bl w:val="nil"/>
                  </w:tcBorders>
                  <w:vAlign w:val="center"/>
                </w:tcPr>
                <w:p w14:paraId="6554586F">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排放速率kg/h</w:t>
                  </w:r>
                </w:p>
              </w:tc>
              <w:tc>
                <w:tcPr>
                  <w:tcW w:w="418" w:type="pct"/>
                  <w:tcBorders>
                    <w:tl2br w:val="nil"/>
                    <w:tr2bl w:val="nil"/>
                  </w:tcBorders>
                  <w:vAlign w:val="center"/>
                </w:tcPr>
                <w:p w14:paraId="39B0AD99">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排放量t/a</w:t>
                  </w:r>
                </w:p>
              </w:tc>
              <w:tc>
                <w:tcPr>
                  <w:tcW w:w="316" w:type="pct"/>
                  <w:tcBorders>
                    <w:tl2br w:val="nil"/>
                    <w:tr2bl w:val="nil"/>
                  </w:tcBorders>
                  <w:vAlign w:val="center"/>
                </w:tcPr>
                <w:p w14:paraId="4620CB61">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高度m</w:t>
                  </w:r>
                </w:p>
              </w:tc>
              <w:tc>
                <w:tcPr>
                  <w:tcW w:w="311" w:type="pct"/>
                  <w:tcBorders>
                    <w:tl2br w:val="nil"/>
                    <w:tr2bl w:val="nil"/>
                  </w:tcBorders>
                  <w:vAlign w:val="center"/>
                </w:tcPr>
                <w:p w14:paraId="10E084D6">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内径m</w:t>
                  </w:r>
                </w:p>
              </w:tc>
              <w:tc>
                <w:tcPr>
                  <w:tcW w:w="311" w:type="pct"/>
                  <w:tcBorders>
                    <w:tl2br w:val="nil"/>
                    <w:tr2bl w:val="nil"/>
                  </w:tcBorders>
                  <w:vAlign w:val="center"/>
                </w:tcPr>
                <w:p w14:paraId="79571EB0">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烟气温度℃</w:t>
                  </w:r>
                </w:p>
              </w:tc>
              <w:tc>
                <w:tcPr>
                  <w:tcW w:w="765" w:type="pct"/>
                  <w:tcBorders>
                    <w:tl2br w:val="nil"/>
                    <w:tr2bl w:val="nil"/>
                  </w:tcBorders>
                  <w:vAlign w:val="center"/>
                </w:tcPr>
                <w:p w14:paraId="473F6C10">
                  <w:pPr>
                    <w:pStyle w:val="1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坐标</w:t>
                  </w:r>
                </w:p>
              </w:tc>
              <w:tc>
                <w:tcPr>
                  <w:tcW w:w="369" w:type="pct"/>
                  <w:tcBorders>
                    <w:tl2br w:val="nil"/>
                    <w:tr2bl w:val="nil"/>
                  </w:tcBorders>
                  <w:vAlign w:val="center"/>
                </w:tcPr>
                <w:p w14:paraId="39F0506F">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标准浓度mg/m</w:t>
                  </w:r>
                  <w:r>
                    <w:rPr>
                      <w:rFonts w:hint="default" w:ascii="Times New Roman" w:hAnsi="Times New Roman" w:cs="Times New Roman"/>
                      <w:b/>
                      <w:bCs/>
                      <w:color w:val="auto"/>
                      <w:sz w:val="21"/>
                      <w:szCs w:val="21"/>
                      <w:vertAlign w:val="superscript"/>
                    </w:rPr>
                    <w:t>3</w:t>
                  </w:r>
                </w:p>
              </w:tc>
              <w:tc>
                <w:tcPr>
                  <w:tcW w:w="299" w:type="pct"/>
                  <w:tcBorders>
                    <w:tl2br w:val="nil"/>
                    <w:tr2bl w:val="nil"/>
                  </w:tcBorders>
                  <w:vAlign w:val="center"/>
                </w:tcPr>
                <w:p w14:paraId="3F137534">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排放口类型</w:t>
                  </w:r>
                </w:p>
              </w:tc>
            </w:tr>
            <w:tr w14:paraId="4BDE5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88" w:type="pct"/>
                  <w:tcBorders>
                    <w:tl2br w:val="nil"/>
                    <w:tr2bl w:val="nil"/>
                  </w:tcBorders>
                  <w:vAlign w:val="center"/>
                </w:tcPr>
                <w:p w14:paraId="0ED4FBDC">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DA001</w:t>
                  </w:r>
                </w:p>
              </w:tc>
              <w:tc>
                <w:tcPr>
                  <w:tcW w:w="375" w:type="pct"/>
                  <w:tcBorders>
                    <w:tl2br w:val="nil"/>
                    <w:tr2bl w:val="nil"/>
                  </w:tcBorders>
                  <w:vAlign w:val="center"/>
                </w:tcPr>
                <w:p w14:paraId="2AA3D5A4">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4000</w:t>
                  </w:r>
                </w:p>
              </w:tc>
              <w:tc>
                <w:tcPr>
                  <w:tcW w:w="295" w:type="pct"/>
                  <w:tcBorders>
                    <w:tl2br w:val="nil"/>
                    <w:tr2bl w:val="nil"/>
                  </w:tcBorders>
                  <w:vAlign w:val="center"/>
                </w:tcPr>
                <w:p w14:paraId="55D38AD3">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1320</w:t>
                  </w:r>
                </w:p>
              </w:tc>
              <w:tc>
                <w:tcPr>
                  <w:tcW w:w="467" w:type="pct"/>
                  <w:tcBorders>
                    <w:tl2br w:val="nil"/>
                    <w:tr2bl w:val="nil"/>
                  </w:tcBorders>
                  <w:vAlign w:val="center"/>
                </w:tcPr>
                <w:p w14:paraId="010978B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407" w:type="pct"/>
                  <w:tcBorders>
                    <w:tl2br w:val="nil"/>
                    <w:tr2bl w:val="nil"/>
                  </w:tcBorders>
                  <w:vAlign w:val="center"/>
                </w:tcPr>
                <w:p w14:paraId="239B9E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7.197</w:t>
                  </w:r>
                </w:p>
              </w:tc>
              <w:tc>
                <w:tcPr>
                  <w:tcW w:w="373" w:type="pct"/>
                  <w:tcBorders>
                    <w:tl2br w:val="nil"/>
                    <w:tr2bl w:val="nil"/>
                  </w:tcBorders>
                  <w:vAlign w:val="center"/>
                </w:tcPr>
                <w:p w14:paraId="251206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0.288</w:t>
                  </w:r>
                </w:p>
              </w:tc>
              <w:tc>
                <w:tcPr>
                  <w:tcW w:w="418" w:type="pct"/>
                  <w:tcBorders>
                    <w:tl2br w:val="nil"/>
                    <w:tr2bl w:val="nil"/>
                  </w:tcBorders>
                  <w:vAlign w:val="center"/>
                </w:tcPr>
                <w:p w14:paraId="216D7E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0.038</w:t>
                  </w:r>
                </w:p>
              </w:tc>
              <w:tc>
                <w:tcPr>
                  <w:tcW w:w="316" w:type="pct"/>
                  <w:tcBorders>
                    <w:tl2br w:val="nil"/>
                    <w:tr2bl w:val="nil"/>
                  </w:tcBorders>
                  <w:vAlign w:val="center"/>
                </w:tcPr>
                <w:p w14:paraId="1D445FAC">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15</w:t>
                  </w:r>
                </w:p>
              </w:tc>
              <w:tc>
                <w:tcPr>
                  <w:tcW w:w="311" w:type="pct"/>
                  <w:tcBorders>
                    <w:tl2br w:val="nil"/>
                    <w:tr2bl w:val="nil"/>
                  </w:tcBorders>
                  <w:vAlign w:val="center"/>
                </w:tcPr>
                <w:p w14:paraId="7852AA40">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0.6</w:t>
                  </w:r>
                </w:p>
              </w:tc>
              <w:tc>
                <w:tcPr>
                  <w:tcW w:w="311" w:type="pct"/>
                  <w:tcBorders>
                    <w:tl2br w:val="nil"/>
                    <w:tr2bl w:val="nil"/>
                  </w:tcBorders>
                  <w:vAlign w:val="center"/>
                </w:tcPr>
                <w:p w14:paraId="62201A6E">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25</w:t>
                  </w:r>
                </w:p>
              </w:tc>
              <w:tc>
                <w:tcPr>
                  <w:tcW w:w="765" w:type="pct"/>
                  <w:tcBorders>
                    <w:tl2br w:val="nil"/>
                    <w:tr2bl w:val="nil"/>
                  </w:tcBorders>
                  <w:vAlign w:val="center"/>
                </w:tcPr>
                <w:p w14:paraId="7651D640">
                  <w:pPr>
                    <w:pStyle w:val="37"/>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经度：117.894143608</w:t>
                  </w:r>
                </w:p>
                <w:p w14:paraId="5FA923E7">
                  <w:pPr>
                    <w:pStyle w:val="37"/>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纬度：30.635120244</w:t>
                  </w:r>
                </w:p>
              </w:tc>
              <w:tc>
                <w:tcPr>
                  <w:tcW w:w="369" w:type="pct"/>
                  <w:tcBorders>
                    <w:tl2br w:val="nil"/>
                    <w:tr2bl w:val="nil"/>
                  </w:tcBorders>
                  <w:vAlign w:val="center"/>
                </w:tcPr>
                <w:p w14:paraId="2E216ABD">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120</w:t>
                  </w:r>
                </w:p>
              </w:tc>
              <w:tc>
                <w:tcPr>
                  <w:tcW w:w="299" w:type="pct"/>
                  <w:tcBorders>
                    <w:tl2br w:val="nil"/>
                    <w:tr2bl w:val="nil"/>
                  </w:tcBorders>
                  <w:vAlign w:val="center"/>
                </w:tcPr>
                <w:p w14:paraId="32A2B255">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b w:val="0"/>
                      <w:bCs/>
                      <w:color w:val="auto"/>
                      <w:sz w:val="21"/>
                      <w:szCs w:val="21"/>
                      <w:lang w:eastAsia="zh-CN"/>
                    </w:rPr>
                  </w:pPr>
                  <w:r>
                    <w:rPr>
                      <w:rFonts w:hint="eastAsia" w:ascii="Times New Roman" w:hAnsi="Times New Roman" w:cs="Times New Roman"/>
                      <w:b w:val="0"/>
                      <w:bCs/>
                      <w:color w:val="auto"/>
                      <w:sz w:val="21"/>
                      <w:szCs w:val="21"/>
                      <w:lang w:eastAsia="zh-CN"/>
                    </w:rPr>
                    <w:t>一般排放口</w:t>
                  </w:r>
                </w:p>
              </w:tc>
            </w:tr>
            <w:tr w14:paraId="78194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88" w:type="pct"/>
                  <w:vMerge w:val="restart"/>
                  <w:tcBorders>
                    <w:tl2br w:val="nil"/>
                    <w:tr2bl w:val="nil"/>
                  </w:tcBorders>
                  <w:vAlign w:val="center"/>
                </w:tcPr>
                <w:p w14:paraId="5BA93AD1">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rPr>
                    <w:t>DA00</w:t>
                  </w:r>
                  <w:r>
                    <w:rPr>
                      <w:rFonts w:hint="eastAsia" w:ascii="Times New Roman" w:hAnsi="Times New Roman" w:cs="Times New Roman"/>
                      <w:b w:val="0"/>
                      <w:bCs/>
                      <w:color w:val="auto"/>
                      <w:sz w:val="21"/>
                      <w:szCs w:val="21"/>
                      <w:lang w:val="en-US" w:eastAsia="zh-CN"/>
                    </w:rPr>
                    <w:t>2</w:t>
                  </w:r>
                </w:p>
              </w:tc>
              <w:tc>
                <w:tcPr>
                  <w:tcW w:w="375" w:type="pct"/>
                  <w:vMerge w:val="restart"/>
                  <w:tcBorders>
                    <w:tl2br w:val="nil"/>
                    <w:tr2bl w:val="nil"/>
                  </w:tcBorders>
                  <w:vAlign w:val="center"/>
                </w:tcPr>
                <w:p w14:paraId="27B79CBC">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14400</w:t>
                  </w:r>
                </w:p>
              </w:tc>
              <w:tc>
                <w:tcPr>
                  <w:tcW w:w="295" w:type="pct"/>
                  <w:vMerge w:val="restart"/>
                  <w:tcBorders>
                    <w:tl2br w:val="nil"/>
                    <w:tr2bl w:val="nil"/>
                  </w:tcBorders>
                  <w:vAlign w:val="center"/>
                </w:tcPr>
                <w:p w14:paraId="5214DE63">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1600</w:t>
                  </w:r>
                </w:p>
              </w:tc>
              <w:tc>
                <w:tcPr>
                  <w:tcW w:w="467" w:type="pct"/>
                  <w:tcBorders>
                    <w:tl2br w:val="nil"/>
                    <w:tr2bl w:val="nil"/>
                  </w:tcBorders>
                  <w:vAlign w:val="center"/>
                </w:tcPr>
                <w:p w14:paraId="306C251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sz w:val="21"/>
                      <w:szCs w:val="21"/>
                      <w:lang w:eastAsia="zh-CN"/>
                    </w:rPr>
                    <w:t>非甲烷总烃</w:t>
                  </w:r>
                </w:p>
              </w:tc>
              <w:tc>
                <w:tcPr>
                  <w:tcW w:w="407" w:type="pct"/>
                  <w:tcBorders>
                    <w:tl2br w:val="nil"/>
                    <w:tr2bl w:val="nil"/>
                  </w:tcBorders>
                  <w:vAlign w:val="center"/>
                </w:tcPr>
                <w:p w14:paraId="5B93724F">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b w:val="0"/>
                      <w:bCs/>
                      <w:color w:val="auto"/>
                      <w:sz w:val="21"/>
                      <w:szCs w:val="21"/>
                      <w:lang w:val="en-US" w:eastAsia="zh-CN"/>
                    </w:rPr>
                    <w:t>2.895</w:t>
                  </w:r>
                </w:p>
              </w:tc>
              <w:tc>
                <w:tcPr>
                  <w:tcW w:w="373" w:type="pct"/>
                  <w:tcBorders>
                    <w:tl2br w:val="nil"/>
                    <w:tr2bl w:val="nil"/>
                  </w:tcBorders>
                  <w:vAlign w:val="center"/>
                </w:tcPr>
                <w:p w14:paraId="3233486A">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b w:val="0"/>
                      <w:bCs/>
                      <w:color w:val="auto"/>
                      <w:sz w:val="21"/>
                      <w:szCs w:val="21"/>
                      <w:lang w:val="en-US" w:eastAsia="zh-CN"/>
                    </w:rPr>
                    <w:t>0.0417</w:t>
                  </w:r>
                </w:p>
              </w:tc>
              <w:tc>
                <w:tcPr>
                  <w:tcW w:w="418" w:type="pct"/>
                  <w:tcBorders>
                    <w:tl2br w:val="nil"/>
                    <w:tr2bl w:val="nil"/>
                  </w:tcBorders>
                  <w:vAlign w:val="center"/>
                </w:tcPr>
                <w:p w14:paraId="3D25963F">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b w:val="0"/>
                      <w:bCs/>
                      <w:color w:val="auto"/>
                      <w:sz w:val="21"/>
                      <w:szCs w:val="21"/>
                      <w:lang w:val="en-US" w:eastAsia="zh-CN"/>
                    </w:rPr>
                    <w:t>0.0667</w:t>
                  </w:r>
                </w:p>
              </w:tc>
              <w:tc>
                <w:tcPr>
                  <w:tcW w:w="316" w:type="pct"/>
                  <w:vMerge w:val="restart"/>
                  <w:tcBorders>
                    <w:tl2br w:val="nil"/>
                    <w:tr2bl w:val="nil"/>
                  </w:tcBorders>
                  <w:vAlign w:val="center"/>
                </w:tcPr>
                <w:p w14:paraId="00EAECB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15</w:t>
                  </w:r>
                </w:p>
              </w:tc>
              <w:tc>
                <w:tcPr>
                  <w:tcW w:w="311" w:type="pct"/>
                  <w:vMerge w:val="restart"/>
                  <w:tcBorders>
                    <w:tl2br w:val="nil"/>
                    <w:tr2bl w:val="nil"/>
                  </w:tcBorders>
                  <w:vAlign w:val="center"/>
                </w:tcPr>
                <w:p w14:paraId="5E72DA9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w:t>
                  </w:r>
                </w:p>
              </w:tc>
              <w:tc>
                <w:tcPr>
                  <w:tcW w:w="311" w:type="pct"/>
                  <w:vMerge w:val="restart"/>
                  <w:tcBorders>
                    <w:tl2br w:val="nil"/>
                    <w:tr2bl w:val="nil"/>
                  </w:tcBorders>
                  <w:vAlign w:val="center"/>
                </w:tcPr>
                <w:p w14:paraId="7607053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25</w:t>
                  </w:r>
                </w:p>
              </w:tc>
              <w:tc>
                <w:tcPr>
                  <w:tcW w:w="765" w:type="pct"/>
                  <w:vMerge w:val="restart"/>
                  <w:tcBorders>
                    <w:tl2br w:val="nil"/>
                    <w:tr2bl w:val="nil"/>
                  </w:tcBorders>
                  <w:vAlign w:val="center"/>
                </w:tcPr>
                <w:p w14:paraId="1770108D">
                  <w:pPr>
                    <w:pStyle w:val="37"/>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经度：117.893609226</w:t>
                  </w:r>
                </w:p>
                <w:p w14:paraId="346E74F9">
                  <w:pPr>
                    <w:pStyle w:val="37"/>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纬度：30.634062511</w:t>
                  </w:r>
                </w:p>
              </w:tc>
              <w:tc>
                <w:tcPr>
                  <w:tcW w:w="369" w:type="pct"/>
                  <w:tcBorders>
                    <w:tl2br w:val="nil"/>
                    <w:tr2bl w:val="nil"/>
                  </w:tcBorders>
                  <w:vAlign w:val="center"/>
                </w:tcPr>
                <w:p w14:paraId="06DA9FDB">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70</w:t>
                  </w:r>
                </w:p>
              </w:tc>
              <w:tc>
                <w:tcPr>
                  <w:tcW w:w="299" w:type="pct"/>
                  <w:vMerge w:val="restart"/>
                  <w:tcBorders>
                    <w:tl2br w:val="nil"/>
                    <w:tr2bl w:val="nil"/>
                  </w:tcBorders>
                  <w:vAlign w:val="center"/>
                </w:tcPr>
                <w:p w14:paraId="50471E11">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一般排放口</w:t>
                  </w:r>
                </w:p>
              </w:tc>
            </w:tr>
            <w:tr w14:paraId="52DB3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88" w:type="pct"/>
                  <w:vMerge w:val="continue"/>
                  <w:tcBorders>
                    <w:tl2br w:val="nil"/>
                    <w:tr2bl w:val="nil"/>
                  </w:tcBorders>
                  <w:vAlign w:val="center"/>
                </w:tcPr>
                <w:p w14:paraId="3A98BA73">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c>
                <w:tcPr>
                  <w:tcW w:w="375" w:type="pct"/>
                  <w:vMerge w:val="continue"/>
                  <w:tcBorders>
                    <w:tl2br w:val="nil"/>
                    <w:tr2bl w:val="nil"/>
                  </w:tcBorders>
                  <w:vAlign w:val="center"/>
                </w:tcPr>
                <w:p w14:paraId="32A11D87">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p>
              </w:tc>
              <w:tc>
                <w:tcPr>
                  <w:tcW w:w="295" w:type="pct"/>
                  <w:vMerge w:val="continue"/>
                  <w:tcBorders>
                    <w:tl2br w:val="nil"/>
                    <w:tr2bl w:val="nil"/>
                  </w:tcBorders>
                  <w:vAlign w:val="center"/>
                </w:tcPr>
                <w:p w14:paraId="2D556475">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p>
              </w:tc>
              <w:tc>
                <w:tcPr>
                  <w:tcW w:w="467" w:type="pct"/>
                  <w:tcBorders>
                    <w:tl2br w:val="nil"/>
                    <w:tr2bl w:val="nil"/>
                  </w:tcBorders>
                  <w:vAlign w:val="center"/>
                </w:tcPr>
                <w:p w14:paraId="2FDEAE3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407" w:type="pct"/>
                  <w:tcBorders>
                    <w:tl2br w:val="nil"/>
                    <w:tr2bl w:val="nil"/>
                  </w:tcBorders>
                  <w:vAlign w:val="center"/>
                </w:tcPr>
                <w:p w14:paraId="764B095D">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13.542</w:t>
                  </w:r>
                </w:p>
              </w:tc>
              <w:tc>
                <w:tcPr>
                  <w:tcW w:w="373" w:type="pct"/>
                  <w:tcBorders>
                    <w:tl2br w:val="nil"/>
                    <w:tr2bl w:val="nil"/>
                  </w:tcBorders>
                  <w:vAlign w:val="center"/>
                </w:tcPr>
                <w:p w14:paraId="31182FAB">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0.195</w:t>
                  </w:r>
                </w:p>
              </w:tc>
              <w:tc>
                <w:tcPr>
                  <w:tcW w:w="418" w:type="pct"/>
                  <w:tcBorders>
                    <w:tl2br w:val="nil"/>
                    <w:tr2bl w:val="nil"/>
                  </w:tcBorders>
                  <w:vAlign w:val="center"/>
                </w:tcPr>
                <w:p w14:paraId="6FC29F6D">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0.234</w:t>
                  </w:r>
                </w:p>
              </w:tc>
              <w:tc>
                <w:tcPr>
                  <w:tcW w:w="316" w:type="pct"/>
                  <w:vMerge w:val="continue"/>
                  <w:tcBorders>
                    <w:tl2br w:val="nil"/>
                    <w:tr2bl w:val="nil"/>
                  </w:tcBorders>
                  <w:vAlign w:val="center"/>
                </w:tcPr>
                <w:p w14:paraId="61CF7BA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p>
              </w:tc>
              <w:tc>
                <w:tcPr>
                  <w:tcW w:w="311" w:type="pct"/>
                  <w:vMerge w:val="continue"/>
                  <w:tcBorders>
                    <w:tl2br w:val="nil"/>
                    <w:tr2bl w:val="nil"/>
                  </w:tcBorders>
                  <w:vAlign w:val="center"/>
                </w:tcPr>
                <w:p w14:paraId="4A66239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p>
              </w:tc>
              <w:tc>
                <w:tcPr>
                  <w:tcW w:w="311" w:type="pct"/>
                  <w:vMerge w:val="continue"/>
                  <w:tcBorders>
                    <w:tl2br w:val="nil"/>
                    <w:tr2bl w:val="nil"/>
                  </w:tcBorders>
                  <w:vAlign w:val="center"/>
                </w:tcPr>
                <w:p w14:paraId="2678A30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p>
              </w:tc>
              <w:tc>
                <w:tcPr>
                  <w:tcW w:w="765" w:type="pct"/>
                  <w:vMerge w:val="continue"/>
                  <w:tcBorders>
                    <w:tl2br w:val="nil"/>
                    <w:tr2bl w:val="nil"/>
                  </w:tcBorders>
                  <w:vAlign w:val="center"/>
                </w:tcPr>
                <w:p w14:paraId="5BA3C07E">
                  <w:pPr>
                    <w:pStyle w:val="37"/>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p>
              </w:tc>
              <w:tc>
                <w:tcPr>
                  <w:tcW w:w="369" w:type="pct"/>
                  <w:tcBorders>
                    <w:tl2br w:val="nil"/>
                    <w:tr2bl w:val="nil"/>
                  </w:tcBorders>
                  <w:vAlign w:val="center"/>
                </w:tcPr>
                <w:p w14:paraId="2360883F">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120</w:t>
                  </w:r>
                </w:p>
              </w:tc>
              <w:tc>
                <w:tcPr>
                  <w:tcW w:w="299" w:type="pct"/>
                  <w:vMerge w:val="continue"/>
                  <w:tcBorders>
                    <w:tl2br w:val="nil"/>
                    <w:tr2bl w:val="nil"/>
                  </w:tcBorders>
                  <w:vAlign w:val="center"/>
                </w:tcPr>
                <w:p w14:paraId="19769DBE">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cs="Times New Roman"/>
                      <w:b w:val="0"/>
                      <w:bCs/>
                      <w:color w:val="auto"/>
                      <w:sz w:val="21"/>
                      <w:szCs w:val="21"/>
                    </w:rPr>
                  </w:pPr>
                </w:p>
              </w:tc>
            </w:tr>
          </w:tbl>
          <w:p w14:paraId="15431894">
            <w:pPr>
              <w:adjustRightInd w:val="0"/>
              <w:snapToGrid w:val="0"/>
              <w:spacing w:line="240" w:lineRule="auto"/>
              <w:ind w:left="0" w:leftChars="0" w:firstLine="0" w:firstLineChars="0"/>
              <w:jc w:val="both"/>
              <w:rPr>
                <w:rFonts w:ascii="宋体" w:hAnsi="宋体" w:cs="宋体"/>
                <w:bCs/>
                <w:color w:val="auto"/>
                <w:spacing w:val="-10"/>
                <w:szCs w:val="21"/>
              </w:rPr>
            </w:pPr>
          </w:p>
        </w:tc>
      </w:tr>
    </w:tbl>
    <w:p w14:paraId="1E5C019A">
      <w:pPr>
        <w:adjustRightInd w:val="0"/>
        <w:snapToGrid w:val="0"/>
        <w:spacing w:line="360" w:lineRule="auto"/>
        <w:ind w:left="0" w:leftChars="0" w:firstLine="0" w:firstLineChars="0"/>
        <w:rPr>
          <w:rFonts w:hint="eastAsia" w:ascii="宋体" w:cs="宋体"/>
          <w:b/>
          <w:color w:val="auto"/>
          <w:kern w:val="0"/>
          <w:sz w:val="28"/>
          <w:szCs w:val="28"/>
        </w:rPr>
        <w:sectPr>
          <w:pgSz w:w="16838" w:h="11905" w:orient="landscape"/>
          <w:pgMar w:top="1531" w:right="1701" w:bottom="1531" w:left="1701" w:header="850" w:footer="850" w:gutter="0"/>
          <w:pgBorders>
            <w:top w:val="none" w:sz="0" w:space="0"/>
            <w:left w:val="none" w:sz="0" w:space="0"/>
            <w:bottom w:val="none" w:sz="0" w:space="0"/>
            <w:right w:val="none" w:sz="0" w:space="0"/>
          </w:pgBorders>
          <w:pgNumType w:fmt="decimal"/>
          <w:cols w:space="720" w:num="1"/>
          <w:rtlGutter w:val="0"/>
          <w:docGrid w:linePitch="312" w:charSpace="0"/>
        </w:sectPr>
      </w:pPr>
    </w:p>
    <w:tbl>
      <w:tblPr>
        <w:tblStyle w:val="31"/>
        <w:tblW w:w="96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9011"/>
      </w:tblGrid>
      <w:tr w14:paraId="079FB7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49" w:type="dxa"/>
            <w:tcBorders>
              <w:tl2br w:val="nil"/>
              <w:tr2bl w:val="nil"/>
            </w:tcBorders>
            <w:noWrap w:val="0"/>
            <w:tcMar>
              <w:left w:w="28" w:type="dxa"/>
              <w:right w:w="28" w:type="dxa"/>
            </w:tcMar>
            <w:vAlign w:val="center"/>
          </w:tcPr>
          <w:p w14:paraId="10357108">
            <w:pPr>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cs="Times New Roman"/>
                <w:bCs/>
                <w:color w:val="auto"/>
                <w:spacing w:val="0"/>
                <w:w w:val="100"/>
                <w:position w:val="0"/>
                <w:sz w:val="21"/>
                <w:szCs w:val="21"/>
              </w:rPr>
            </w:pPr>
            <w:r>
              <w:rPr>
                <w:rFonts w:hint="default" w:ascii="Times New Roman" w:hAnsi="Times New Roman" w:cs="Times New Roman"/>
                <w:b w:val="0"/>
                <w:bCs w:val="0"/>
                <w:color w:val="auto"/>
                <w:spacing w:val="0"/>
                <w:w w:val="100"/>
                <w:position w:val="0"/>
                <w:sz w:val="24"/>
                <w:szCs w:val="24"/>
              </w:rPr>
              <w:t>运营期环境影响和保护措施</w:t>
            </w:r>
          </w:p>
        </w:tc>
        <w:tc>
          <w:tcPr>
            <w:tcW w:w="9011" w:type="dxa"/>
            <w:tcBorders>
              <w:tl2br w:val="nil"/>
              <w:tr2bl w:val="nil"/>
            </w:tcBorders>
            <w:noWrap w:val="0"/>
            <w:vAlign w:val="center"/>
          </w:tcPr>
          <w:p w14:paraId="13B009D3">
            <w:pPr>
              <w:bidi w:val="0"/>
              <w:ind w:left="0" w:leftChars="0" w:firstLine="0" w:firstLineChars="0"/>
              <w:rPr>
                <w:rFonts w:hint="default"/>
                <w:color w:val="auto"/>
                <w:lang w:val="en-US" w:eastAsia="zh-CN"/>
              </w:rPr>
            </w:pPr>
            <w:r>
              <w:rPr>
                <w:rFonts w:hint="eastAsia"/>
                <w:b/>
                <w:bCs/>
                <w:color w:val="auto"/>
                <w:lang w:val="en-US" w:eastAsia="zh-CN"/>
              </w:rPr>
              <w:t>4.</w:t>
            </w:r>
            <w:r>
              <w:rPr>
                <w:rFonts w:hint="default"/>
                <w:b/>
                <w:bCs/>
                <w:color w:val="auto"/>
                <w:lang w:val="en-US" w:eastAsia="zh-CN"/>
              </w:rPr>
              <w:t>1.2废气污染物产生情况和防治措施</w:t>
            </w:r>
          </w:p>
          <w:p w14:paraId="123419DA">
            <w:pPr>
              <w:bidi w:val="0"/>
              <w:rPr>
                <w:rFonts w:hint="default"/>
                <w:color w:val="auto"/>
                <w:sz w:val="24"/>
                <w:szCs w:val="24"/>
                <w:lang w:val="en-US" w:eastAsia="zh-CN"/>
              </w:rPr>
            </w:pPr>
            <w:r>
              <w:rPr>
                <w:rFonts w:hint="default" w:ascii="Times New Roman" w:hAnsi="Times New Roman" w:cs="Times New Roman"/>
                <w:color w:val="auto"/>
                <w:sz w:val="24"/>
                <w:szCs w:val="24"/>
                <w:lang w:val="en-US" w:eastAsia="zh-CN"/>
              </w:rPr>
              <w:t>根</w:t>
            </w:r>
            <w:r>
              <w:rPr>
                <w:rFonts w:hint="default"/>
                <w:color w:val="auto"/>
                <w:sz w:val="24"/>
                <w:szCs w:val="24"/>
                <w:lang w:val="en-US" w:eastAsia="zh-CN"/>
              </w:rPr>
              <w:t>据工艺分析可知，</w:t>
            </w:r>
            <w:r>
              <w:rPr>
                <w:rFonts w:hint="eastAsia"/>
                <w:color w:val="auto"/>
                <w:sz w:val="24"/>
                <w:szCs w:val="24"/>
                <w:lang w:val="en-US" w:eastAsia="zh-CN"/>
              </w:rPr>
              <w:t>本项目废气主要为激光切割废气，锯床切割废气，焊接废气，喷漆、晾干废气。各项废气具体源强及收集处理措施如下：</w:t>
            </w:r>
          </w:p>
          <w:p w14:paraId="759222BE">
            <w:pPr>
              <w:keepNext w:val="0"/>
              <w:keepLines w:val="0"/>
              <w:pageBreakBefore w:val="0"/>
              <w:widowControl w:val="0"/>
              <w:kinsoku/>
              <w:wordWrap/>
              <w:overflowPunct/>
              <w:topLinePunct w:val="0"/>
              <w:autoSpaceDE/>
              <w:autoSpaceDN/>
              <w:bidi w:val="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b/>
                <w:bCs/>
                <w:color w:val="auto"/>
                <w:sz w:val="24"/>
                <w:szCs w:val="24"/>
                <w:lang w:val="en-US" w:eastAsia="zh-CN"/>
              </w:rPr>
              <w:t>（1）</w:t>
            </w:r>
            <w:r>
              <w:rPr>
                <w:rFonts w:hint="eastAsia" w:cs="Times New Roman"/>
                <w:b/>
                <w:bCs/>
                <w:color w:val="auto"/>
                <w:sz w:val="24"/>
                <w:szCs w:val="24"/>
                <w:lang w:val="en-US" w:eastAsia="zh-CN"/>
              </w:rPr>
              <w:t>激光切割废气</w:t>
            </w:r>
          </w:p>
          <w:p w14:paraId="7A4BEE1E">
            <w:pPr>
              <w:keepNext w:val="0"/>
              <w:keepLines w:val="0"/>
              <w:pageBreakBefore w:val="0"/>
              <w:widowControl w:val="0"/>
              <w:kinsoku/>
              <w:wordWrap/>
              <w:overflowPunct/>
              <w:topLinePunct w:val="0"/>
              <w:autoSpaceDE/>
              <w:autoSpaceDN/>
              <w:bidi w:val="0"/>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1）产生源强</w:t>
            </w:r>
          </w:p>
          <w:p w14:paraId="40799A15">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下料时部分钢材激光切割机进行切割，</w:t>
            </w:r>
            <w:r>
              <w:rPr>
                <w:rFonts w:hint="default" w:ascii="Times New Roman" w:hAnsi="Times New Roman" w:cs="Times New Roman"/>
                <w:color w:val="auto"/>
                <w:sz w:val="24"/>
                <w:szCs w:val="24"/>
                <w:lang w:val="en-US" w:eastAsia="zh-CN"/>
              </w:rPr>
              <w:t>过程中产生</w:t>
            </w:r>
            <w:r>
              <w:rPr>
                <w:rFonts w:hint="eastAsia" w:cs="Times New Roman"/>
                <w:color w:val="auto"/>
                <w:sz w:val="24"/>
                <w:szCs w:val="24"/>
                <w:lang w:val="en-US" w:eastAsia="zh-CN"/>
              </w:rPr>
              <w:t>激光</w:t>
            </w:r>
            <w:r>
              <w:rPr>
                <w:rFonts w:hint="default" w:ascii="Times New Roman" w:hAnsi="Times New Roman" w:cs="Times New Roman"/>
                <w:color w:val="auto"/>
                <w:sz w:val="24"/>
                <w:szCs w:val="24"/>
                <w:lang w:val="en-US" w:eastAsia="zh-CN"/>
              </w:rPr>
              <w:t>切割金属粉尘。</w:t>
            </w:r>
            <w:r>
              <w:rPr>
                <w:rFonts w:hint="default" w:ascii="Times New Roman" w:hAnsi="Times New Roman" w:eastAsia="宋体" w:cs="Times New Roman"/>
                <w:color w:val="auto"/>
                <w:kern w:val="2"/>
                <w:sz w:val="24"/>
                <w:szCs w:val="24"/>
                <w:lang w:val="en-US" w:eastAsia="zh-CN"/>
              </w:rPr>
              <w:t>粉尘排放量参考</w:t>
            </w:r>
            <w:r>
              <w:rPr>
                <w:rFonts w:hint="default" w:ascii="Times New Roman" w:hAnsi="Times New Roman" w:eastAsia="宋体" w:cs="Times New Roman"/>
                <w:color w:val="auto"/>
                <w:kern w:val="2"/>
                <w:sz w:val="24"/>
                <w:szCs w:val="24"/>
              </w:rPr>
              <w:t>《排污源统计调查产排污核算方法和系数手册》（</w:t>
            </w:r>
            <w:r>
              <w:rPr>
                <w:rFonts w:hint="default" w:ascii="Times New Roman" w:hAnsi="Times New Roman" w:eastAsia="宋体" w:cs="Times New Roman"/>
                <w:color w:val="auto"/>
                <w:kern w:val="2"/>
                <w:sz w:val="24"/>
                <w:szCs w:val="24"/>
                <w:lang w:eastAsia="zh-CN"/>
              </w:rPr>
              <w:t>生态</w:t>
            </w:r>
            <w:r>
              <w:rPr>
                <w:rFonts w:hint="default" w:ascii="Times New Roman" w:hAnsi="Times New Roman" w:eastAsia="宋体" w:cs="Times New Roman"/>
                <w:color w:val="auto"/>
                <w:kern w:val="2"/>
                <w:sz w:val="24"/>
                <w:szCs w:val="24"/>
              </w:rPr>
              <w:t>环境部公告2021年第24号）</w:t>
            </w:r>
            <w:r>
              <w:rPr>
                <w:rFonts w:hint="default" w:ascii="Times New Roman" w:hAnsi="Times New Roman" w:cs="Times New Roman"/>
                <w:b w:val="0"/>
                <w:bCs w:val="0"/>
                <w:color w:val="auto"/>
                <w:spacing w:val="-3"/>
                <w:sz w:val="24"/>
                <w:szCs w:val="24"/>
                <w:highlight w:val="none"/>
                <w:lang w:val="en-US" w:eastAsia="zh-CN"/>
              </w:rPr>
              <w:t>《机械行业系数手册》</w:t>
            </w:r>
            <w:r>
              <w:rPr>
                <w:rFonts w:hint="default" w:ascii="Times New Roman" w:hAnsi="Times New Roman" w:cs="Times New Roman"/>
                <w:color w:val="auto"/>
                <w:kern w:val="2"/>
                <w:sz w:val="24"/>
                <w:szCs w:val="24"/>
                <w:lang w:val="en-US" w:eastAsia="zh-CN"/>
              </w:rPr>
              <w:t>04下料</w:t>
            </w:r>
            <w:r>
              <w:rPr>
                <w:rFonts w:hint="default" w:ascii="Times New Roman" w:hAnsi="Times New Roman" w:eastAsia="宋体" w:cs="Times New Roman"/>
                <w:color w:val="auto"/>
                <w:kern w:val="2"/>
                <w:sz w:val="24"/>
                <w:szCs w:val="24"/>
              </w:rPr>
              <w:t>中</w:t>
            </w:r>
            <w:r>
              <w:rPr>
                <w:rFonts w:hint="default" w:ascii="Times New Roman" w:hAnsi="Times New Roman" w:eastAsia="宋体" w:cs="Times New Roman"/>
                <w:color w:val="auto"/>
                <w:kern w:val="2"/>
                <w:sz w:val="24"/>
                <w:szCs w:val="24"/>
                <w:lang w:eastAsia="zh-CN"/>
              </w:rPr>
              <w:t>的</w:t>
            </w:r>
            <w:r>
              <w:rPr>
                <w:rFonts w:hint="eastAsia" w:cs="Times New Roman"/>
                <w:color w:val="auto"/>
                <w:kern w:val="2"/>
                <w:sz w:val="24"/>
                <w:szCs w:val="24"/>
                <w:lang w:val="en-US" w:eastAsia="zh-CN"/>
              </w:rPr>
              <w:t>等离子</w:t>
            </w:r>
            <w:r>
              <w:rPr>
                <w:rFonts w:hint="default" w:ascii="Times New Roman" w:hAnsi="Times New Roman" w:eastAsia="宋体" w:cs="Times New Roman"/>
                <w:color w:val="auto"/>
                <w:kern w:val="2"/>
                <w:sz w:val="24"/>
                <w:szCs w:val="24"/>
                <w:lang w:eastAsia="zh-CN"/>
              </w:rPr>
              <w:t>切割，</w:t>
            </w:r>
            <w:r>
              <w:rPr>
                <w:rFonts w:hint="default" w:ascii="Times New Roman" w:hAnsi="Times New Roman" w:eastAsia="宋体" w:cs="Times New Roman"/>
                <w:color w:val="auto"/>
                <w:kern w:val="2"/>
                <w:sz w:val="24"/>
                <w:szCs w:val="24"/>
              </w:rPr>
              <w:t>产</w:t>
            </w:r>
            <w:r>
              <w:rPr>
                <w:rFonts w:hint="default" w:ascii="Times New Roman" w:hAnsi="Times New Roman" w:eastAsia="宋体" w:cs="Times New Roman"/>
                <w:color w:val="auto"/>
                <w:kern w:val="2"/>
                <w:sz w:val="24"/>
                <w:szCs w:val="24"/>
                <w:lang w:eastAsia="zh-CN"/>
              </w:rPr>
              <w:t>污</w:t>
            </w:r>
            <w:r>
              <w:rPr>
                <w:rFonts w:hint="default" w:ascii="Times New Roman" w:hAnsi="Times New Roman" w:eastAsia="宋体" w:cs="Times New Roman"/>
                <w:color w:val="auto"/>
                <w:kern w:val="2"/>
                <w:sz w:val="24"/>
                <w:szCs w:val="24"/>
              </w:rPr>
              <w:t>系数如下：</w:t>
            </w:r>
            <w:r>
              <w:rPr>
                <w:rFonts w:hint="default" w:ascii="Times New Roman" w:hAnsi="Times New Roman" w:eastAsia="宋体" w:cs="Times New Roman"/>
                <w:color w:val="auto"/>
                <w:kern w:val="2"/>
                <w:sz w:val="24"/>
                <w:szCs w:val="24"/>
                <w:lang w:eastAsia="zh-CN"/>
              </w:rPr>
              <w:t>废气量为</w:t>
            </w:r>
            <w:r>
              <w:rPr>
                <w:rFonts w:hint="default" w:ascii="Times New Roman" w:hAnsi="Times New Roman" w:eastAsia="宋体" w:cs="Times New Roman"/>
                <w:color w:val="auto"/>
                <w:kern w:val="2"/>
                <w:sz w:val="24"/>
                <w:szCs w:val="24"/>
                <w:lang w:val="en-US" w:eastAsia="zh-CN"/>
              </w:rPr>
              <w:t>4635</w:t>
            </w:r>
            <w:r>
              <w:rPr>
                <w:rFonts w:hint="default" w:ascii="Times New Roman" w:hAnsi="Times New Roman" w:eastAsia="宋体" w:cs="Times New Roman"/>
                <w:color w:val="auto"/>
                <w:kern w:val="2"/>
                <w:sz w:val="24"/>
                <w:szCs w:val="24"/>
                <w:lang w:eastAsia="zh-CN"/>
              </w:rPr>
              <w:t>立方米</w:t>
            </w:r>
            <w:r>
              <w:rPr>
                <w:rFonts w:hint="default" w:ascii="Times New Roman" w:hAnsi="Times New Roman" w:eastAsia="宋体" w:cs="Times New Roman"/>
                <w:color w:val="auto"/>
                <w:kern w:val="2"/>
                <w:sz w:val="24"/>
                <w:szCs w:val="24"/>
              </w:rPr>
              <w:t>/</w:t>
            </w:r>
            <w:r>
              <w:rPr>
                <w:rFonts w:hint="default" w:ascii="Times New Roman" w:hAnsi="Times New Roman" w:eastAsia="宋体" w:cs="Times New Roman"/>
                <w:color w:val="auto"/>
                <w:kern w:val="2"/>
                <w:sz w:val="24"/>
                <w:szCs w:val="24"/>
                <w:lang w:eastAsia="zh-CN"/>
              </w:rPr>
              <w:t>吨</w:t>
            </w:r>
            <w:r>
              <w:rPr>
                <w:rFonts w:hint="default" w:ascii="Times New Roman" w:hAnsi="Times New Roman" w:eastAsia="宋体" w:cs="Times New Roman"/>
                <w:color w:val="auto"/>
                <w:kern w:val="2"/>
                <w:sz w:val="24"/>
                <w:szCs w:val="24"/>
                <w:lang w:val="en-US" w:eastAsia="zh-CN"/>
              </w:rPr>
              <w:t>-原料，颗粒物为</w:t>
            </w:r>
            <w:r>
              <w:rPr>
                <w:rFonts w:hint="eastAsia" w:cs="Times New Roman"/>
                <w:color w:val="auto"/>
                <w:kern w:val="2"/>
                <w:sz w:val="24"/>
                <w:szCs w:val="24"/>
                <w:lang w:val="en-US" w:eastAsia="zh-CN"/>
              </w:rPr>
              <w:t>1.10</w:t>
            </w:r>
            <w:r>
              <w:rPr>
                <w:rFonts w:hint="default" w:ascii="Times New Roman" w:hAnsi="Times New Roman" w:eastAsia="宋体" w:cs="Times New Roman"/>
                <w:color w:val="auto"/>
                <w:kern w:val="2"/>
                <w:sz w:val="24"/>
                <w:szCs w:val="24"/>
              </w:rPr>
              <w:t>千克/</w:t>
            </w:r>
            <w:r>
              <w:rPr>
                <w:rFonts w:hint="default" w:ascii="Times New Roman" w:hAnsi="Times New Roman" w:eastAsia="宋体" w:cs="Times New Roman"/>
                <w:color w:val="auto"/>
                <w:kern w:val="2"/>
                <w:sz w:val="24"/>
                <w:szCs w:val="24"/>
                <w:lang w:eastAsia="zh-CN"/>
              </w:rPr>
              <w:t>吨</w:t>
            </w:r>
            <w:r>
              <w:rPr>
                <w:rFonts w:hint="default" w:ascii="Times New Roman" w:hAnsi="Times New Roman" w:eastAsia="宋体" w:cs="Times New Roman"/>
                <w:color w:val="auto"/>
                <w:kern w:val="2"/>
                <w:sz w:val="24"/>
                <w:szCs w:val="24"/>
                <w:lang w:val="en-US" w:eastAsia="zh-CN"/>
              </w:rPr>
              <w:t>-原料。</w:t>
            </w:r>
            <w:r>
              <w:rPr>
                <w:rFonts w:hint="default" w:ascii="Times New Roman" w:hAnsi="Times New Roman" w:cs="Times New Roman"/>
                <w:color w:val="auto"/>
                <w:sz w:val="24"/>
                <w:szCs w:val="24"/>
                <w:lang w:val="en-US" w:eastAsia="zh-CN"/>
              </w:rPr>
              <w:t>本项目约</w:t>
            </w:r>
            <w:r>
              <w:rPr>
                <w:rFonts w:hint="eastAsia" w:cs="Times New Roman"/>
                <w:color w:val="auto"/>
                <w:sz w:val="24"/>
                <w:szCs w:val="24"/>
                <w:lang w:val="en-US" w:eastAsia="zh-CN"/>
              </w:rPr>
              <w:t>864t</w:t>
            </w:r>
            <w:r>
              <w:rPr>
                <w:rFonts w:hint="default" w:ascii="Times New Roman" w:hAnsi="Times New Roman" w:cs="Times New Roman"/>
                <w:color w:val="auto"/>
                <w:sz w:val="24"/>
                <w:szCs w:val="24"/>
                <w:lang w:val="en-US" w:eastAsia="zh-CN"/>
              </w:rPr>
              <w:t>的</w:t>
            </w:r>
            <w:r>
              <w:rPr>
                <w:rFonts w:hint="eastAsia" w:cs="Times New Roman"/>
                <w:color w:val="auto"/>
                <w:sz w:val="24"/>
                <w:szCs w:val="24"/>
                <w:lang w:val="en-US" w:eastAsia="zh-CN"/>
              </w:rPr>
              <w:t>钢材</w:t>
            </w:r>
            <w:r>
              <w:rPr>
                <w:rFonts w:hint="default" w:ascii="Times New Roman" w:hAnsi="Times New Roman" w:cs="Times New Roman"/>
                <w:color w:val="auto"/>
                <w:sz w:val="24"/>
                <w:szCs w:val="24"/>
                <w:lang w:val="en-US" w:eastAsia="zh-CN"/>
              </w:rPr>
              <w:t>需</w:t>
            </w:r>
            <w:r>
              <w:rPr>
                <w:rFonts w:hint="eastAsia" w:cs="Times New Roman"/>
                <w:color w:val="auto"/>
                <w:sz w:val="24"/>
                <w:szCs w:val="24"/>
                <w:lang w:val="en-US" w:eastAsia="zh-CN"/>
              </w:rPr>
              <w:t>激光</w:t>
            </w:r>
            <w:r>
              <w:rPr>
                <w:rFonts w:hint="default" w:ascii="Times New Roman" w:hAnsi="Times New Roman" w:cs="Times New Roman"/>
                <w:color w:val="auto"/>
                <w:sz w:val="24"/>
                <w:szCs w:val="24"/>
                <w:lang w:val="en-US" w:eastAsia="zh-CN"/>
              </w:rPr>
              <w:t>切割下料</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经核算</w:t>
            </w:r>
            <w:r>
              <w:rPr>
                <w:rFonts w:hint="eastAsia" w:cs="Times New Roman"/>
                <w:color w:val="auto"/>
                <w:sz w:val="24"/>
                <w:szCs w:val="24"/>
                <w:lang w:val="en-US" w:eastAsia="zh-CN"/>
              </w:rPr>
              <w:t>激光</w:t>
            </w:r>
            <w:r>
              <w:rPr>
                <w:rFonts w:hint="default" w:ascii="Times New Roman" w:hAnsi="Times New Roman" w:cs="Times New Roman"/>
                <w:color w:val="auto"/>
                <w:sz w:val="24"/>
                <w:szCs w:val="24"/>
                <w:lang w:val="en-US" w:eastAsia="zh-CN"/>
              </w:rPr>
              <w:t>切割工序产生的废气量为</w:t>
            </w:r>
            <w:r>
              <w:rPr>
                <w:rFonts w:hint="eastAsia" w:cs="Times New Roman"/>
                <w:color w:val="auto"/>
                <w:sz w:val="24"/>
                <w:szCs w:val="24"/>
                <w:lang w:val="en-US" w:eastAsia="zh-CN"/>
              </w:rPr>
              <w:t>400.464</w:t>
            </w:r>
            <w:r>
              <w:rPr>
                <w:rFonts w:hint="default" w:ascii="Times New Roman" w:hAnsi="Times New Roman" w:cs="Times New Roman"/>
                <w:color w:val="auto"/>
                <w:sz w:val="24"/>
                <w:szCs w:val="24"/>
                <w:lang w:val="en-US" w:eastAsia="zh-CN"/>
              </w:rPr>
              <w:t>万m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/a（</w:t>
            </w:r>
            <w:r>
              <w:rPr>
                <w:rFonts w:hint="eastAsia" w:cs="Times New Roman"/>
                <w:color w:val="auto"/>
                <w:sz w:val="24"/>
                <w:szCs w:val="24"/>
                <w:lang w:val="en-US" w:eastAsia="zh-CN"/>
              </w:rPr>
              <w:t>1516.91</w:t>
            </w:r>
            <w:r>
              <w:rPr>
                <w:rFonts w:hint="default" w:ascii="Times New Roman" w:hAnsi="Times New Roman" w:cs="Times New Roman"/>
                <w:color w:val="auto"/>
                <w:sz w:val="24"/>
                <w:szCs w:val="24"/>
                <w:lang w:val="en-US" w:eastAsia="zh-CN"/>
              </w:rPr>
              <w:t>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/h），</w:t>
            </w:r>
            <w:r>
              <w:rPr>
                <w:rFonts w:hint="eastAsia" w:cs="Times New Roman"/>
                <w:color w:val="auto"/>
                <w:sz w:val="24"/>
                <w:szCs w:val="24"/>
                <w:lang w:val="en-US" w:eastAsia="zh-CN"/>
              </w:rPr>
              <w:t>颗粒物</w:t>
            </w:r>
            <w:r>
              <w:rPr>
                <w:rFonts w:hint="default" w:ascii="Times New Roman" w:hAnsi="Times New Roman" w:cs="Times New Roman"/>
                <w:color w:val="auto"/>
                <w:sz w:val="24"/>
                <w:szCs w:val="24"/>
                <w:lang w:val="en-US" w:eastAsia="zh-CN"/>
              </w:rPr>
              <w:t>总产生量为</w:t>
            </w:r>
            <w:r>
              <w:rPr>
                <w:rFonts w:hint="eastAsia" w:cs="Times New Roman"/>
                <w:color w:val="auto"/>
                <w:sz w:val="24"/>
                <w:szCs w:val="24"/>
                <w:lang w:val="en-US" w:eastAsia="zh-CN"/>
              </w:rPr>
              <w:t>0.950</w:t>
            </w:r>
            <w:r>
              <w:rPr>
                <w:rFonts w:hint="default" w:ascii="Times New Roman" w:hAnsi="Times New Roman" w:cs="Times New Roman"/>
                <w:color w:val="auto"/>
                <w:sz w:val="24"/>
                <w:szCs w:val="24"/>
                <w:lang w:val="en-US" w:eastAsia="zh-CN"/>
              </w:rPr>
              <w:t>t/a。根据企业提供数据，</w:t>
            </w:r>
            <w:r>
              <w:rPr>
                <w:rFonts w:hint="eastAsia" w:cs="Times New Roman"/>
                <w:color w:val="auto"/>
                <w:sz w:val="24"/>
                <w:szCs w:val="24"/>
                <w:lang w:val="en-US" w:eastAsia="zh-CN"/>
              </w:rPr>
              <w:t>激光</w:t>
            </w:r>
            <w:r>
              <w:rPr>
                <w:rFonts w:hint="default" w:ascii="Times New Roman" w:hAnsi="Times New Roman" w:cs="Times New Roman"/>
                <w:color w:val="auto"/>
                <w:sz w:val="24"/>
                <w:szCs w:val="24"/>
                <w:lang w:val="en-US" w:eastAsia="zh-CN"/>
              </w:rPr>
              <w:t>切割年工作时间3</w:t>
            </w:r>
            <w:r>
              <w:rPr>
                <w:rFonts w:hint="eastAsia" w:cs="Times New Roman"/>
                <w:color w:val="auto"/>
                <w:sz w:val="24"/>
                <w:szCs w:val="24"/>
                <w:lang w:val="en-US" w:eastAsia="zh-CN"/>
              </w:rPr>
              <w:t>3</w:t>
            </w:r>
            <w:r>
              <w:rPr>
                <w:rFonts w:hint="default" w:ascii="Times New Roman" w:hAnsi="Times New Roman" w:cs="Times New Roman"/>
                <w:color w:val="auto"/>
                <w:sz w:val="24"/>
                <w:szCs w:val="24"/>
                <w:lang w:val="en-US" w:eastAsia="zh-CN"/>
              </w:rPr>
              <w:t>0d，每天工作</w:t>
            </w:r>
            <w:r>
              <w:rPr>
                <w:rFonts w:hint="eastAsia" w:cs="Times New Roman"/>
                <w:color w:val="auto"/>
                <w:sz w:val="24"/>
                <w:szCs w:val="24"/>
                <w:lang w:val="en-US" w:eastAsia="zh-CN"/>
              </w:rPr>
              <w:t>4</w:t>
            </w:r>
            <w:r>
              <w:rPr>
                <w:rFonts w:hint="default" w:ascii="Times New Roman" w:hAnsi="Times New Roman" w:cs="Times New Roman"/>
                <w:color w:val="auto"/>
                <w:sz w:val="24"/>
                <w:szCs w:val="24"/>
                <w:lang w:val="en-US" w:eastAsia="zh-CN"/>
              </w:rPr>
              <w:t>h，烟尘产生速率为0.</w:t>
            </w:r>
            <w:r>
              <w:rPr>
                <w:rFonts w:hint="eastAsia" w:cs="Times New Roman"/>
                <w:color w:val="auto"/>
                <w:sz w:val="24"/>
                <w:szCs w:val="24"/>
                <w:lang w:val="en-US" w:eastAsia="zh-CN"/>
              </w:rPr>
              <w:t>720</w:t>
            </w:r>
            <w:r>
              <w:rPr>
                <w:rFonts w:hint="default" w:ascii="Times New Roman" w:hAnsi="Times New Roman" w:cs="Times New Roman"/>
                <w:color w:val="auto"/>
                <w:sz w:val="24"/>
                <w:szCs w:val="24"/>
                <w:lang w:val="en-US" w:eastAsia="zh-CN"/>
              </w:rPr>
              <w:t>kg/h。</w:t>
            </w:r>
          </w:p>
          <w:p w14:paraId="3017215E">
            <w:pPr>
              <w:bidi w:val="0"/>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2）</w:t>
            </w:r>
            <w:r>
              <w:rPr>
                <w:rFonts w:hint="default" w:ascii="Times New Roman" w:hAnsi="Times New Roman" w:cs="Times New Roman"/>
                <w:b/>
                <w:bCs/>
                <w:color w:val="auto"/>
                <w:sz w:val="24"/>
                <w:szCs w:val="24"/>
              </w:rPr>
              <w:t>收集方式和收集效率</w:t>
            </w:r>
          </w:p>
          <w:p w14:paraId="3A550FA7">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本项目通过在</w:t>
            </w:r>
            <w:r>
              <w:rPr>
                <w:rFonts w:hint="eastAsia" w:cs="Times New Roman"/>
                <w:color w:val="auto"/>
                <w:sz w:val="24"/>
                <w:szCs w:val="24"/>
                <w:lang w:val="en-US" w:eastAsia="zh-CN"/>
              </w:rPr>
              <w:t>激光切割设备下方</w:t>
            </w:r>
            <w:r>
              <w:rPr>
                <w:rFonts w:hint="default" w:ascii="Times New Roman" w:hAnsi="Times New Roman" w:cs="Times New Roman"/>
                <w:color w:val="auto"/>
                <w:sz w:val="24"/>
                <w:szCs w:val="24"/>
                <w:lang w:val="en-US" w:eastAsia="zh-CN"/>
              </w:rPr>
              <w:t>加装集气罩，产生的废气经集气罩+</w:t>
            </w:r>
            <w:r>
              <w:rPr>
                <w:rFonts w:hint="eastAsia" w:cs="Times New Roman"/>
                <w:color w:val="auto"/>
                <w:sz w:val="24"/>
                <w:szCs w:val="24"/>
                <w:lang w:val="en-US" w:eastAsia="zh-CN"/>
              </w:rPr>
              <w:t>引风机</w:t>
            </w:r>
            <w:r>
              <w:rPr>
                <w:rFonts w:hint="default" w:ascii="Times New Roman" w:hAnsi="Times New Roman" w:cs="Times New Roman"/>
                <w:color w:val="auto"/>
                <w:sz w:val="24"/>
                <w:szCs w:val="24"/>
                <w:lang w:val="en-US" w:eastAsia="zh-CN"/>
              </w:rPr>
              <w:t>收集</w:t>
            </w:r>
            <w:r>
              <w:rPr>
                <w:rFonts w:hint="default" w:ascii="Times New Roman" w:hAnsi="Times New Roman" w:cs="Times New Roman"/>
                <w:b w:val="0"/>
                <w:bCs w:val="0"/>
                <w:color w:val="auto"/>
                <w:sz w:val="24"/>
                <w:szCs w:val="24"/>
                <w:lang w:val="en-US" w:eastAsia="zh-CN"/>
              </w:rPr>
              <w:t>，收集的废气进入布袋除尘器处理后，</w:t>
            </w:r>
            <w:r>
              <w:rPr>
                <w:rFonts w:hint="default" w:ascii="Times New Roman" w:hAnsi="Times New Roman" w:cs="Times New Roman"/>
                <w:color w:val="auto"/>
                <w:sz w:val="24"/>
                <w:szCs w:val="24"/>
                <w:lang w:val="en-US" w:eastAsia="zh-CN"/>
              </w:rPr>
              <w:t>由一根15m高排气筒（DA001）排放，收集效率为8</w:t>
            </w:r>
            <w:r>
              <w:rPr>
                <w:rFonts w:hint="eastAsia" w:cs="Times New Roman"/>
                <w:color w:val="auto"/>
                <w:sz w:val="24"/>
                <w:szCs w:val="24"/>
                <w:lang w:val="en-US" w:eastAsia="zh-CN"/>
              </w:rPr>
              <w:t>0</w:t>
            </w:r>
            <w:r>
              <w:rPr>
                <w:rFonts w:hint="default" w:ascii="Times New Roman" w:hAnsi="Times New Roman" w:cs="Times New Roman"/>
                <w:color w:val="auto"/>
                <w:sz w:val="24"/>
                <w:szCs w:val="24"/>
                <w:lang w:val="en-US" w:eastAsia="zh-CN"/>
              </w:rPr>
              <w:t>%，排放的废气中，颗粒物无组织排放量0.</w:t>
            </w:r>
            <w:r>
              <w:rPr>
                <w:rFonts w:hint="eastAsia" w:cs="Times New Roman"/>
                <w:color w:val="auto"/>
                <w:sz w:val="24"/>
                <w:szCs w:val="24"/>
                <w:lang w:val="en-US" w:eastAsia="zh-CN"/>
              </w:rPr>
              <w:t>19</w:t>
            </w:r>
            <w:r>
              <w:rPr>
                <w:rFonts w:hint="default" w:ascii="Times New Roman" w:hAnsi="Times New Roman" w:cs="Times New Roman"/>
                <w:color w:val="auto"/>
                <w:sz w:val="24"/>
                <w:szCs w:val="24"/>
                <w:lang w:val="en-US" w:eastAsia="zh-CN"/>
              </w:rPr>
              <w:t>t/a。</w:t>
            </w:r>
          </w:p>
          <w:p w14:paraId="15F97434">
            <w:pPr>
              <w:spacing w:line="360" w:lineRule="auto"/>
              <w:ind w:firstLine="482" w:firstLineChars="200"/>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lang w:val="en-US" w:eastAsia="zh-CN"/>
              </w:rPr>
              <w:t>3）</w:t>
            </w:r>
            <w:r>
              <w:rPr>
                <w:rFonts w:hint="default" w:ascii="Times New Roman" w:hAnsi="Times New Roman" w:cs="Times New Roman"/>
                <w:b/>
                <w:bCs/>
                <w:color w:val="auto"/>
                <w:sz w:val="24"/>
                <w:szCs w:val="24"/>
              </w:rPr>
              <w:t>废气污染防治措施可行性分析</w:t>
            </w:r>
          </w:p>
          <w:p w14:paraId="45376C7B">
            <w:pPr>
              <w:widowControl/>
              <w:spacing w:line="360" w:lineRule="auto"/>
              <w:ind w:firstLine="482" w:firstLineChars="200"/>
              <w:jc w:val="left"/>
              <w:rPr>
                <w:rFonts w:hint="default" w:ascii="Times New Roman" w:hAnsi="Times New Roman" w:cs="Times New Roman" w:eastAsiaTheme="minorEastAsia"/>
                <w:b/>
                <w:bCs/>
                <w:color w:val="auto"/>
                <w:kern w:val="2"/>
                <w:sz w:val="24"/>
                <w:szCs w:val="24"/>
              </w:rPr>
            </w:pPr>
            <w:r>
              <w:rPr>
                <w:rFonts w:hint="default" w:ascii="Times New Roman" w:hAnsi="Times New Roman" w:cs="Times New Roman" w:eastAsiaTheme="minorEastAsia"/>
                <w:b/>
                <w:bCs/>
                <w:color w:val="auto"/>
                <w:kern w:val="2"/>
                <w:sz w:val="24"/>
                <w:szCs w:val="24"/>
                <w:lang w:val="en-US" w:eastAsia="zh-CN"/>
              </w:rPr>
              <w:t>①</w:t>
            </w:r>
            <w:r>
              <w:rPr>
                <w:rFonts w:hint="default" w:ascii="Times New Roman" w:hAnsi="Times New Roman" w:cs="Times New Roman" w:eastAsiaTheme="minorEastAsia"/>
                <w:b/>
                <w:bCs/>
                <w:color w:val="auto"/>
                <w:kern w:val="2"/>
                <w:sz w:val="24"/>
                <w:szCs w:val="24"/>
              </w:rPr>
              <w:t>技术可行性分析：</w:t>
            </w:r>
          </w:p>
          <w:p w14:paraId="5E76E0C5">
            <w:pPr>
              <w:bidi w:val="0"/>
              <w:rPr>
                <w:rFonts w:hint="default" w:ascii="Times New Roman" w:hAnsi="Times New Roman" w:cs="Times New Roman" w:eastAsiaTheme="minorEastAsia"/>
                <w:color w:val="auto"/>
                <w:kern w:val="0"/>
                <w:sz w:val="24"/>
                <w:szCs w:val="24"/>
              </w:rPr>
            </w:pPr>
            <w:r>
              <w:rPr>
                <w:rFonts w:hint="default" w:ascii="Times New Roman" w:hAnsi="Times New Roman" w:cs="Times New Roman"/>
                <w:b w:val="0"/>
                <w:bCs w:val="0"/>
                <w:color w:val="auto"/>
                <w:sz w:val="24"/>
                <w:szCs w:val="24"/>
                <w:lang w:val="en-US" w:eastAsia="zh-CN"/>
              </w:rPr>
              <w:t>根据《排放源统计调查产排污核算方法和系数手册》中</w:t>
            </w:r>
            <w:r>
              <w:rPr>
                <w:rFonts w:hint="default" w:ascii="Times New Roman" w:hAnsi="Times New Roman" w:cs="Times New Roman"/>
                <w:b w:val="0"/>
                <w:bCs w:val="0"/>
                <w:color w:val="auto"/>
                <w:spacing w:val="-3"/>
                <w:sz w:val="24"/>
                <w:szCs w:val="24"/>
                <w:highlight w:val="none"/>
                <w:lang w:val="en-US" w:eastAsia="zh-CN"/>
              </w:rPr>
              <w:t>《机械行业系数手册》0</w:t>
            </w:r>
            <w:r>
              <w:rPr>
                <w:rFonts w:hint="eastAsia" w:cs="Times New Roman"/>
                <w:color w:val="auto"/>
                <w:kern w:val="2"/>
                <w:sz w:val="24"/>
                <w:szCs w:val="24"/>
                <w:lang w:val="en-US" w:eastAsia="zh-CN"/>
              </w:rPr>
              <w:t>4下料</w:t>
            </w:r>
            <w:r>
              <w:rPr>
                <w:rFonts w:hint="default" w:ascii="Times New Roman" w:hAnsi="Times New Roman" w:eastAsia="宋体" w:cs="Times New Roman"/>
                <w:color w:val="auto"/>
                <w:kern w:val="2"/>
                <w:sz w:val="24"/>
                <w:szCs w:val="24"/>
              </w:rPr>
              <w:t>中</w:t>
            </w:r>
            <w:r>
              <w:rPr>
                <w:rFonts w:hint="default" w:ascii="Times New Roman" w:hAnsi="Times New Roman" w:eastAsia="宋体" w:cs="Times New Roman"/>
                <w:color w:val="auto"/>
                <w:kern w:val="2"/>
                <w:sz w:val="24"/>
                <w:szCs w:val="24"/>
                <w:lang w:eastAsia="zh-CN"/>
              </w:rPr>
              <w:t>的</w:t>
            </w:r>
            <w:r>
              <w:rPr>
                <w:rFonts w:hint="eastAsia" w:cs="Times New Roman"/>
                <w:color w:val="auto"/>
                <w:kern w:val="2"/>
                <w:sz w:val="24"/>
                <w:szCs w:val="24"/>
                <w:lang w:val="en-US" w:eastAsia="zh-CN"/>
              </w:rPr>
              <w:t>等离子切割</w:t>
            </w:r>
            <w:r>
              <w:rPr>
                <w:rFonts w:hint="default" w:ascii="Times New Roman" w:hAnsi="Times New Roman" w:cs="Times New Roman" w:eastAsiaTheme="minorEastAsia"/>
                <w:color w:val="auto"/>
                <w:kern w:val="2"/>
                <w:sz w:val="24"/>
                <w:szCs w:val="24"/>
                <w:lang w:eastAsia="zh-CN"/>
              </w:rPr>
              <w:t>，袋式除尘</w:t>
            </w:r>
            <w:r>
              <w:rPr>
                <w:rFonts w:hint="default" w:ascii="Times New Roman" w:hAnsi="Times New Roman" w:cs="Times New Roman" w:eastAsiaTheme="minorEastAsia"/>
                <w:color w:val="auto"/>
                <w:kern w:val="2"/>
                <w:sz w:val="24"/>
                <w:szCs w:val="24"/>
              </w:rPr>
              <w:t>属于废气可行技术参考表中可行技术</w:t>
            </w:r>
            <w:r>
              <w:rPr>
                <w:rFonts w:hint="default" w:ascii="Times New Roman" w:hAnsi="Times New Roman" w:cs="Times New Roman" w:eastAsiaTheme="minorEastAsia"/>
                <w:color w:val="auto"/>
                <w:kern w:val="2"/>
                <w:sz w:val="24"/>
                <w:szCs w:val="24"/>
                <w:lang w:eastAsia="zh-CN"/>
              </w:rPr>
              <w:t>，</w:t>
            </w:r>
            <w:r>
              <w:rPr>
                <w:rFonts w:hint="default" w:ascii="Times New Roman" w:hAnsi="Times New Roman" w:cs="Times New Roman" w:eastAsiaTheme="minorEastAsia"/>
                <w:color w:val="auto"/>
                <w:kern w:val="0"/>
                <w:sz w:val="24"/>
                <w:szCs w:val="24"/>
              </w:rPr>
              <w:t>因此</w:t>
            </w:r>
            <w:r>
              <w:rPr>
                <w:rFonts w:hint="default" w:ascii="Times New Roman" w:hAnsi="Times New Roman" w:cs="Times New Roman" w:eastAsiaTheme="minorEastAsia"/>
                <w:color w:val="auto"/>
                <w:kern w:val="0"/>
                <w:sz w:val="24"/>
                <w:szCs w:val="24"/>
                <w:lang w:eastAsia="zh-CN"/>
              </w:rPr>
              <w:t>本项目</w:t>
            </w:r>
            <w:r>
              <w:rPr>
                <w:rFonts w:hint="eastAsia" w:cs="Times New Roman" w:eastAsiaTheme="minorEastAsia"/>
                <w:color w:val="auto"/>
                <w:kern w:val="0"/>
                <w:sz w:val="24"/>
                <w:szCs w:val="24"/>
                <w:lang w:val="en-US" w:eastAsia="zh-CN"/>
              </w:rPr>
              <w:t>激光切割</w:t>
            </w:r>
            <w:r>
              <w:rPr>
                <w:rFonts w:hint="default" w:ascii="Times New Roman" w:hAnsi="Times New Roman" w:cs="Times New Roman" w:eastAsiaTheme="minorEastAsia"/>
                <w:color w:val="auto"/>
                <w:kern w:val="0"/>
                <w:sz w:val="24"/>
                <w:szCs w:val="24"/>
                <w:lang w:eastAsia="zh-CN"/>
              </w:rPr>
              <w:t>废气</w:t>
            </w:r>
            <w:r>
              <w:rPr>
                <w:rFonts w:hint="default" w:ascii="Times New Roman" w:hAnsi="Times New Roman" w:cs="Times New Roman" w:eastAsiaTheme="minorEastAsia"/>
                <w:color w:val="auto"/>
                <w:kern w:val="0"/>
                <w:sz w:val="24"/>
                <w:szCs w:val="24"/>
              </w:rPr>
              <w:t>污染防治措施技术可行。</w:t>
            </w:r>
          </w:p>
          <w:p w14:paraId="69A1D952">
            <w:pPr>
              <w:spacing w:line="360" w:lineRule="auto"/>
              <w:ind w:firstLine="482" w:firstLineChars="20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lang w:val="en-US" w:eastAsia="zh-CN"/>
              </w:rPr>
              <w:t>②</w:t>
            </w:r>
            <w:r>
              <w:rPr>
                <w:rFonts w:hint="default" w:ascii="Times New Roman" w:hAnsi="Times New Roman" w:cs="Times New Roman"/>
                <w:b/>
                <w:color w:val="auto"/>
                <w:sz w:val="24"/>
                <w:szCs w:val="24"/>
              </w:rPr>
              <w:t>排放可行性分析：</w:t>
            </w:r>
          </w:p>
          <w:p w14:paraId="4E952577">
            <w:pPr>
              <w:bidi w:val="0"/>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color w:val="auto"/>
                <w:sz w:val="24"/>
                <w:szCs w:val="24"/>
              </w:rPr>
              <w:t>A.风量的确定：</w:t>
            </w:r>
            <w:r>
              <w:rPr>
                <w:rFonts w:hint="default" w:ascii="Times New Roman" w:hAnsi="Times New Roman" w:cs="Times New Roman"/>
                <w:color w:val="auto"/>
                <w:sz w:val="24"/>
                <w:szCs w:val="24"/>
                <w:lang w:eastAsia="zh-CN"/>
              </w:rPr>
              <w:t>本项目</w:t>
            </w:r>
            <w:r>
              <w:rPr>
                <w:rFonts w:hint="eastAsia" w:cs="Times New Roman"/>
                <w:color w:val="auto"/>
                <w:sz w:val="24"/>
                <w:szCs w:val="24"/>
                <w:lang w:val="en-US" w:eastAsia="zh-CN"/>
              </w:rPr>
              <w:t>激光切割机</w:t>
            </w:r>
            <w:r>
              <w:rPr>
                <w:rFonts w:hint="default" w:ascii="Times New Roman" w:hAnsi="Times New Roman" w:cs="Times New Roman"/>
                <w:color w:val="auto"/>
                <w:sz w:val="24"/>
                <w:szCs w:val="24"/>
              </w:rPr>
              <w:t>采用集气罩</w:t>
            </w:r>
            <w:r>
              <w:rPr>
                <w:rFonts w:hint="eastAsia" w:cs="Times New Roman"/>
                <w:color w:val="auto"/>
                <w:sz w:val="24"/>
                <w:szCs w:val="24"/>
                <w:lang w:val="en-US" w:eastAsia="zh-CN"/>
              </w:rPr>
              <w:t>下吸</w:t>
            </w:r>
            <w:r>
              <w:rPr>
                <w:rFonts w:hint="default" w:ascii="Times New Roman" w:hAnsi="Times New Roman" w:cs="Times New Roman"/>
                <w:color w:val="auto"/>
                <w:sz w:val="24"/>
                <w:szCs w:val="24"/>
              </w:rPr>
              <w:t>方式收集废气。</w:t>
            </w:r>
            <w:r>
              <w:rPr>
                <w:rFonts w:hint="default" w:ascii="Times New Roman" w:hAnsi="Times New Roman" w:cs="Times New Roman"/>
                <w:b w:val="0"/>
                <w:bCs w:val="0"/>
                <w:color w:val="auto"/>
                <w:sz w:val="24"/>
                <w:szCs w:val="24"/>
                <w:lang w:val="en-US" w:eastAsia="zh-CN"/>
              </w:rPr>
              <w:t>风量按如下公式（参照《环境工程设计手册》）进行计算：</w:t>
            </w:r>
          </w:p>
          <w:p w14:paraId="2B5A101B">
            <w:pPr>
              <w:bidi w:val="0"/>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Q=kPHVx</w:t>
            </w:r>
          </w:p>
          <w:p w14:paraId="421508A7">
            <w:pPr>
              <w:bidi w:val="0"/>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式中：Q——风量m</w:t>
            </w:r>
            <w:r>
              <w:rPr>
                <w:rFonts w:hint="default" w:ascii="Times New Roman" w:hAnsi="Times New Roman" w:cs="Times New Roman"/>
                <w:b w:val="0"/>
                <w:bCs w:val="0"/>
                <w:color w:val="auto"/>
                <w:sz w:val="24"/>
                <w:szCs w:val="24"/>
                <w:vertAlign w:val="superscript"/>
                <w:lang w:val="en-US" w:eastAsia="zh-CN"/>
              </w:rPr>
              <w:t>3</w:t>
            </w:r>
            <w:r>
              <w:rPr>
                <w:rFonts w:hint="default" w:ascii="Times New Roman" w:hAnsi="Times New Roman" w:cs="Times New Roman"/>
                <w:b w:val="0"/>
                <w:bCs w:val="0"/>
                <w:color w:val="auto"/>
                <w:sz w:val="24"/>
                <w:szCs w:val="24"/>
                <w:lang w:val="en-US" w:eastAsia="zh-CN"/>
              </w:rPr>
              <w:t>/s，</w:t>
            </w:r>
          </w:p>
          <w:p w14:paraId="60BD52D5">
            <w:pPr>
              <w:bidi w:val="0"/>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k——考虑沿高度速度分布不均的安全系数，通常取k=1.0，</w:t>
            </w:r>
          </w:p>
          <w:p w14:paraId="01065258">
            <w:pPr>
              <w:bidi w:val="0"/>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P——罩口敞开周长m，</w:t>
            </w:r>
          </w:p>
          <w:p w14:paraId="47CB14B5">
            <w:pPr>
              <w:bidi w:val="0"/>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H——罩口距污染源的距离，</w:t>
            </w:r>
          </w:p>
          <w:p w14:paraId="7EDF52C0">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Vx——控制速度m/s，</w:t>
            </w:r>
          </w:p>
          <w:p w14:paraId="38FDD79B">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eastAsia="zh-CN"/>
              </w:rPr>
              <w:t>本项目</w:t>
            </w:r>
            <w:r>
              <w:rPr>
                <w:rFonts w:hint="eastAsia" w:cs="Times New Roman"/>
                <w:color w:val="auto"/>
                <w:sz w:val="24"/>
                <w:szCs w:val="24"/>
                <w:lang w:val="en-US" w:eastAsia="zh-CN"/>
              </w:rPr>
              <w:t>一台激光切割机</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切割机</w:t>
            </w:r>
            <w:r>
              <w:rPr>
                <w:rFonts w:hint="default" w:ascii="Times New Roman" w:hAnsi="Times New Roman" w:cs="Times New Roman"/>
                <w:color w:val="auto"/>
                <w:sz w:val="24"/>
                <w:szCs w:val="24"/>
                <w:lang w:val="en-US" w:eastAsia="zh-CN"/>
              </w:rPr>
              <w:t>尺寸为</w:t>
            </w:r>
            <w:r>
              <w:rPr>
                <w:rFonts w:hint="eastAsia" w:cs="Times New Roman"/>
                <w:color w:val="auto"/>
                <w:sz w:val="24"/>
                <w:szCs w:val="24"/>
                <w:lang w:val="en-US" w:eastAsia="zh-CN"/>
              </w:rPr>
              <w:t>1.5</w:t>
            </w:r>
            <w:r>
              <w:rPr>
                <w:rFonts w:hint="default" w:ascii="Times New Roman" w:hAnsi="Times New Roman" w:cs="Times New Roman"/>
                <w:color w:val="auto"/>
                <w:sz w:val="24"/>
                <w:szCs w:val="24"/>
                <w:lang w:val="en-US" w:eastAsia="zh-CN"/>
              </w:rPr>
              <w:t>m×</w:t>
            </w:r>
            <w:r>
              <w:rPr>
                <w:rFonts w:hint="eastAsia" w:cs="Times New Roman"/>
                <w:color w:val="auto"/>
                <w:sz w:val="24"/>
                <w:szCs w:val="24"/>
                <w:lang w:val="en-US" w:eastAsia="zh-CN"/>
              </w:rPr>
              <w:t>1.5</w:t>
            </w:r>
            <w:r>
              <w:rPr>
                <w:rFonts w:hint="default" w:ascii="Times New Roman" w:hAnsi="Times New Roman" w:cs="Times New Roman"/>
                <w:color w:val="auto"/>
                <w:sz w:val="24"/>
                <w:szCs w:val="24"/>
                <w:lang w:val="en-US" w:eastAsia="zh-CN"/>
              </w:rPr>
              <w:t>m，集气罩尺寸均为</w:t>
            </w:r>
            <w:r>
              <w:rPr>
                <w:rFonts w:hint="eastAsia" w:cs="Times New Roman"/>
                <w:color w:val="auto"/>
                <w:sz w:val="24"/>
                <w:szCs w:val="24"/>
                <w:lang w:val="en-US" w:eastAsia="zh-CN"/>
              </w:rPr>
              <w:t>1.2</w:t>
            </w:r>
            <w:r>
              <w:rPr>
                <w:rFonts w:hint="default" w:ascii="Times New Roman" w:hAnsi="Times New Roman" w:cs="Times New Roman"/>
                <w:color w:val="auto"/>
                <w:sz w:val="24"/>
                <w:szCs w:val="24"/>
                <w:lang w:val="en-US" w:eastAsia="zh-CN"/>
              </w:rPr>
              <w:t>m</w:t>
            </w:r>
            <w:r>
              <w:rPr>
                <w:rFonts w:hint="eastAsia" w:cs="Times New Roman"/>
                <w:color w:val="auto"/>
                <w:sz w:val="24"/>
                <w:szCs w:val="24"/>
                <w:lang w:val="en-US" w:eastAsia="zh-CN"/>
              </w:rPr>
              <w:t>×1.5</w:t>
            </w:r>
            <w:r>
              <w:rPr>
                <w:rFonts w:hint="default" w:ascii="Times New Roman" w:hAnsi="Times New Roman" w:cs="Times New Roman"/>
                <w:color w:val="auto"/>
                <w:sz w:val="24"/>
                <w:szCs w:val="24"/>
                <w:lang w:val="en-US" w:eastAsia="zh-CN"/>
              </w:rPr>
              <w:t>m，根据《局部排风设施控制风速检测与评估技术规范（AQ/T4274-2016）》，</w:t>
            </w:r>
            <w:r>
              <w:rPr>
                <w:rFonts w:hint="eastAsia" w:cs="Times New Roman"/>
                <w:color w:val="auto"/>
                <w:sz w:val="24"/>
                <w:szCs w:val="24"/>
                <w:lang w:val="en-US" w:eastAsia="zh-CN"/>
              </w:rPr>
              <w:t>下吸</w:t>
            </w:r>
            <w:r>
              <w:rPr>
                <w:rFonts w:hint="default" w:ascii="Times New Roman" w:hAnsi="Times New Roman" w:cs="Times New Roman"/>
                <w:color w:val="auto"/>
                <w:sz w:val="24"/>
                <w:szCs w:val="24"/>
                <w:lang w:val="en-US" w:eastAsia="zh-CN"/>
              </w:rPr>
              <w:t>式集气罩粉尘控制风速为1.</w:t>
            </w:r>
            <w:r>
              <w:rPr>
                <w:rFonts w:hint="eastAsia" w:cs="Times New Roman"/>
                <w:color w:val="auto"/>
                <w:sz w:val="24"/>
                <w:szCs w:val="24"/>
                <w:lang w:val="en-US" w:eastAsia="zh-CN"/>
              </w:rPr>
              <w:t>0</w:t>
            </w:r>
            <w:r>
              <w:rPr>
                <w:rFonts w:hint="default" w:ascii="Times New Roman" w:hAnsi="Times New Roman" w:cs="Times New Roman"/>
                <w:color w:val="auto"/>
                <w:sz w:val="24"/>
                <w:szCs w:val="24"/>
                <w:lang w:val="en-US" w:eastAsia="zh-CN"/>
              </w:rPr>
              <w:t>m/s，具体设计数据如下：</w:t>
            </w:r>
          </w:p>
          <w:p w14:paraId="42FF408B">
            <w:pPr>
              <w:pStyle w:val="38"/>
              <w:bidi w:val="0"/>
              <w:rPr>
                <w:rFonts w:hint="default" w:ascii="Times New Roman" w:hAnsi="Times New Roman" w:cs="Times New Roman"/>
                <w:color w:val="auto"/>
              </w:rPr>
            </w:pPr>
            <w:r>
              <w:rPr>
                <w:rFonts w:hint="default" w:ascii="Times New Roman" w:hAnsi="Times New Roman" w:cs="Times New Roman"/>
                <w:color w:val="auto"/>
              </w:rPr>
              <w:t>表4-</w:t>
            </w:r>
            <w:r>
              <w:rPr>
                <w:rFonts w:hint="default" w:ascii="Times New Roman" w:hAnsi="Times New Roman" w:cs="Times New Roman"/>
                <w:color w:val="auto"/>
                <w:lang w:val="en-US" w:eastAsia="zh-CN"/>
              </w:rPr>
              <w:t>3</w:t>
            </w:r>
            <w:r>
              <w:rPr>
                <w:rFonts w:hint="default" w:ascii="Times New Roman" w:hAnsi="Times New Roman" w:cs="Times New Roman"/>
                <w:color w:val="auto"/>
              </w:rPr>
              <w:t xml:space="preserve"> </w:t>
            </w:r>
            <w:r>
              <w:rPr>
                <w:rFonts w:hint="default" w:ascii="Times New Roman" w:hAnsi="Times New Roman" w:cs="Times New Roman"/>
                <w:color w:val="auto"/>
                <w:lang w:val="en-US" w:eastAsia="zh-CN"/>
              </w:rPr>
              <w:t xml:space="preserve"> </w:t>
            </w:r>
            <w:r>
              <w:rPr>
                <w:rFonts w:hint="default" w:ascii="Times New Roman" w:hAnsi="Times New Roman" w:cs="Times New Roman"/>
                <w:color w:val="auto"/>
              </w:rPr>
              <w:t>集气罩设计风量一览表</w:t>
            </w:r>
          </w:p>
          <w:tbl>
            <w:tblPr>
              <w:tblStyle w:val="32"/>
              <w:tblW w:w="883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519"/>
              <w:gridCol w:w="879"/>
              <w:gridCol w:w="1162"/>
              <w:gridCol w:w="905"/>
              <w:gridCol w:w="1581"/>
              <w:gridCol w:w="1428"/>
              <w:gridCol w:w="1362"/>
            </w:tblGrid>
            <w:tr w14:paraId="65733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 w:hRule="atLeast"/>
                <w:jc w:val="center"/>
              </w:trPr>
              <w:tc>
                <w:tcPr>
                  <w:tcW w:w="1519" w:type="dxa"/>
                  <w:tcBorders>
                    <w:tl2br w:val="nil"/>
                    <w:tr2bl w:val="nil"/>
                  </w:tcBorders>
                  <w:vAlign w:val="center"/>
                </w:tcPr>
                <w:p w14:paraId="734187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设备类型</w:t>
                  </w:r>
                </w:p>
              </w:tc>
              <w:tc>
                <w:tcPr>
                  <w:tcW w:w="879" w:type="dxa"/>
                  <w:tcBorders>
                    <w:tl2br w:val="nil"/>
                    <w:tr2bl w:val="nil"/>
                  </w:tcBorders>
                  <w:vAlign w:val="center"/>
                </w:tcPr>
                <w:p w14:paraId="6132AC6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cs="Times New Roman"/>
                      <w:b/>
                      <w:bCs/>
                      <w:color w:val="auto"/>
                      <w:sz w:val="21"/>
                      <w:szCs w:val="21"/>
                      <w:lang w:val="en-US" w:eastAsia="zh-CN"/>
                    </w:rPr>
                    <w:t>k</w:t>
                  </w:r>
                </w:p>
              </w:tc>
              <w:tc>
                <w:tcPr>
                  <w:tcW w:w="1162" w:type="dxa"/>
                  <w:tcBorders>
                    <w:tl2br w:val="nil"/>
                    <w:tr2bl w:val="nil"/>
                  </w:tcBorders>
                  <w:vAlign w:val="center"/>
                </w:tcPr>
                <w:p w14:paraId="2089FF1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cs="Times New Roman"/>
                      <w:b/>
                      <w:bCs/>
                      <w:color w:val="auto"/>
                      <w:sz w:val="21"/>
                      <w:szCs w:val="21"/>
                      <w:lang w:val="en-US" w:eastAsia="zh-CN"/>
                    </w:rPr>
                    <w:t>P</w:t>
                  </w:r>
                </w:p>
              </w:tc>
              <w:tc>
                <w:tcPr>
                  <w:tcW w:w="905" w:type="dxa"/>
                  <w:tcBorders>
                    <w:tl2br w:val="nil"/>
                    <w:tr2bl w:val="nil"/>
                  </w:tcBorders>
                  <w:vAlign w:val="center"/>
                </w:tcPr>
                <w:p w14:paraId="64E56FD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H</w:t>
                  </w:r>
                </w:p>
              </w:tc>
              <w:tc>
                <w:tcPr>
                  <w:tcW w:w="1581" w:type="dxa"/>
                  <w:tcBorders>
                    <w:tl2br w:val="nil"/>
                    <w:tr2bl w:val="nil"/>
                  </w:tcBorders>
                  <w:vAlign w:val="center"/>
                </w:tcPr>
                <w:p w14:paraId="407A5C2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Vx</w:t>
                  </w:r>
                </w:p>
              </w:tc>
              <w:tc>
                <w:tcPr>
                  <w:tcW w:w="1428" w:type="dxa"/>
                  <w:tcBorders>
                    <w:tl2br w:val="nil"/>
                    <w:tr2bl w:val="nil"/>
                  </w:tcBorders>
                  <w:vAlign w:val="center"/>
                </w:tcPr>
                <w:p w14:paraId="6C9563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风量（m</w:t>
                  </w:r>
                  <w:r>
                    <w:rPr>
                      <w:rFonts w:hint="default" w:ascii="Times New Roman" w:hAnsi="Times New Roman" w:cs="Times New Roman"/>
                      <w:b/>
                      <w:bCs/>
                      <w:color w:val="auto"/>
                      <w:sz w:val="21"/>
                      <w:szCs w:val="21"/>
                      <w:vertAlign w:val="superscript"/>
                    </w:rPr>
                    <w:t>3</w:t>
                  </w:r>
                  <w:r>
                    <w:rPr>
                      <w:rFonts w:hint="default" w:ascii="Times New Roman" w:hAnsi="Times New Roman" w:cs="Times New Roman"/>
                      <w:b/>
                      <w:bCs/>
                      <w:color w:val="auto"/>
                      <w:sz w:val="21"/>
                      <w:szCs w:val="21"/>
                    </w:rPr>
                    <w:t>/s）</w:t>
                  </w:r>
                </w:p>
              </w:tc>
              <w:tc>
                <w:tcPr>
                  <w:tcW w:w="1362" w:type="dxa"/>
                  <w:tcBorders>
                    <w:tl2br w:val="nil"/>
                    <w:tr2bl w:val="nil"/>
                  </w:tcBorders>
                  <w:vAlign w:val="center"/>
                </w:tcPr>
                <w:p w14:paraId="477ACE6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风量（m</w:t>
                  </w:r>
                  <w:r>
                    <w:rPr>
                      <w:rFonts w:hint="default" w:ascii="Times New Roman" w:hAnsi="Times New Roman" w:cs="Times New Roman"/>
                      <w:b/>
                      <w:bCs/>
                      <w:color w:val="auto"/>
                      <w:sz w:val="21"/>
                      <w:szCs w:val="21"/>
                      <w:vertAlign w:val="superscript"/>
                    </w:rPr>
                    <w:t>3</w:t>
                  </w:r>
                  <w:r>
                    <w:rPr>
                      <w:rFonts w:hint="default" w:ascii="Times New Roman" w:hAnsi="Times New Roman" w:cs="Times New Roman"/>
                      <w:b/>
                      <w:bCs/>
                      <w:color w:val="auto"/>
                      <w:sz w:val="21"/>
                      <w:szCs w:val="21"/>
                    </w:rPr>
                    <w:t>/h）</w:t>
                  </w:r>
                </w:p>
              </w:tc>
            </w:tr>
            <w:tr w14:paraId="716B2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 w:hRule="atLeast"/>
                <w:jc w:val="center"/>
              </w:trPr>
              <w:tc>
                <w:tcPr>
                  <w:tcW w:w="1519" w:type="dxa"/>
                  <w:tcBorders>
                    <w:tl2br w:val="nil"/>
                    <w:tr2bl w:val="nil"/>
                  </w:tcBorders>
                  <w:vAlign w:val="center"/>
                </w:tcPr>
                <w:p w14:paraId="194CBD6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激光切割机</w:t>
                  </w:r>
                </w:p>
              </w:tc>
              <w:tc>
                <w:tcPr>
                  <w:tcW w:w="879" w:type="dxa"/>
                  <w:tcBorders>
                    <w:tl2br w:val="nil"/>
                    <w:tr2bl w:val="nil"/>
                  </w:tcBorders>
                  <w:vAlign w:val="center"/>
                </w:tcPr>
                <w:p w14:paraId="5827981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1.0</w:t>
                  </w:r>
                </w:p>
              </w:tc>
              <w:tc>
                <w:tcPr>
                  <w:tcW w:w="1162" w:type="dxa"/>
                  <w:tcBorders>
                    <w:tl2br w:val="nil"/>
                    <w:tr2bl w:val="nil"/>
                  </w:tcBorders>
                  <w:vAlign w:val="center"/>
                </w:tcPr>
                <w:p w14:paraId="420919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5.4</w:t>
                  </w:r>
                </w:p>
              </w:tc>
              <w:tc>
                <w:tcPr>
                  <w:tcW w:w="905" w:type="dxa"/>
                  <w:tcBorders>
                    <w:tl2br w:val="nil"/>
                    <w:tr2bl w:val="nil"/>
                  </w:tcBorders>
                  <w:vAlign w:val="center"/>
                </w:tcPr>
                <w:p w14:paraId="2C6E554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0.</w:t>
                  </w:r>
                  <w:r>
                    <w:rPr>
                      <w:rFonts w:hint="eastAsia" w:ascii="Times New Roman" w:hAnsi="Times New Roman" w:cs="Times New Roman"/>
                      <w:b w:val="0"/>
                      <w:bCs w:val="0"/>
                      <w:color w:val="auto"/>
                      <w:sz w:val="21"/>
                      <w:szCs w:val="21"/>
                      <w:lang w:val="en-US" w:eastAsia="zh-CN"/>
                    </w:rPr>
                    <w:t>2</w:t>
                  </w:r>
                </w:p>
              </w:tc>
              <w:tc>
                <w:tcPr>
                  <w:tcW w:w="1581" w:type="dxa"/>
                  <w:tcBorders>
                    <w:tl2br w:val="nil"/>
                    <w:tr2bl w:val="nil"/>
                  </w:tcBorders>
                  <w:vAlign w:val="center"/>
                </w:tcPr>
                <w:p w14:paraId="795D29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1.0</w:t>
                  </w:r>
                </w:p>
              </w:tc>
              <w:tc>
                <w:tcPr>
                  <w:tcW w:w="1428" w:type="dxa"/>
                  <w:tcBorders>
                    <w:tl2br w:val="nil"/>
                    <w:tr2bl w:val="nil"/>
                  </w:tcBorders>
                  <w:vAlign w:val="center"/>
                </w:tcPr>
                <w:p w14:paraId="24840E5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1.</w:t>
                  </w:r>
                  <w:r>
                    <w:rPr>
                      <w:rFonts w:hint="eastAsia" w:ascii="Times New Roman" w:hAnsi="Times New Roman" w:cs="Times New Roman"/>
                      <w:b w:val="0"/>
                      <w:bCs w:val="0"/>
                      <w:color w:val="auto"/>
                      <w:sz w:val="21"/>
                      <w:szCs w:val="21"/>
                      <w:lang w:val="en-US" w:eastAsia="zh-CN"/>
                    </w:rPr>
                    <w:t>08</w:t>
                  </w:r>
                </w:p>
              </w:tc>
              <w:tc>
                <w:tcPr>
                  <w:tcW w:w="1362" w:type="dxa"/>
                  <w:tcBorders>
                    <w:tl2br w:val="nil"/>
                    <w:tr2bl w:val="nil"/>
                  </w:tcBorders>
                  <w:vAlign w:val="center"/>
                </w:tcPr>
                <w:p w14:paraId="170ACC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3888</w:t>
                  </w:r>
                </w:p>
              </w:tc>
            </w:tr>
          </w:tbl>
          <w:p w14:paraId="6DF5B67C">
            <w:pPr>
              <w:bidi w:val="0"/>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eastAsia="zh-CN"/>
              </w:rPr>
              <w:t>根据上表，本项目</w:t>
            </w:r>
            <w:r>
              <w:rPr>
                <w:rFonts w:hint="eastAsia" w:cs="Times New Roman"/>
                <w:color w:val="auto"/>
                <w:sz w:val="24"/>
                <w:szCs w:val="24"/>
                <w:lang w:val="en-US" w:eastAsia="zh-CN"/>
              </w:rPr>
              <w:t>激光切割机下方</w:t>
            </w:r>
            <w:r>
              <w:rPr>
                <w:rFonts w:hint="default" w:ascii="Times New Roman" w:hAnsi="Times New Roman" w:cs="Times New Roman"/>
                <w:color w:val="auto"/>
                <w:sz w:val="24"/>
                <w:szCs w:val="24"/>
                <w:lang w:val="en-US" w:eastAsia="zh-CN"/>
              </w:rPr>
              <w:t>集气罩风量为</w:t>
            </w:r>
            <w:r>
              <w:rPr>
                <w:rFonts w:hint="eastAsia" w:cs="Times New Roman"/>
                <w:color w:val="auto"/>
                <w:sz w:val="24"/>
                <w:szCs w:val="24"/>
                <w:lang w:val="en-US" w:eastAsia="zh-CN"/>
              </w:rPr>
              <w:t>3888</w:t>
            </w:r>
            <w:r>
              <w:rPr>
                <w:rFonts w:hint="default" w:ascii="Times New Roman" w:hAnsi="Times New Roman" w:cs="Times New Roman"/>
                <w:color w:val="auto"/>
                <w:sz w:val="24"/>
                <w:szCs w:val="24"/>
                <w:lang w:val="en-US" w:eastAsia="zh-CN"/>
              </w:rPr>
              <w:t>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/h，</w:t>
            </w:r>
            <w:r>
              <w:rPr>
                <w:rFonts w:hint="default" w:ascii="Times New Roman" w:hAnsi="Times New Roman" w:cs="Times New Roman"/>
                <w:color w:val="auto"/>
                <w:sz w:val="24"/>
                <w:szCs w:val="24"/>
              </w:rPr>
              <w:t>考虑风力损耗，</w:t>
            </w:r>
            <w:r>
              <w:rPr>
                <w:rFonts w:hint="default" w:ascii="Times New Roman" w:hAnsi="Times New Roman" w:cs="Times New Roman"/>
                <w:color w:val="auto"/>
                <w:sz w:val="24"/>
                <w:szCs w:val="24"/>
                <w:lang w:eastAsia="zh-CN"/>
              </w:rPr>
              <w:t>本项目每</w:t>
            </w:r>
            <w:r>
              <w:rPr>
                <w:rFonts w:hint="eastAsia" w:cs="Times New Roman"/>
                <w:color w:val="auto"/>
                <w:sz w:val="24"/>
                <w:szCs w:val="24"/>
                <w:lang w:val="en-US" w:eastAsia="zh-CN"/>
              </w:rPr>
              <w:t>激光切割机</w:t>
            </w:r>
            <w:r>
              <w:rPr>
                <w:rFonts w:hint="default" w:ascii="Times New Roman" w:hAnsi="Times New Roman" w:cs="Times New Roman"/>
                <w:color w:val="auto"/>
                <w:sz w:val="24"/>
                <w:szCs w:val="24"/>
              </w:rPr>
              <w:t>废气设计风量取</w:t>
            </w:r>
            <w:r>
              <w:rPr>
                <w:rFonts w:hint="eastAsia" w:cs="Times New Roman"/>
                <w:color w:val="auto"/>
                <w:sz w:val="24"/>
                <w:szCs w:val="24"/>
                <w:lang w:val="en-US" w:eastAsia="zh-CN"/>
              </w:rPr>
              <w:t>4000</w:t>
            </w:r>
            <w:r>
              <w:rPr>
                <w:rFonts w:hint="default" w:ascii="Times New Roman" w:hAnsi="Times New Roman" w:cs="Times New Roman"/>
                <w:color w:val="auto"/>
                <w:sz w:val="24"/>
                <w:szCs w:val="24"/>
              </w:rPr>
              <w:t>m</w:t>
            </w:r>
            <w:r>
              <w:rPr>
                <w:rFonts w:hint="default" w:ascii="Times New Roman" w:hAnsi="Times New Roman" w:cs="Times New Roman"/>
                <w:color w:val="auto"/>
                <w:sz w:val="24"/>
                <w:szCs w:val="24"/>
                <w:vertAlign w:val="superscript"/>
              </w:rPr>
              <w:t>3</w:t>
            </w:r>
            <w:r>
              <w:rPr>
                <w:rFonts w:hint="default" w:ascii="Times New Roman" w:hAnsi="Times New Roman" w:cs="Times New Roman"/>
                <w:color w:val="auto"/>
                <w:sz w:val="24"/>
                <w:szCs w:val="24"/>
              </w:rPr>
              <w:t>/h</w:t>
            </w:r>
            <w:r>
              <w:rPr>
                <w:rFonts w:hint="eastAsia" w:cs="Times New Roman"/>
                <w:color w:val="auto"/>
                <w:sz w:val="24"/>
                <w:szCs w:val="24"/>
                <w:lang w:eastAsia="zh-CN"/>
              </w:rPr>
              <w:t>，</w:t>
            </w:r>
            <w:r>
              <w:rPr>
                <w:rFonts w:hint="default" w:ascii="Times New Roman" w:hAnsi="Times New Roman" w:cs="Times New Roman"/>
                <w:color w:val="auto"/>
                <w:sz w:val="24"/>
                <w:szCs w:val="24"/>
                <w:lang w:val="en-US" w:eastAsia="zh-CN"/>
              </w:rPr>
              <w:t>收集效率约为8</w:t>
            </w:r>
            <w:r>
              <w:rPr>
                <w:rFonts w:hint="eastAsia" w:cs="Times New Roman"/>
                <w:color w:val="auto"/>
                <w:sz w:val="24"/>
                <w:szCs w:val="24"/>
                <w:lang w:val="en-US" w:eastAsia="zh-CN"/>
              </w:rPr>
              <w:t>0</w:t>
            </w:r>
            <w:r>
              <w:rPr>
                <w:rFonts w:hint="default" w:ascii="Times New Roman" w:hAnsi="Times New Roman" w:cs="Times New Roman"/>
                <w:color w:val="auto"/>
                <w:sz w:val="24"/>
                <w:szCs w:val="24"/>
                <w:lang w:val="en-US" w:eastAsia="zh-CN"/>
              </w:rPr>
              <w:t>%。</w:t>
            </w:r>
          </w:p>
          <w:p w14:paraId="37959AF9">
            <w:pPr>
              <w:keepNext w:val="0"/>
              <w:keepLines w:val="0"/>
              <w:pageBreakBefore w:val="0"/>
              <w:widowControl w:val="0"/>
              <w:kinsoku/>
              <w:wordWrap/>
              <w:overflowPunct/>
              <w:topLinePunct w:val="0"/>
              <w:autoSpaceDE/>
              <w:autoSpaceDN/>
              <w:bidi w:val="0"/>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rPr>
              <w:t>B.处理效率的确定：</w:t>
            </w:r>
            <w:r>
              <w:rPr>
                <w:rFonts w:hint="default" w:ascii="Times New Roman" w:hAnsi="Times New Roman" w:cs="Times New Roman"/>
                <w:color w:val="auto"/>
                <w:sz w:val="24"/>
                <w:szCs w:val="24"/>
                <w:lang w:val="en-US" w:eastAsia="zh-CN"/>
              </w:rPr>
              <w:t>根据</w:t>
            </w:r>
            <w:r>
              <w:rPr>
                <w:rFonts w:hint="default" w:ascii="Times New Roman" w:hAnsi="Times New Roman" w:eastAsia="宋体" w:cs="Times New Roman"/>
                <w:color w:val="auto"/>
                <w:kern w:val="2"/>
                <w:sz w:val="24"/>
                <w:szCs w:val="24"/>
              </w:rPr>
              <w:t>《排污源统计调查产排污核算方法和系数手册》（</w:t>
            </w:r>
            <w:r>
              <w:rPr>
                <w:rFonts w:hint="default" w:ascii="Times New Roman" w:hAnsi="Times New Roman" w:eastAsia="宋体" w:cs="Times New Roman"/>
                <w:color w:val="auto"/>
                <w:kern w:val="2"/>
                <w:sz w:val="24"/>
                <w:szCs w:val="24"/>
                <w:lang w:eastAsia="zh-CN"/>
              </w:rPr>
              <w:t>生态</w:t>
            </w:r>
            <w:r>
              <w:rPr>
                <w:rFonts w:hint="default" w:ascii="Times New Roman" w:hAnsi="Times New Roman" w:eastAsia="宋体" w:cs="Times New Roman"/>
                <w:color w:val="auto"/>
                <w:kern w:val="2"/>
                <w:sz w:val="24"/>
                <w:szCs w:val="24"/>
              </w:rPr>
              <w:t>环境部公告2021年第24号）</w:t>
            </w:r>
            <w:r>
              <w:rPr>
                <w:rFonts w:hint="default" w:ascii="Times New Roman" w:hAnsi="Times New Roman" w:cs="Times New Roman"/>
                <w:b w:val="0"/>
                <w:bCs w:val="0"/>
                <w:color w:val="auto"/>
                <w:spacing w:val="-3"/>
                <w:sz w:val="24"/>
                <w:szCs w:val="24"/>
                <w:highlight w:val="none"/>
                <w:lang w:val="en-US" w:eastAsia="zh-CN"/>
              </w:rPr>
              <w:t>《机械行业系数手册》</w:t>
            </w:r>
            <w:r>
              <w:rPr>
                <w:rFonts w:hint="default" w:ascii="Times New Roman" w:hAnsi="Times New Roman" w:cs="Times New Roman"/>
                <w:color w:val="auto"/>
                <w:kern w:val="2"/>
                <w:sz w:val="24"/>
                <w:szCs w:val="24"/>
                <w:lang w:val="en-US" w:eastAsia="zh-CN"/>
              </w:rPr>
              <w:t>中0</w:t>
            </w:r>
            <w:r>
              <w:rPr>
                <w:rFonts w:hint="eastAsia" w:cs="Times New Roman"/>
                <w:color w:val="auto"/>
                <w:kern w:val="2"/>
                <w:sz w:val="24"/>
                <w:szCs w:val="24"/>
                <w:lang w:val="en-US" w:eastAsia="zh-CN"/>
              </w:rPr>
              <w:t>4下料</w:t>
            </w:r>
            <w:r>
              <w:rPr>
                <w:rFonts w:hint="default" w:ascii="Times New Roman" w:hAnsi="Times New Roman" w:eastAsia="宋体" w:cs="Times New Roman"/>
                <w:color w:val="auto"/>
                <w:kern w:val="2"/>
                <w:sz w:val="24"/>
                <w:szCs w:val="24"/>
              </w:rPr>
              <w:t>中</w:t>
            </w:r>
            <w:r>
              <w:rPr>
                <w:rFonts w:hint="default" w:ascii="Times New Roman" w:hAnsi="Times New Roman" w:eastAsia="宋体" w:cs="Times New Roman"/>
                <w:color w:val="auto"/>
                <w:kern w:val="2"/>
                <w:sz w:val="24"/>
                <w:szCs w:val="24"/>
                <w:lang w:eastAsia="zh-CN"/>
              </w:rPr>
              <w:t>的等离子切割</w:t>
            </w:r>
            <w:r>
              <w:rPr>
                <w:rFonts w:hint="eastAsia" w:cs="Times New Roman"/>
                <w:color w:val="auto"/>
                <w:kern w:val="2"/>
                <w:sz w:val="24"/>
                <w:szCs w:val="24"/>
                <w:lang w:val="en-US" w:eastAsia="zh-CN"/>
              </w:rPr>
              <w:t>工序</w:t>
            </w:r>
            <w:r>
              <w:rPr>
                <w:rFonts w:hint="default" w:ascii="Times New Roman" w:hAnsi="Times New Roman" w:cs="Times New Roman"/>
                <w:color w:val="auto"/>
                <w:kern w:val="2"/>
                <w:sz w:val="24"/>
                <w:szCs w:val="24"/>
                <w:lang w:eastAsia="zh-CN"/>
              </w:rPr>
              <w:t>末端治理技术中</w:t>
            </w:r>
            <w:r>
              <w:rPr>
                <w:rFonts w:hint="default" w:ascii="Times New Roman" w:hAnsi="Times New Roman" w:cs="Times New Roman"/>
                <w:color w:val="auto"/>
                <w:sz w:val="24"/>
                <w:szCs w:val="24"/>
                <w:lang w:val="en-US" w:eastAsia="zh-CN"/>
              </w:rPr>
              <w:t>袋式除尘处理效率为95%。</w:t>
            </w:r>
          </w:p>
          <w:p w14:paraId="37E99174">
            <w:pPr>
              <w:keepNext w:val="0"/>
              <w:keepLines w:val="0"/>
              <w:pageBreakBefore w:val="0"/>
              <w:widowControl w:val="0"/>
              <w:kinsoku/>
              <w:wordWrap/>
              <w:overflowPunct/>
              <w:topLinePunct w:val="0"/>
              <w:autoSpaceDE/>
              <w:autoSpaceDN/>
              <w:bidi w:val="0"/>
              <w:textAlignment w:val="auto"/>
              <w:rPr>
                <w:rFonts w:hint="default" w:ascii="Times New Roman" w:hAnsi="Times New Roman" w:cs="Times New Roman"/>
                <w:b/>
                <w:bCs/>
                <w:color w:val="auto"/>
                <w:sz w:val="24"/>
                <w:szCs w:val="24"/>
                <w:lang w:val="en-US" w:eastAsia="zh-CN"/>
              </w:rPr>
            </w:pPr>
            <w:r>
              <w:rPr>
                <w:rFonts w:hint="eastAsia" w:cs="Times New Roman"/>
                <w:b/>
                <w:bCs/>
                <w:color w:val="auto"/>
                <w:sz w:val="24"/>
                <w:szCs w:val="24"/>
                <w:lang w:val="en-US" w:eastAsia="zh-CN"/>
              </w:rPr>
              <w:t>（2）锯床切割废气</w:t>
            </w:r>
          </w:p>
          <w:p w14:paraId="0EA6080A">
            <w:pPr>
              <w:keepNext w:val="0"/>
              <w:keepLines w:val="0"/>
              <w:pageBreakBefore w:val="0"/>
              <w:widowControl w:val="0"/>
              <w:kinsoku/>
              <w:wordWrap/>
              <w:overflowPunct/>
              <w:topLinePunct w:val="0"/>
              <w:autoSpaceDE/>
              <w:autoSpaceDN/>
              <w:bidi w:val="0"/>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1）产生源强</w:t>
            </w:r>
          </w:p>
          <w:p w14:paraId="5CE6984B">
            <w:pPr>
              <w:bidi w:val="0"/>
              <w:rPr>
                <w:rFonts w:hint="default" w:ascii="Times New Roman" w:hAnsi="Times New Roman" w:cs="Times New Roman"/>
                <w:b/>
                <w:bCs/>
                <w:color w:val="auto"/>
                <w:sz w:val="24"/>
                <w:szCs w:val="24"/>
                <w:lang w:val="en-US" w:eastAsia="zh-CN"/>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大</w:t>
            </w:r>
            <w:r>
              <w:rPr>
                <w:rFonts w:hint="default" w:ascii="Times New Roman" w:hAnsi="Times New Roman" w:cs="Times New Roman"/>
                <w:color w:val="auto"/>
                <w:sz w:val="24"/>
                <w:szCs w:val="24"/>
                <w:lang w:val="en-US" w:eastAsia="zh-CN"/>
              </w:rPr>
              <w:t>尺寸钢材用锯床进行切割，过程中产生的切割金属</w:t>
            </w:r>
            <w:r>
              <w:rPr>
                <w:rFonts w:hint="eastAsia" w:cs="Times New Roman"/>
                <w:color w:val="auto"/>
                <w:sz w:val="24"/>
                <w:szCs w:val="24"/>
                <w:lang w:val="en-US" w:eastAsia="zh-CN"/>
              </w:rPr>
              <w:t>颗粒物</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颗粒物</w:t>
            </w:r>
            <w:r>
              <w:rPr>
                <w:rFonts w:hint="default" w:ascii="Times New Roman" w:hAnsi="Times New Roman" w:eastAsia="宋体" w:cs="Times New Roman"/>
                <w:color w:val="auto"/>
                <w:kern w:val="2"/>
                <w:sz w:val="24"/>
                <w:szCs w:val="24"/>
                <w:lang w:val="en-US" w:eastAsia="zh-CN"/>
              </w:rPr>
              <w:t>排放量参考</w:t>
            </w:r>
            <w:r>
              <w:rPr>
                <w:rFonts w:hint="default" w:ascii="Times New Roman" w:hAnsi="Times New Roman" w:eastAsia="宋体" w:cs="Times New Roman"/>
                <w:color w:val="auto"/>
                <w:kern w:val="2"/>
                <w:sz w:val="24"/>
                <w:szCs w:val="24"/>
              </w:rPr>
              <w:t>《排污源统计调查产排污核算方法和系数手册》（</w:t>
            </w:r>
            <w:r>
              <w:rPr>
                <w:rFonts w:hint="default" w:ascii="Times New Roman" w:hAnsi="Times New Roman" w:eastAsia="宋体" w:cs="Times New Roman"/>
                <w:color w:val="auto"/>
                <w:kern w:val="2"/>
                <w:sz w:val="24"/>
                <w:szCs w:val="24"/>
                <w:lang w:eastAsia="zh-CN"/>
              </w:rPr>
              <w:t>生态</w:t>
            </w:r>
            <w:r>
              <w:rPr>
                <w:rFonts w:hint="default" w:ascii="Times New Roman" w:hAnsi="Times New Roman" w:eastAsia="宋体" w:cs="Times New Roman"/>
                <w:color w:val="auto"/>
                <w:kern w:val="2"/>
                <w:sz w:val="24"/>
                <w:szCs w:val="24"/>
              </w:rPr>
              <w:t>环境部公告2021年第24号）</w:t>
            </w:r>
            <w:r>
              <w:rPr>
                <w:rFonts w:hint="default" w:ascii="Times New Roman" w:hAnsi="Times New Roman" w:cs="Times New Roman"/>
                <w:b w:val="0"/>
                <w:bCs w:val="0"/>
                <w:color w:val="auto"/>
                <w:spacing w:val="-3"/>
                <w:sz w:val="24"/>
                <w:szCs w:val="24"/>
                <w:highlight w:val="none"/>
                <w:lang w:val="en-US" w:eastAsia="zh-CN"/>
              </w:rPr>
              <w:t>《机械行业系数手册》</w:t>
            </w:r>
            <w:r>
              <w:rPr>
                <w:rFonts w:hint="default" w:ascii="Times New Roman" w:hAnsi="Times New Roman" w:cs="Times New Roman"/>
                <w:color w:val="auto"/>
                <w:kern w:val="2"/>
                <w:sz w:val="24"/>
                <w:szCs w:val="24"/>
                <w:lang w:val="en-US" w:eastAsia="zh-CN"/>
              </w:rPr>
              <w:t>04下料</w:t>
            </w:r>
            <w:r>
              <w:rPr>
                <w:rFonts w:hint="default" w:ascii="Times New Roman" w:hAnsi="Times New Roman" w:eastAsia="宋体" w:cs="Times New Roman"/>
                <w:color w:val="auto"/>
                <w:kern w:val="2"/>
                <w:sz w:val="24"/>
                <w:szCs w:val="24"/>
              </w:rPr>
              <w:t>中</w:t>
            </w:r>
            <w:r>
              <w:rPr>
                <w:rFonts w:hint="default" w:ascii="Times New Roman" w:hAnsi="Times New Roman" w:eastAsia="宋体" w:cs="Times New Roman"/>
                <w:color w:val="auto"/>
                <w:kern w:val="2"/>
                <w:sz w:val="24"/>
                <w:szCs w:val="24"/>
                <w:lang w:eastAsia="zh-CN"/>
              </w:rPr>
              <w:t>的锯床切割，</w:t>
            </w:r>
            <w:r>
              <w:rPr>
                <w:rFonts w:hint="default" w:ascii="Times New Roman" w:hAnsi="Times New Roman" w:eastAsia="宋体" w:cs="Times New Roman"/>
                <w:color w:val="auto"/>
                <w:kern w:val="2"/>
                <w:sz w:val="24"/>
                <w:szCs w:val="24"/>
              </w:rPr>
              <w:t>产</w:t>
            </w:r>
            <w:r>
              <w:rPr>
                <w:rFonts w:hint="default" w:ascii="Times New Roman" w:hAnsi="Times New Roman" w:eastAsia="宋体" w:cs="Times New Roman"/>
                <w:color w:val="auto"/>
                <w:kern w:val="2"/>
                <w:sz w:val="24"/>
                <w:szCs w:val="24"/>
                <w:lang w:eastAsia="zh-CN"/>
              </w:rPr>
              <w:t>污</w:t>
            </w:r>
            <w:r>
              <w:rPr>
                <w:rFonts w:hint="default" w:ascii="Times New Roman" w:hAnsi="Times New Roman" w:eastAsia="宋体" w:cs="Times New Roman"/>
                <w:color w:val="auto"/>
                <w:kern w:val="2"/>
                <w:sz w:val="24"/>
                <w:szCs w:val="24"/>
              </w:rPr>
              <w:t>系数如下：</w:t>
            </w:r>
            <w:r>
              <w:rPr>
                <w:rFonts w:hint="default" w:ascii="Times New Roman" w:hAnsi="Times New Roman" w:eastAsia="宋体" w:cs="Times New Roman"/>
                <w:color w:val="auto"/>
                <w:kern w:val="2"/>
                <w:sz w:val="24"/>
                <w:szCs w:val="24"/>
                <w:lang w:eastAsia="zh-CN"/>
              </w:rPr>
              <w:t>废气量为</w:t>
            </w:r>
            <w:r>
              <w:rPr>
                <w:rFonts w:hint="default" w:ascii="Times New Roman" w:hAnsi="Times New Roman" w:eastAsia="宋体" w:cs="Times New Roman"/>
                <w:color w:val="auto"/>
                <w:kern w:val="2"/>
                <w:sz w:val="24"/>
                <w:szCs w:val="24"/>
                <w:lang w:val="en-US" w:eastAsia="zh-CN"/>
              </w:rPr>
              <w:t>4635</w:t>
            </w:r>
            <w:r>
              <w:rPr>
                <w:rFonts w:hint="default" w:ascii="Times New Roman" w:hAnsi="Times New Roman" w:eastAsia="宋体" w:cs="Times New Roman"/>
                <w:color w:val="auto"/>
                <w:kern w:val="2"/>
                <w:sz w:val="24"/>
                <w:szCs w:val="24"/>
                <w:lang w:eastAsia="zh-CN"/>
              </w:rPr>
              <w:t>立方米</w:t>
            </w:r>
            <w:r>
              <w:rPr>
                <w:rFonts w:hint="default" w:ascii="Times New Roman" w:hAnsi="Times New Roman" w:eastAsia="宋体" w:cs="Times New Roman"/>
                <w:color w:val="auto"/>
                <w:kern w:val="2"/>
                <w:sz w:val="24"/>
                <w:szCs w:val="24"/>
              </w:rPr>
              <w:t>/</w:t>
            </w:r>
            <w:r>
              <w:rPr>
                <w:rFonts w:hint="default" w:ascii="Times New Roman" w:hAnsi="Times New Roman" w:eastAsia="宋体" w:cs="Times New Roman"/>
                <w:color w:val="auto"/>
                <w:kern w:val="2"/>
                <w:sz w:val="24"/>
                <w:szCs w:val="24"/>
                <w:lang w:eastAsia="zh-CN"/>
              </w:rPr>
              <w:t>吨</w:t>
            </w:r>
            <w:r>
              <w:rPr>
                <w:rFonts w:hint="default" w:ascii="Times New Roman" w:hAnsi="Times New Roman" w:eastAsia="宋体" w:cs="Times New Roman"/>
                <w:color w:val="auto"/>
                <w:kern w:val="2"/>
                <w:sz w:val="24"/>
                <w:szCs w:val="24"/>
                <w:lang w:val="en-US" w:eastAsia="zh-CN"/>
              </w:rPr>
              <w:t>-原料，颗粒物为5.30</w:t>
            </w:r>
            <w:r>
              <w:rPr>
                <w:rFonts w:hint="default" w:ascii="Times New Roman" w:hAnsi="Times New Roman" w:eastAsia="宋体" w:cs="Times New Roman"/>
                <w:color w:val="auto"/>
                <w:kern w:val="2"/>
                <w:sz w:val="24"/>
                <w:szCs w:val="24"/>
              </w:rPr>
              <w:t>千克/</w:t>
            </w:r>
            <w:r>
              <w:rPr>
                <w:rFonts w:hint="default" w:ascii="Times New Roman" w:hAnsi="Times New Roman" w:eastAsia="宋体" w:cs="Times New Roman"/>
                <w:color w:val="auto"/>
                <w:kern w:val="2"/>
                <w:sz w:val="24"/>
                <w:szCs w:val="24"/>
                <w:lang w:eastAsia="zh-CN"/>
              </w:rPr>
              <w:t>吨</w:t>
            </w:r>
            <w:r>
              <w:rPr>
                <w:rFonts w:hint="default" w:ascii="Times New Roman" w:hAnsi="Times New Roman" w:eastAsia="宋体" w:cs="Times New Roman"/>
                <w:color w:val="auto"/>
                <w:kern w:val="2"/>
                <w:sz w:val="24"/>
                <w:szCs w:val="24"/>
                <w:lang w:val="en-US" w:eastAsia="zh-CN"/>
              </w:rPr>
              <w:t>-原料。</w:t>
            </w:r>
            <w:r>
              <w:rPr>
                <w:rFonts w:hint="default" w:ascii="Times New Roman" w:hAnsi="Times New Roman" w:cs="Times New Roman"/>
                <w:color w:val="auto"/>
                <w:sz w:val="24"/>
                <w:szCs w:val="24"/>
                <w:lang w:val="en-US" w:eastAsia="zh-CN"/>
              </w:rPr>
              <w:t>本项目约</w:t>
            </w:r>
            <w:r>
              <w:rPr>
                <w:rFonts w:hint="eastAsia" w:cs="Times New Roman"/>
                <w:color w:val="auto"/>
                <w:sz w:val="24"/>
                <w:szCs w:val="24"/>
                <w:lang w:val="en-US" w:eastAsia="zh-CN"/>
              </w:rPr>
              <w:t>1983t</w:t>
            </w:r>
            <w:r>
              <w:rPr>
                <w:rFonts w:hint="default" w:ascii="Times New Roman" w:hAnsi="Times New Roman" w:cs="Times New Roman"/>
                <w:color w:val="auto"/>
                <w:sz w:val="24"/>
                <w:szCs w:val="24"/>
                <w:lang w:val="en-US" w:eastAsia="zh-CN"/>
              </w:rPr>
              <w:t>的</w:t>
            </w:r>
            <w:r>
              <w:rPr>
                <w:rFonts w:hint="eastAsia" w:cs="Times New Roman"/>
                <w:color w:val="auto"/>
                <w:sz w:val="24"/>
                <w:szCs w:val="24"/>
                <w:lang w:val="en-US" w:eastAsia="zh-CN"/>
              </w:rPr>
              <w:t>钢材</w:t>
            </w:r>
            <w:r>
              <w:rPr>
                <w:rFonts w:hint="default" w:ascii="Times New Roman" w:hAnsi="Times New Roman" w:cs="Times New Roman"/>
                <w:color w:val="auto"/>
                <w:sz w:val="24"/>
                <w:szCs w:val="24"/>
                <w:lang w:val="en-US" w:eastAsia="zh-CN"/>
              </w:rPr>
              <w:t>需</w:t>
            </w:r>
            <w:r>
              <w:rPr>
                <w:rFonts w:hint="eastAsia" w:cs="Times New Roman"/>
                <w:color w:val="auto"/>
                <w:sz w:val="24"/>
                <w:szCs w:val="24"/>
                <w:lang w:val="en-US" w:eastAsia="zh-CN"/>
              </w:rPr>
              <w:t>激光</w:t>
            </w:r>
            <w:r>
              <w:rPr>
                <w:rFonts w:hint="default" w:ascii="Times New Roman" w:hAnsi="Times New Roman" w:cs="Times New Roman"/>
                <w:color w:val="auto"/>
                <w:sz w:val="24"/>
                <w:szCs w:val="24"/>
                <w:lang w:val="en-US" w:eastAsia="zh-CN"/>
              </w:rPr>
              <w:t>切割下料</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经核算</w:t>
            </w:r>
            <w:r>
              <w:rPr>
                <w:rFonts w:hint="eastAsia" w:cs="Times New Roman"/>
                <w:color w:val="auto"/>
                <w:sz w:val="24"/>
                <w:szCs w:val="24"/>
                <w:lang w:val="en-US" w:eastAsia="zh-CN"/>
              </w:rPr>
              <w:t>锯床</w:t>
            </w:r>
            <w:r>
              <w:rPr>
                <w:rFonts w:hint="default" w:ascii="Times New Roman" w:hAnsi="Times New Roman" w:cs="Times New Roman"/>
                <w:color w:val="auto"/>
                <w:sz w:val="24"/>
                <w:szCs w:val="24"/>
                <w:lang w:val="en-US" w:eastAsia="zh-CN"/>
              </w:rPr>
              <w:t>切割下料工序产生的废气量为</w:t>
            </w:r>
            <w:r>
              <w:rPr>
                <w:rFonts w:hint="eastAsia" w:cs="Times New Roman"/>
                <w:color w:val="auto"/>
                <w:sz w:val="24"/>
                <w:szCs w:val="24"/>
                <w:lang w:val="en-US" w:eastAsia="zh-CN"/>
              </w:rPr>
              <w:t>919.12</w:t>
            </w:r>
            <w:r>
              <w:rPr>
                <w:rFonts w:hint="default" w:ascii="Times New Roman" w:hAnsi="Times New Roman" w:cs="Times New Roman"/>
                <w:color w:val="auto"/>
                <w:sz w:val="24"/>
                <w:szCs w:val="24"/>
                <w:lang w:val="en-US" w:eastAsia="zh-CN"/>
              </w:rPr>
              <w:t>万m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/a（3</w:t>
            </w:r>
            <w:r>
              <w:rPr>
                <w:rFonts w:hint="eastAsia" w:cs="Times New Roman"/>
                <w:color w:val="auto"/>
                <w:sz w:val="24"/>
                <w:szCs w:val="24"/>
                <w:lang w:val="en-US" w:eastAsia="zh-CN"/>
              </w:rPr>
              <w:t>481.52</w:t>
            </w:r>
            <w:r>
              <w:rPr>
                <w:rFonts w:hint="default" w:ascii="Times New Roman" w:hAnsi="Times New Roman" w:cs="Times New Roman"/>
                <w:color w:val="auto"/>
                <w:sz w:val="24"/>
                <w:szCs w:val="24"/>
                <w:lang w:val="en-US" w:eastAsia="zh-CN"/>
              </w:rPr>
              <w:t>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/h），</w:t>
            </w:r>
            <w:r>
              <w:rPr>
                <w:rFonts w:hint="eastAsia" w:cs="Times New Roman"/>
                <w:color w:val="auto"/>
                <w:sz w:val="24"/>
                <w:szCs w:val="24"/>
                <w:lang w:val="en-US" w:eastAsia="zh-CN"/>
              </w:rPr>
              <w:t>颗粒物</w:t>
            </w:r>
            <w:r>
              <w:rPr>
                <w:rFonts w:hint="default" w:ascii="Times New Roman" w:hAnsi="Times New Roman" w:cs="Times New Roman"/>
                <w:color w:val="auto"/>
                <w:sz w:val="24"/>
                <w:szCs w:val="24"/>
                <w:lang w:val="en-US" w:eastAsia="zh-CN"/>
              </w:rPr>
              <w:t>总产生量为</w:t>
            </w:r>
            <w:r>
              <w:rPr>
                <w:rFonts w:hint="eastAsia" w:cs="Times New Roman"/>
                <w:color w:val="auto"/>
                <w:sz w:val="24"/>
                <w:szCs w:val="24"/>
                <w:lang w:val="en-US" w:eastAsia="zh-CN"/>
              </w:rPr>
              <w:t>10.51</w:t>
            </w:r>
            <w:r>
              <w:rPr>
                <w:rFonts w:hint="default" w:ascii="Times New Roman" w:hAnsi="Times New Roman" w:cs="Times New Roman"/>
                <w:color w:val="auto"/>
                <w:sz w:val="24"/>
                <w:szCs w:val="24"/>
                <w:lang w:val="en-US" w:eastAsia="zh-CN"/>
              </w:rPr>
              <w:t>t/a。根据企业提供数据，锯床切割年工作时间</w:t>
            </w:r>
            <w:r>
              <w:rPr>
                <w:rFonts w:hint="eastAsia" w:cs="Times New Roman"/>
                <w:color w:val="auto"/>
                <w:sz w:val="24"/>
                <w:szCs w:val="24"/>
                <w:lang w:val="en-US" w:eastAsia="zh-CN"/>
              </w:rPr>
              <w:t>330</w:t>
            </w:r>
            <w:r>
              <w:rPr>
                <w:rFonts w:hint="default" w:ascii="Times New Roman" w:hAnsi="Times New Roman" w:cs="Times New Roman"/>
                <w:color w:val="auto"/>
                <w:sz w:val="24"/>
                <w:szCs w:val="24"/>
                <w:lang w:val="en-US" w:eastAsia="zh-CN"/>
              </w:rPr>
              <w:t>d，每天工作</w:t>
            </w:r>
            <w:r>
              <w:rPr>
                <w:rFonts w:hint="eastAsia" w:cs="Times New Roman"/>
                <w:color w:val="auto"/>
                <w:sz w:val="24"/>
                <w:szCs w:val="24"/>
                <w:lang w:val="en-US" w:eastAsia="zh-CN"/>
              </w:rPr>
              <w:t>8</w:t>
            </w:r>
            <w:r>
              <w:rPr>
                <w:rFonts w:hint="default" w:ascii="Times New Roman" w:hAnsi="Times New Roman" w:cs="Times New Roman"/>
                <w:color w:val="auto"/>
                <w:sz w:val="24"/>
                <w:szCs w:val="24"/>
                <w:lang w:val="en-US" w:eastAsia="zh-CN"/>
              </w:rPr>
              <w:t>h，烟尘产生速率为</w:t>
            </w:r>
            <w:r>
              <w:rPr>
                <w:rFonts w:hint="eastAsia" w:cs="Times New Roman"/>
                <w:color w:val="auto"/>
                <w:sz w:val="24"/>
                <w:szCs w:val="24"/>
                <w:lang w:val="en-US" w:eastAsia="zh-CN"/>
              </w:rPr>
              <w:t>3.981</w:t>
            </w:r>
            <w:r>
              <w:rPr>
                <w:rFonts w:hint="default" w:ascii="Times New Roman" w:hAnsi="Times New Roman" w:cs="Times New Roman"/>
                <w:color w:val="auto"/>
                <w:sz w:val="24"/>
                <w:szCs w:val="24"/>
                <w:lang w:val="en-US" w:eastAsia="zh-CN"/>
              </w:rPr>
              <w:t>kg/h。</w:t>
            </w:r>
          </w:p>
          <w:p w14:paraId="181B05A7">
            <w:pPr>
              <w:keepNext w:val="0"/>
              <w:keepLines w:val="0"/>
              <w:pageBreakBefore w:val="0"/>
              <w:widowControl w:val="0"/>
              <w:kinsoku/>
              <w:wordWrap/>
              <w:overflowPunct/>
              <w:topLinePunct w:val="0"/>
              <w:autoSpaceDE/>
              <w:autoSpaceDN/>
              <w:bidi w:val="0"/>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2）收集方式</w:t>
            </w:r>
          </w:p>
          <w:p w14:paraId="2B114D9E">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本项目切割下料</w:t>
            </w:r>
            <w:r>
              <w:rPr>
                <w:rFonts w:hint="eastAsia" w:cs="Times New Roman"/>
                <w:color w:val="auto"/>
                <w:sz w:val="24"/>
                <w:szCs w:val="24"/>
                <w:lang w:val="en-US" w:eastAsia="zh-CN"/>
              </w:rPr>
              <w:t>为大尺寸工件，</w:t>
            </w:r>
            <w:r>
              <w:rPr>
                <w:rFonts w:hint="default" w:ascii="Times New Roman" w:hAnsi="Times New Roman" w:cs="Times New Roman"/>
                <w:color w:val="auto"/>
                <w:sz w:val="24"/>
                <w:szCs w:val="24"/>
                <w:lang w:val="en-US" w:eastAsia="zh-CN"/>
              </w:rPr>
              <w:t>过程产生的粉尘为金属粉尘，</w:t>
            </w:r>
            <w:r>
              <w:rPr>
                <w:rFonts w:hint="eastAsia" w:cs="Times New Roman"/>
                <w:color w:val="auto"/>
                <w:sz w:val="24"/>
                <w:szCs w:val="24"/>
                <w:lang w:val="en-US" w:eastAsia="zh-CN"/>
              </w:rPr>
              <w:t>考虑设备的操作性，</w:t>
            </w:r>
            <w:r>
              <w:rPr>
                <w:rFonts w:hint="default" w:ascii="Times New Roman" w:hAnsi="Times New Roman" w:cs="Times New Roman"/>
                <w:color w:val="auto"/>
                <w:sz w:val="24"/>
                <w:szCs w:val="24"/>
                <w:lang w:val="en-US" w:eastAsia="zh-CN"/>
              </w:rPr>
              <w:t>故该工序粉尘</w:t>
            </w:r>
            <w:r>
              <w:rPr>
                <w:rFonts w:hint="eastAsia" w:cs="Times New Roman"/>
                <w:color w:val="auto"/>
                <w:sz w:val="24"/>
                <w:szCs w:val="24"/>
                <w:lang w:val="en-US" w:eastAsia="zh-CN"/>
              </w:rPr>
              <w:t>采用移动式袋式除尘器</w:t>
            </w:r>
            <w:r>
              <w:rPr>
                <w:rFonts w:hint="default" w:ascii="Times New Roman" w:hAnsi="Times New Roman" w:cs="Times New Roman"/>
                <w:color w:val="auto"/>
                <w:sz w:val="24"/>
                <w:szCs w:val="24"/>
                <w:lang w:val="en-US" w:eastAsia="zh-CN"/>
              </w:rPr>
              <w:t>处理</w:t>
            </w:r>
            <w:r>
              <w:rPr>
                <w:rFonts w:hint="eastAsia" w:cs="Times New Roman"/>
                <w:color w:val="auto"/>
                <w:sz w:val="24"/>
                <w:szCs w:val="24"/>
                <w:lang w:val="en-US" w:eastAsia="zh-CN"/>
              </w:rPr>
              <w:t>切割粉尘</w:t>
            </w:r>
            <w:r>
              <w:rPr>
                <w:rFonts w:hint="default" w:ascii="Times New Roman" w:hAnsi="Times New Roman" w:cs="Times New Roman"/>
                <w:color w:val="auto"/>
                <w:sz w:val="24"/>
                <w:szCs w:val="24"/>
                <w:lang w:val="en-US" w:eastAsia="zh-CN"/>
              </w:rPr>
              <w:t>。移动式袋式除尘器直接从</w:t>
            </w:r>
            <w:r>
              <w:rPr>
                <w:rFonts w:hint="eastAsia" w:cs="Times New Roman"/>
                <w:color w:val="auto"/>
                <w:sz w:val="24"/>
                <w:szCs w:val="24"/>
                <w:lang w:val="en-US" w:eastAsia="zh-CN"/>
              </w:rPr>
              <w:t>切割</w:t>
            </w:r>
            <w:r>
              <w:rPr>
                <w:rFonts w:hint="default" w:ascii="Times New Roman" w:hAnsi="Times New Roman" w:cs="Times New Roman"/>
                <w:color w:val="auto"/>
                <w:sz w:val="24"/>
                <w:szCs w:val="24"/>
                <w:lang w:val="en-US" w:eastAsia="zh-CN"/>
              </w:rPr>
              <w:t>工作点附近搜集烟气，将</w:t>
            </w:r>
            <w:r>
              <w:rPr>
                <w:rFonts w:hint="eastAsia" w:cs="Times New Roman"/>
                <w:color w:val="auto"/>
                <w:sz w:val="24"/>
                <w:szCs w:val="24"/>
                <w:lang w:val="en-US" w:eastAsia="zh-CN"/>
              </w:rPr>
              <w:t>切割粉尘</w:t>
            </w:r>
            <w:r>
              <w:rPr>
                <w:rFonts w:hint="default" w:ascii="Times New Roman" w:hAnsi="Times New Roman" w:cs="Times New Roman"/>
                <w:color w:val="auto"/>
                <w:sz w:val="24"/>
                <w:szCs w:val="24"/>
                <w:lang w:val="en-US" w:eastAsia="zh-CN"/>
              </w:rPr>
              <w:t>经吸气罩收集（收集率为80%），收集量为</w:t>
            </w:r>
            <w:r>
              <w:rPr>
                <w:rFonts w:hint="eastAsia" w:cs="Times New Roman"/>
                <w:color w:val="auto"/>
                <w:sz w:val="24"/>
                <w:szCs w:val="24"/>
                <w:lang w:val="en-US" w:eastAsia="zh-CN"/>
              </w:rPr>
              <w:t>8.408</w:t>
            </w:r>
            <w:r>
              <w:rPr>
                <w:rFonts w:hint="default" w:ascii="Times New Roman" w:hAnsi="Times New Roman" w:cs="Times New Roman"/>
                <w:color w:val="auto"/>
                <w:sz w:val="24"/>
                <w:szCs w:val="24"/>
                <w:lang w:val="en-US" w:eastAsia="zh-CN"/>
              </w:rPr>
              <w:t>t/a，</w:t>
            </w:r>
            <w:r>
              <w:rPr>
                <w:rFonts w:hint="eastAsia" w:cs="Times New Roman"/>
                <w:color w:val="auto"/>
                <w:sz w:val="24"/>
                <w:szCs w:val="24"/>
                <w:lang w:val="en-US" w:eastAsia="zh-CN"/>
              </w:rPr>
              <w:t>未收集的为2.102</w:t>
            </w:r>
            <w:r>
              <w:rPr>
                <w:rFonts w:hint="default" w:ascii="Times New Roman" w:hAnsi="Times New Roman" w:cs="Times New Roman"/>
                <w:color w:val="auto"/>
                <w:sz w:val="24"/>
                <w:szCs w:val="24"/>
                <w:lang w:val="en-US" w:eastAsia="zh-CN"/>
              </w:rPr>
              <w:t>t/a</w:t>
            </w:r>
            <w:r>
              <w:rPr>
                <w:rFonts w:hint="eastAsia" w:cs="Times New Roman"/>
                <w:color w:val="auto"/>
                <w:sz w:val="24"/>
                <w:szCs w:val="24"/>
                <w:lang w:val="en-US" w:eastAsia="zh-CN"/>
              </w:rPr>
              <w:t>通过自然沉降到车间地面，定期清扫</w:t>
            </w:r>
            <w:r>
              <w:rPr>
                <w:rFonts w:hint="default" w:ascii="Times New Roman" w:hAnsi="Times New Roman" w:cs="Times New Roman"/>
                <w:color w:val="auto"/>
                <w:sz w:val="24"/>
                <w:szCs w:val="24"/>
                <w:lang w:val="en-US" w:eastAsia="zh-CN"/>
              </w:rPr>
              <w:t>。</w:t>
            </w:r>
          </w:p>
          <w:p w14:paraId="2F4D28D3">
            <w:pPr>
              <w:bidi w:val="0"/>
              <w:rPr>
                <w:rFonts w:hint="eastAsia" w:cs="Times New Roman"/>
                <w:color w:val="auto"/>
                <w:sz w:val="24"/>
                <w:szCs w:val="24"/>
                <w:lang w:val="en-US" w:eastAsia="zh-CN"/>
              </w:rPr>
            </w:pPr>
            <w:r>
              <w:rPr>
                <w:rFonts w:hint="eastAsia" w:cs="Times New Roman"/>
                <w:b/>
                <w:bCs/>
                <w:color w:val="auto"/>
                <w:sz w:val="24"/>
                <w:szCs w:val="24"/>
                <w:lang w:val="en-US" w:eastAsia="zh-CN"/>
              </w:rPr>
              <w:t>3）</w:t>
            </w:r>
            <w:r>
              <w:rPr>
                <w:rFonts w:hint="eastAsia" w:cs="Times New Roman"/>
                <w:b/>
                <w:color w:val="auto"/>
                <w:sz w:val="24"/>
                <w:szCs w:val="24"/>
                <w:lang w:val="en-US" w:eastAsia="zh-CN"/>
              </w:rPr>
              <w:t>处理</w:t>
            </w:r>
            <w:r>
              <w:rPr>
                <w:rFonts w:hint="default" w:ascii="Times New Roman" w:hAnsi="Times New Roman" w:cs="Times New Roman"/>
                <w:b/>
                <w:color w:val="auto"/>
                <w:sz w:val="24"/>
                <w:szCs w:val="24"/>
              </w:rPr>
              <w:t>可行性分析：</w:t>
            </w:r>
          </w:p>
          <w:p w14:paraId="5AB35398">
            <w:pPr>
              <w:bidi w:val="0"/>
              <w:rPr>
                <w:rFonts w:hint="default" w:ascii="Times New Roman" w:hAnsi="Times New Roman" w:cs="Times New Roman" w:eastAsiaTheme="minorEastAsia"/>
                <w:color w:val="auto"/>
                <w:kern w:val="0"/>
                <w:sz w:val="24"/>
                <w:szCs w:val="24"/>
              </w:rPr>
            </w:pPr>
            <w:r>
              <w:rPr>
                <w:rFonts w:hint="eastAsia" w:cs="Times New Roman"/>
                <w:b/>
                <w:color w:val="auto"/>
                <w:sz w:val="24"/>
                <w:szCs w:val="24"/>
                <w:lang w:val="en-US" w:eastAsia="zh-CN"/>
              </w:rPr>
              <w:t>①处理方式可行性：</w:t>
            </w:r>
            <w:r>
              <w:rPr>
                <w:rFonts w:hint="default" w:ascii="Times New Roman" w:hAnsi="Times New Roman" w:cs="Times New Roman"/>
                <w:b w:val="0"/>
                <w:bCs w:val="0"/>
                <w:color w:val="auto"/>
                <w:sz w:val="24"/>
                <w:szCs w:val="24"/>
                <w:lang w:val="en-US" w:eastAsia="zh-CN"/>
              </w:rPr>
              <w:t>根据《排放源统计调查产排污核算方法和系数手册》中</w:t>
            </w:r>
            <w:r>
              <w:rPr>
                <w:rFonts w:hint="default" w:ascii="Times New Roman" w:hAnsi="Times New Roman" w:cs="Times New Roman"/>
                <w:b w:val="0"/>
                <w:bCs w:val="0"/>
                <w:color w:val="auto"/>
                <w:spacing w:val="-3"/>
                <w:sz w:val="24"/>
                <w:szCs w:val="24"/>
                <w:highlight w:val="none"/>
                <w:lang w:val="en-US" w:eastAsia="zh-CN"/>
              </w:rPr>
              <w:t>《机械行业系数手册》0</w:t>
            </w:r>
            <w:r>
              <w:rPr>
                <w:rFonts w:hint="eastAsia" w:cs="Times New Roman"/>
                <w:color w:val="auto"/>
                <w:kern w:val="2"/>
                <w:sz w:val="24"/>
                <w:szCs w:val="24"/>
                <w:lang w:val="en-US" w:eastAsia="zh-CN"/>
              </w:rPr>
              <w:t>4下料</w:t>
            </w:r>
            <w:r>
              <w:rPr>
                <w:rFonts w:hint="default" w:ascii="Times New Roman" w:hAnsi="Times New Roman" w:eastAsia="宋体" w:cs="Times New Roman"/>
                <w:color w:val="auto"/>
                <w:kern w:val="2"/>
                <w:sz w:val="24"/>
                <w:szCs w:val="24"/>
              </w:rPr>
              <w:t>中</w:t>
            </w:r>
            <w:r>
              <w:rPr>
                <w:rFonts w:hint="default" w:ascii="Times New Roman" w:hAnsi="Times New Roman" w:eastAsia="宋体" w:cs="Times New Roman"/>
                <w:color w:val="auto"/>
                <w:kern w:val="2"/>
                <w:sz w:val="24"/>
                <w:szCs w:val="24"/>
                <w:lang w:eastAsia="zh-CN"/>
              </w:rPr>
              <w:t>的</w:t>
            </w:r>
            <w:r>
              <w:rPr>
                <w:rFonts w:hint="eastAsia" w:cs="Times New Roman"/>
                <w:color w:val="auto"/>
                <w:kern w:val="2"/>
                <w:sz w:val="24"/>
                <w:szCs w:val="24"/>
                <w:lang w:val="en-US" w:eastAsia="zh-CN"/>
              </w:rPr>
              <w:t>锯床切割</w:t>
            </w:r>
            <w:r>
              <w:rPr>
                <w:rFonts w:hint="default" w:ascii="Times New Roman" w:hAnsi="Times New Roman" w:cs="Times New Roman" w:eastAsiaTheme="minorEastAsia"/>
                <w:color w:val="auto"/>
                <w:kern w:val="2"/>
                <w:sz w:val="24"/>
                <w:szCs w:val="24"/>
                <w:lang w:eastAsia="zh-CN"/>
              </w:rPr>
              <w:t>，袋式除尘</w:t>
            </w:r>
            <w:r>
              <w:rPr>
                <w:rFonts w:hint="default" w:ascii="Times New Roman" w:hAnsi="Times New Roman" w:cs="Times New Roman" w:eastAsiaTheme="minorEastAsia"/>
                <w:color w:val="auto"/>
                <w:kern w:val="2"/>
                <w:sz w:val="24"/>
                <w:szCs w:val="24"/>
              </w:rPr>
              <w:t>属于废气可行技术参考表中可行技术</w:t>
            </w:r>
            <w:r>
              <w:rPr>
                <w:rFonts w:hint="default" w:ascii="Times New Roman" w:hAnsi="Times New Roman" w:cs="Times New Roman" w:eastAsiaTheme="minorEastAsia"/>
                <w:color w:val="auto"/>
                <w:kern w:val="2"/>
                <w:sz w:val="24"/>
                <w:szCs w:val="24"/>
                <w:lang w:eastAsia="zh-CN"/>
              </w:rPr>
              <w:t>，</w:t>
            </w:r>
            <w:r>
              <w:rPr>
                <w:rFonts w:hint="default" w:ascii="Times New Roman" w:hAnsi="Times New Roman" w:cs="Times New Roman" w:eastAsiaTheme="minorEastAsia"/>
                <w:color w:val="auto"/>
                <w:kern w:val="0"/>
                <w:sz w:val="24"/>
                <w:szCs w:val="24"/>
              </w:rPr>
              <w:t>因此</w:t>
            </w:r>
            <w:r>
              <w:rPr>
                <w:rFonts w:hint="default" w:ascii="Times New Roman" w:hAnsi="Times New Roman" w:cs="Times New Roman" w:eastAsiaTheme="minorEastAsia"/>
                <w:color w:val="auto"/>
                <w:kern w:val="0"/>
                <w:sz w:val="24"/>
                <w:szCs w:val="24"/>
                <w:lang w:eastAsia="zh-CN"/>
              </w:rPr>
              <w:t>本项目</w:t>
            </w:r>
            <w:r>
              <w:rPr>
                <w:rFonts w:hint="eastAsia" w:cs="Times New Roman" w:eastAsiaTheme="minorEastAsia"/>
                <w:color w:val="auto"/>
                <w:kern w:val="0"/>
                <w:sz w:val="24"/>
                <w:szCs w:val="24"/>
                <w:lang w:val="en-US" w:eastAsia="zh-CN"/>
              </w:rPr>
              <w:t>锯床切割</w:t>
            </w:r>
            <w:r>
              <w:rPr>
                <w:rFonts w:hint="default" w:ascii="Times New Roman" w:hAnsi="Times New Roman" w:cs="Times New Roman" w:eastAsiaTheme="minorEastAsia"/>
                <w:color w:val="auto"/>
                <w:kern w:val="0"/>
                <w:sz w:val="24"/>
                <w:szCs w:val="24"/>
                <w:lang w:eastAsia="zh-CN"/>
              </w:rPr>
              <w:t>废气</w:t>
            </w:r>
            <w:r>
              <w:rPr>
                <w:rFonts w:hint="default" w:ascii="Times New Roman" w:hAnsi="Times New Roman" w:cs="Times New Roman" w:eastAsiaTheme="minorEastAsia"/>
                <w:color w:val="auto"/>
                <w:kern w:val="0"/>
                <w:sz w:val="24"/>
                <w:szCs w:val="24"/>
              </w:rPr>
              <w:t>污染防治措施技术可行。</w:t>
            </w:r>
          </w:p>
          <w:p w14:paraId="3CB79698">
            <w:pPr>
              <w:bidi w:val="0"/>
              <w:rPr>
                <w:rFonts w:hint="eastAsia" w:cs="Times New Roman" w:eastAsiaTheme="minorEastAsia"/>
                <w:b/>
                <w:bCs/>
                <w:color w:val="auto"/>
                <w:kern w:val="0"/>
                <w:sz w:val="24"/>
                <w:szCs w:val="24"/>
                <w:lang w:val="en-US" w:eastAsia="zh-CN"/>
              </w:rPr>
            </w:pPr>
            <w:r>
              <w:rPr>
                <w:rFonts w:hint="eastAsia" w:cs="Times New Roman"/>
                <w:b/>
                <w:color w:val="auto"/>
                <w:sz w:val="24"/>
                <w:szCs w:val="24"/>
                <w:lang w:val="en-US" w:eastAsia="zh-CN"/>
              </w:rPr>
              <w:t>②</w:t>
            </w:r>
            <w:r>
              <w:rPr>
                <w:rFonts w:hint="default"/>
                <w:b/>
                <w:bCs/>
                <w:color w:val="auto"/>
                <w:sz w:val="24"/>
                <w:szCs w:val="24"/>
              </w:rPr>
              <w:t>处理效率的确定：</w:t>
            </w:r>
            <w:r>
              <w:rPr>
                <w:rFonts w:hint="default" w:ascii="Times New Roman" w:hAnsi="Times New Roman" w:cs="Times New Roman"/>
                <w:color w:val="auto"/>
                <w:sz w:val="24"/>
                <w:szCs w:val="24"/>
                <w:lang w:val="en-US" w:eastAsia="zh-CN"/>
              </w:rPr>
              <w:t>根据</w:t>
            </w:r>
            <w:r>
              <w:rPr>
                <w:rFonts w:hint="default" w:ascii="Times New Roman" w:hAnsi="Times New Roman" w:eastAsia="宋体" w:cs="Times New Roman"/>
                <w:color w:val="auto"/>
                <w:kern w:val="2"/>
                <w:sz w:val="24"/>
                <w:szCs w:val="24"/>
              </w:rPr>
              <w:t>《排污源统计调查产排污核算方法和系数手册》（</w:t>
            </w:r>
            <w:r>
              <w:rPr>
                <w:rFonts w:hint="default" w:ascii="Times New Roman" w:hAnsi="Times New Roman" w:eastAsia="宋体" w:cs="Times New Roman"/>
                <w:color w:val="auto"/>
                <w:kern w:val="2"/>
                <w:sz w:val="24"/>
                <w:szCs w:val="24"/>
                <w:lang w:eastAsia="zh-CN"/>
              </w:rPr>
              <w:t>生态</w:t>
            </w:r>
            <w:r>
              <w:rPr>
                <w:rFonts w:hint="default" w:ascii="Times New Roman" w:hAnsi="Times New Roman" w:eastAsia="宋体" w:cs="Times New Roman"/>
                <w:color w:val="auto"/>
                <w:kern w:val="2"/>
                <w:sz w:val="24"/>
                <w:szCs w:val="24"/>
              </w:rPr>
              <w:t>环境部公告2021年第24号）</w:t>
            </w:r>
            <w:r>
              <w:rPr>
                <w:rFonts w:hint="default" w:ascii="Times New Roman" w:hAnsi="Times New Roman" w:cs="Times New Roman"/>
                <w:b w:val="0"/>
                <w:bCs w:val="0"/>
                <w:color w:val="auto"/>
                <w:spacing w:val="-3"/>
                <w:sz w:val="24"/>
                <w:szCs w:val="24"/>
                <w:highlight w:val="none"/>
                <w:lang w:val="en-US" w:eastAsia="zh-CN"/>
              </w:rPr>
              <w:t>《机械行业系数手册》</w:t>
            </w:r>
            <w:r>
              <w:rPr>
                <w:rFonts w:hint="default" w:ascii="Times New Roman" w:hAnsi="Times New Roman" w:cs="Times New Roman"/>
                <w:color w:val="auto"/>
                <w:kern w:val="2"/>
                <w:sz w:val="24"/>
                <w:szCs w:val="24"/>
                <w:lang w:val="en-US" w:eastAsia="zh-CN"/>
              </w:rPr>
              <w:t>中0</w:t>
            </w:r>
            <w:r>
              <w:rPr>
                <w:rFonts w:hint="eastAsia" w:cs="Times New Roman"/>
                <w:color w:val="auto"/>
                <w:kern w:val="2"/>
                <w:sz w:val="24"/>
                <w:szCs w:val="24"/>
                <w:lang w:val="en-US" w:eastAsia="zh-CN"/>
              </w:rPr>
              <w:t>4下料</w:t>
            </w:r>
            <w:r>
              <w:rPr>
                <w:rFonts w:hint="default" w:ascii="Times New Roman" w:hAnsi="Times New Roman" w:eastAsia="宋体" w:cs="Times New Roman"/>
                <w:color w:val="auto"/>
                <w:kern w:val="2"/>
                <w:sz w:val="24"/>
                <w:szCs w:val="24"/>
              </w:rPr>
              <w:t>中</w:t>
            </w:r>
            <w:r>
              <w:rPr>
                <w:rFonts w:hint="default" w:ascii="Times New Roman" w:hAnsi="Times New Roman" w:eastAsia="宋体" w:cs="Times New Roman"/>
                <w:color w:val="auto"/>
                <w:kern w:val="2"/>
                <w:sz w:val="24"/>
                <w:szCs w:val="24"/>
                <w:lang w:eastAsia="zh-CN"/>
              </w:rPr>
              <w:t>的</w:t>
            </w:r>
            <w:r>
              <w:rPr>
                <w:rFonts w:hint="eastAsia" w:cs="Times New Roman"/>
                <w:color w:val="auto"/>
                <w:kern w:val="2"/>
                <w:sz w:val="24"/>
                <w:szCs w:val="24"/>
                <w:lang w:eastAsia="zh-CN"/>
              </w:rPr>
              <w:t>锯床</w:t>
            </w:r>
            <w:r>
              <w:rPr>
                <w:rFonts w:hint="default" w:ascii="Times New Roman" w:hAnsi="Times New Roman" w:eastAsia="宋体" w:cs="Times New Roman"/>
                <w:color w:val="auto"/>
                <w:kern w:val="2"/>
                <w:sz w:val="24"/>
                <w:szCs w:val="24"/>
                <w:lang w:eastAsia="zh-CN"/>
              </w:rPr>
              <w:t>切割</w:t>
            </w:r>
            <w:r>
              <w:rPr>
                <w:rFonts w:hint="eastAsia" w:cs="Times New Roman"/>
                <w:color w:val="auto"/>
                <w:kern w:val="2"/>
                <w:sz w:val="24"/>
                <w:szCs w:val="24"/>
                <w:lang w:val="en-US" w:eastAsia="zh-CN"/>
              </w:rPr>
              <w:t>工序</w:t>
            </w:r>
            <w:r>
              <w:rPr>
                <w:rFonts w:hint="default" w:ascii="Times New Roman" w:hAnsi="Times New Roman" w:cs="Times New Roman"/>
                <w:color w:val="auto"/>
                <w:kern w:val="2"/>
                <w:sz w:val="24"/>
                <w:szCs w:val="24"/>
                <w:lang w:eastAsia="zh-CN"/>
              </w:rPr>
              <w:t>末端治理技术中</w:t>
            </w:r>
            <w:r>
              <w:rPr>
                <w:rFonts w:hint="default" w:ascii="Times New Roman" w:hAnsi="Times New Roman" w:cs="Times New Roman"/>
                <w:color w:val="auto"/>
                <w:sz w:val="24"/>
                <w:szCs w:val="24"/>
                <w:lang w:val="en-US" w:eastAsia="zh-CN"/>
              </w:rPr>
              <w:t>袋式除尘处理效率为95%</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处理后的</w:t>
            </w:r>
            <w:r>
              <w:rPr>
                <w:rFonts w:hint="eastAsia" w:cs="Times New Roman"/>
                <w:color w:val="auto"/>
                <w:sz w:val="24"/>
                <w:szCs w:val="24"/>
                <w:lang w:val="en-US" w:eastAsia="zh-CN"/>
              </w:rPr>
              <w:t>颗粒物</w:t>
            </w:r>
            <w:r>
              <w:rPr>
                <w:rFonts w:hint="default" w:ascii="Times New Roman" w:hAnsi="Times New Roman" w:cs="Times New Roman"/>
                <w:color w:val="auto"/>
                <w:sz w:val="24"/>
                <w:szCs w:val="24"/>
                <w:lang w:val="en-US" w:eastAsia="zh-CN"/>
              </w:rPr>
              <w:t>直接排放，</w:t>
            </w:r>
            <w:r>
              <w:rPr>
                <w:rFonts w:hint="eastAsia" w:cs="Times New Roman"/>
                <w:color w:val="auto"/>
                <w:sz w:val="24"/>
                <w:szCs w:val="24"/>
                <w:lang w:val="en-US" w:eastAsia="zh-CN"/>
              </w:rPr>
              <w:t>处理后的颗粒物</w:t>
            </w:r>
            <w:r>
              <w:rPr>
                <w:rFonts w:hint="default" w:ascii="Times New Roman" w:hAnsi="Times New Roman" w:cs="Times New Roman"/>
                <w:color w:val="auto"/>
                <w:sz w:val="24"/>
                <w:szCs w:val="24"/>
                <w:lang w:val="en-US" w:eastAsia="zh-CN"/>
              </w:rPr>
              <w:t>排放量为</w:t>
            </w:r>
            <w:r>
              <w:rPr>
                <w:rFonts w:hint="eastAsia" w:cs="Times New Roman"/>
                <w:color w:val="auto"/>
                <w:sz w:val="24"/>
                <w:szCs w:val="24"/>
                <w:lang w:val="en-US" w:eastAsia="zh-CN"/>
              </w:rPr>
              <w:t>0.4204</w:t>
            </w:r>
            <w:r>
              <w:rPr>
                <w:rFonts w:hint="default" w:ascii="Times New Roman" w:hAnsi="Times New Roman" w:cs="Times New Roman"/>
                <w:color w:val="auto"/>
                <w:sz w:val="24"/>
                <w:szCs w:val="24"/>
                <w:lang w:val="en-US" w:eastAsia="zh-CN"/>
              </w:rPr>
              <w:t>t/a。因此，</w:t>
            </w:r>
            <w:r>
              <w:rPr>
                <w:rFonts w:hint="eastAsia" w:cs="Times New Roman"/>
                <w:color w:val="auto"/>
                <w:sz w:val="24"/>
                <w:szCs w:val="24"/>
                <w:lang w:val="en-US" w:eastAsia="zh-CN"/>
              </w:rPr>
              <w:t>锯床切割颗粒物</w:t>
            </w:r>
            <w:r>
              <w:rPr>
                <w:rFonts w:hint="default" w:ascii="Times New Roman" w:hAnsi="Times New Roman" w:cs="Times New Roman"/>
                <w:color w:val="auto"/>
                <w:sz w:val="24"/>
                <w:szCs w:val="24"/>
                <w:lang w:val="en-US" w:eastAsia="zh-CN"/>
              </w:rPr>
              <w:t>无组织排放量为</w:t>
            </w:r>
            <w:r>
              <w:rPr>
                <w:rFonts w:hint="eastAsia" w:cs="Times New Roman"/>
                <w:color w:val="auto"/>
                <w:sz w:val="24"/>
                <w:szCs w:val="24"/>
                <w:lang w:val="en-US" w:eastAsia="zh-CN"/>
              </w:rPr>
              <w:t>2.5224</w:t>
            </w:r>
            <w:r>
              <w:rPr>
                <w:rFonts w:hint="default" w:ascii="Times New Roman" w:hAnsi="Times New Roman" w:cs="Times New Roman"/>
                <w:color w:val="auto"/>
                <w:sz w:val="24"/>
                <w:szCs w:val="24"/>
                <w:lang w:val="en-US" w:eastAsia="zh-CN"/>
              </w:rPr>
              <w:t>t/a</w:t>
            </w:r>
            <w:r>
              <w:rPr>
                <w:rFonts w:hint="eastAsia" w:cs="Times New Roman"/>
                <w:color w:val="auto"/>
                <w:sz w:val="24"/>
                <w:szCs w:val="24"/>
                <w:lang w:val="en-US" w:eastAsia="zh-CN"/>
              </w:rPr>
              <w:t>。</w:t>
            </w:r>
          </w:p>
          <w:p w14:paraId="08396F31">
            <w:pPr>
              <w:bidi w:val="0"/>
              <w:rPr>
                <w:rFonts w:hint="default" w:ascii="Times New Roman" w:hAnsi="Times New Roman" w:cs="Times New Roman" w:eastAsiaTheme="minorEastAsia"/>
                <w:b/>
                <w:bCs/>
                <w:color w:val="auto"/>
                <w:kern w:val="0"/>
                <w:sz w:val="24"/>
                <w:szCs w:val="24"/>
                <w:lang w:val="en-US" w:eastAsia="zh-CN"/>
              </w:rPr>
            </w:pPr>
            <w:r>
              <w:rPr>
                <w:rFonts w:hint="eastAsia" w:cs="Times New Roman" w:eastAsiaTheme="minorEastAsia"/>
                <w:b/>
                <w:bCs/>
                <w:color w:val="auto"/>
                <w:kern w:val="0"/>
                <w:sz w:val="24"/>
                <w:szCs w:val="24"/>
                <w:lang w:val="en-US" w:eastAsia="zh-CN"/>
              </w:rPr>
              <w:t>（3）焊接废气</w:t>
            </w:r>
          </w:p>
          <w:p w14:paraId="65A461EC">
            <w:pPr>
              <w:keepNext w:val="0"/>
              <w:keepLines w:val="0"/>
              <w:pageBreakBefore w:val="0"/>
              <w:widowControl w:val="0"/>
              <w:kinsoku/>
              <w:wordWrap/>
              <w:overflowPunct/>
              <w:topLinePunct w:val="0"/>
              <w:autoSpaceDE/>
              <w:autoSpaceDN/>
              <w:bidi w:val="0"/>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1）产生源强</w:t>
            </w:r>
          </w:p>
          <w:p w14:paraId="7D2463F9">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金属件焊接方式涉及手工电弧焊、二氧化碳保护焊和氩弧焊三种焊接方式，其中手工电弧焊265t原料，焊条为无铅焊条，二氧化碳保护焊和氩弧焊60t原料，</w:t>
            </w:r>
            <w:r>
              <w:rPr>
                <w:rFonts w:hint="default" w:ascii="Times New Roman" w:hAnsi="Times New Roman" w:cs="Times New Roman"/>
                <w:color w:val="auto"/>
                <w:sz w:val="24"/>
                <w:szCs w:val="24"/>
                <w:lang w:val="en-US" w:eastAsia="zh-CN"/>
              </w:rPr>
              <w:t>过程中产生</w:t>
            </w:r>
            <w:r>
              <w:rPr>
                <w:rFonts w:hint="eastAsia" w:cs="Times New Roman"/>
                <w:color w:val="auto"/>
                <w:sz w:val="24"/>
                <w:szCs w:val="24"/>
                <w:lang w:val="en-US" w:eastAsia="zh-CN"/>
              </w:rPr>
              <w:t>焊接颗粒物（含锡及其化合物、铜及其化合物），焊条/丝为无铅焊条和无铅实芯焊丝</w:t>
            </w:r>
            <w:r>
              <w:rPr>
                <w:rFonts w:hint="default" w:ascii="Times New Roman" w:hAnsi="Times New Roman" w:cs="Times New Roman"/>
                <w:color w:val="auto"/>
                <w:sz w:val="24"/>
                <w:szCs w:val="24"/>
                <w:lang w:val="en-US" w:eastAsia="zh-CN"/>
              </w:rPr>
              <w:t>。</w:t>
            </w:r>
          </w:p>
          <w:p w14:paraId="78FC0667">
            <w:pPr>
              <w:bidi w:val="0"/>
              <w:rPr>
                <w:rFonts w:hint="eastAsia" w:cs="Times New Roman"/>
                <w:b/>
                <w:bCs/>
                <w:color w:val="auto"/>
                <w:sz w:val="24"/>
                <w:szCs w:val="24"/>
                <w:lang w:val="en-US" w:eastAsia="zh-CN"/>
              </w:rPr>
            </w:pPr>
            <w:r>
              <w:rPr>
                <w:rFonts w:hint="eastAsia" w:cs="Times New Roman"/>
                <w:b/>
                <w:bCs/>
                <w:color w:val="auto"/>
                <w:sz w:val="24"/>
                <w:szCs w:val="24"/>
                <w:lang w:val="en-US" w:eastAsia="zh-CN"/>
              </w:rPr>
              <w:t>①手工电弧焊颗粒物</w:t>
            </w:r>
          </w:p>
          <w:p w14:paraId="408DA6CC">
            <w:pPr>
              <w:bidi w:val="0"/>
              <w:rPr>
                <w:rFonts w:hint="default" w:ascii="Times New Roman" w:hAnsi="Times New Roman" w:cs="Times New Roman"/>
                <w:color w:val="auto"/>
                <w:sz w:val="24"/>
                <w:szCs w:val="24"/>
                <w:lang w:val="en-US" w:eastAsia="zh-CN"/>
              </w:rPr>
            </w:pPr>
            <w:r>
              <w:rPr>
                <w:rFonts w:hint="eastAsia" w:cs="Times New Roman"/>
                <w:color w:val="auto"/>
                <w:kern w:val="2"/>
                <w:sz w:val="24"/>
                <w:szCs w:val="24"/>
                <w:lang w:val="en-US" w:eastAsia="zh-CN"/>
              </w:rPr>
              <w:t>颗粒物</w:t>
            </w:r>
            <w:r>
              <w:rPr>
                <w:rFonts w:hint="default" w:ascii="Times New Roman" w:hAnsi="Times New Roman" w:eastAsia="宋体" w:cs="Times New Roman"/>
                <w:color w:val="auto"/>
                <w:kern w:val="2"/>
                <w:sz w:val="24"/>
                <w:szCs w:val="24"/>
                <w:lang w:val="en-US" w:eastAsia="zh-CN"/>
              </w:rPr>
              <w:t>排放量参考</w:t>
            </w:r>
            <w:r>
              <w:rPr>
                <w:rFonts w:hint="default" w:ascii="Times New Roman" w:hAnsi="Times New Roman" w:eastAsia="宋体" w:cs="Times New Roman"/>
                <w:color w:val="auto"/>
                <w:kern w:val="2"/>
                <w:sz w:val="24"/>
                <w:szCs w:val="24"/>
              </w:rPr>
              <w:t>《排污源统计调查产排污核算方法和系数手册》（</w:t>
            </w:r>
            <w:r>
              <w:rPr>
                <w:rFonts w:hint="default" w:ascii="Times New Roman" w:hAnsi="Times New Roman" w:eastAsia="宋体" w:cs="Times New Roman"/>
                <w:color w:val="auto"/>
                <w:kern w:val="2"/>
                <w:sz w:val="24"/>
                <w:szCs w:val="24"/>
                <w:lang w:eastAsia="zh-CN"/>
              </w:rPr>
              <w:t>生态</w:t>
            </w:r>
            <w:r>
              <w:rPr>
                <w:rFonts w:hint="default" w:ascii="Times New Roman" w:hAnsi="Times New Roman" w:eastAsia="宋体" w:cs="Times New Roman"/>
                <w:color w:val="auto"/>
                <w:kern w:val="2"/>
                <w:sz w:val="24"/>
                <w:szCs w:val="24"/>
              </w:rPr>
              <w:t>环境部公告2021年第24号）</w:t>
            </w:r>
            <w:r>
              <w:rPr>
                <w:rFonts w:hint="default" w:ascii="Times New Roman" w:hAnsi="Times New Roman" w:cs="Times New Roman"/>
                <w:b w:val="0"/>
                <w:bCs w:val="0"/>
                <w:color w:val="auto"/>
                <w:spacing w:val="-3"/>
                <w:sz w:val="24"/>
                <w:szCs w:val="24"/>
                <w:highlight w:val="none"/>
                <w:lang w:val="en-US" w:eastAsia="zh-CN"/>
              </w:rPr>
              <w:t>《机械行业系数手册》</w:t>
            </w:r>
            <w:r>
              <w:rPr>
                <w:rFonts w:hint="default" w:ascii="Times New Roman" w:hAnsi="Times New Roman" w:cs="Times New Roman"/>
                <w:color w:val="auto"/>
                <w:kern w:val="2"/>
                <w:sz w:val="24"/>
                <w:szCs w:val="24"/>
                <w:lang w:val="en-US" w:eastAsia="zh-CN"/>
              </w:rPr>
              <w:t>09焊接</w:t>
            </w:r>
            <w:r>
              <w:rPr>
                <w:rFonts w:hint="default" w:ascii="Times New Roman" w:hAnsi="Times New Roman" w:eastAsia="宋体" w:cs="Times New Roman"/>
                <w:color w:val="auto"/>
                <w:kern w:val="2"/>
                <w:sz w:val="24"/>
                <w:szCs w:val="24"/>
              </w:rPr>
              <w:t>中</w:t>
            </w:r>
            <w:r>
              <w:rPr>
                <w:rFonts w:hint="default" w:ascii="Times New Roman" w:hAnsi="Times New Roman" w:eastAsia="宋体" w:cs="Times New Roman"/>
                <w:color w:val="auto"/>
                <w:kern w:val="2"/>
                <w:sz w:val="24"/>
                <w:szCs w:val="24"/>
                <w:lang w:eastAsia="zh-CN"/>
              </w:rPr>
              <w:t>的</w:t>
            </w:r>
            <w:r>
              <w:rPr>
                <w:rFonts w:hint="eastAsia" w:cs="Times New Roman"/>
                <w:color w:val="auto"/>
                <w:kern w:val="2"/>
                <w:sz w:val="24"/>
                <w:szCs w:val="24"/>
                <w:lang w:val="en-US" w:eastAsia="zh-CN"/>
              </w:rPr>
              <w:t>手工电弧焊，</w:t>
            </w:r>
            <w:r>
              <w:rPr>
                <w:rFonts w:hint="default" w:ascii="Times New Roman" w:hAnsi="Times New Roman" w:eastAsia="宋体" w:cs="Times New Roman"/>
                <w:color w:val="auto"/>
                <w:kern w:val="2"/>
                <w:sz w:val="24"/>
                <w:szCs w:val="24"/>
              </w:rPr>
              <w:t>产</w:t>
            </w:r>
            <w:r>
              <w:rPr>
                <w:rFonts w:hint="default" w:ascii="Times New Roman" w:hAnsi="Times New Roman" w:eastAsia="宋体" w:cs="Times New Roman"/>
                <w:color w:val="auto"/>
                <w:kern w:val="2"/>
                <w:sz w:val="24"/>
                <w:szCs w:val="24"/>
                <w:lang w:eastAsia="zh-CN"/>
              </w:rPr>
              <w:t>污</w:t>
            </w:r>
            <w:r>
              <w:rPr>
                <w:rFonts w:hint="default" w:ascii="Times New Roman" w:hAnsi="Times New Roman" w:eastAsia="宋体" w:cs="Times New Roman"/>
                <w:color w:val="auto"/>
                <w:kern w:val="2"/>
                <w:sz w:val="24"/>
                <w:szCs w:val="24"/>
              </w:rPr>
              <w:t>系数如下：</w:t>
            </w:r>
            <w:r>
              <w:rPr>
                <w:rFonts w:hint="default" w:ascii="Times New Roman" w:hAnsi="Times New Roman" w:eastAsia="宋体" w:cs="Times New Roman"/>
                <w:color w:val="auto"/>
                <w:kern w:val="2"/>
                <w:sz w:val="24"/>
                <w:szCs w:val="24"/>
                <w:lang w:val="en-US" w:eastAsia="zh-CN"/>
              </w:rPr>
              <w:t>颗粒物为</w:t>
            </w:r>
            <w:r>
              <w:rPr>
                <w:rFonts w:hint="eastAsia" w:cs="Times New Roman"/>
                <w:color w:val="auto"/>
                <w:kern w:val="2"/>
                <w:sz w:val="24"/>
                <w:szCs w:val="24"/>
                <w:lang w:val="en-US" w:eastAsia="zh-CN"/>
              </w:rPr>
              <w:t>20.2</w:t>
            </w:r>
            <w:r>
              <w:rPr>
                <w:rFonts w:hint="default" w:ascii="Times New Roman" w:hAnsi="Times New Roman" w:eastAsia="宋体" w:cs="Times New Roman"/>
                <w:color w:val="auto"/>
                <w:kern w:val="2"/>
                <w:sz w:val="24"/>
                <w:szCs w:val="24"/>
              </w:rPr>
              <w:t>千克/</w:t>
            </w:r>
            <w:r>
              <w:rPr>
                <w:rFonts w:hint="default" w:ascii="Times New Roman" w:hAnsi="Times New Roman" w:eastAsia="宋体" w:cs="Times New Roman"/>
                <w:color w:val="auto"/>
                <w:kern w:val="2"/>
                <w:sz w:val="24"/>
                <w:szCs w:val="24"/>
                <w:lang w:eastAsia="zh-CN"/>
              </w:rPr>
              <w:t>吨</w:t>
            </w:r>
            <w:r>
              <w:rPr>
                <w:rFonts w:hint="default" w:ascii="Times New Roman" w:hAnsi="Times New Roman" w:eastAsia="宋体" w:cs="Times New Roman"/>
                <w:color w:val="auto"/>
                <w:kern w:val="2"/>
                <w:sz w:val="24"/>
                <w:szCs w:val="24"/>
                <w:lang w:val="en-US" w:eastAsia="zh-CN"/>
              </w:rPr>
              <w:t>-原料。</w:t>
            </w: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手工电弧焊使用焊条为20t，</w:t>
            </w:r>
            <w:r>
              <w:rPr>
                <w:rFonts w:hint="default" w:ascii="Times New Roman" w:hAnsi="Times New Roman" w:cs="Times New Roman"/>
                <w:color w:val="auto"/>
                <w:sz w:val="24"/>
                <w:szCs w:val="24"/>
                <w:lang w:val="en-US" w:eastAsia="zh-CN"/>
              </w:rPr>
              <w:t>经核算</w:t>
            </w:r>
            <w:r>
              <w:rPr>
                <w:rFonts w:hint="eastAsia" w:cs="Times New Roman"/>
                <w:color w:val="auto"/>
                <w:sz w:val="24"/>
                <w:szCs w:val="24"/>
                <w:lang w:val="en-US" w:eastAsia="zh-CN"/>
              </w:rPr>
              <w:t>手工电弧焊</w:t>
            </w:r>
            <w:r>
              <w:rPr>
                <w:rFonts w:hint="default" w:ascii="Times New Roman" w:hAnsi="Times New Roman" w:cs="Times New Roman"/>
                <w:color w:val="auto"/>
                <w:sz w:val="24"/>
                <w:szCs w:val="24"/>
                <w:lang w:val="en-US" w:eastAsia="zh-CN"/>
              </w:rPr>
              <w:t>工序产生的</w:t>
            </w:r>
            <w:r>
              <w:rPr>
                <w:rFonts w:hint="eastAsia" w:cs="Times New Roman"/>
                <w:color w:val="auto"/>
                <w:sz w:val="24"/>
                <w:szCs w:val="24"/>
                <w:lang w:val="en-US" w:eastAsia="zh-CN"/>
              </w:rPr>
              <w:t>颗粒物</w:t>
            </w:r>
            <w:r>
              <w:rPr>
                <w:rFonts w:hint="default" w:ascii="Times New Roman" w:hAnsi="Times New Roman" w:cs="Times New Roman"/>
                <w:color w:val="auto"/>
                <w:sz w:val="24"/>
                <w:szCs w:val="24"/>
                <w:lang w:val="en-US" w:eastAsia="zh-CN"/>
              </w:rPr>
              <w:t>总产生量为</w:t>
            </w:r>
            <w:r>
              <w:rPr>
                <w:rFonts w:hint="eastAsia" w:cs="Times New Roman"/>
                <w:color w:val="auto"/>
                <w:sz w:val="24"/>
                <w:szCs w:val="24"/>
                <w:lang w:val="en-US" w:eastAsia="zh-CN"/>
              </w:rPr>
              <w:t>0.404</w:t>
            </w:r>
            <w:r>
              <w:rPr>
                <w:rFonts w:hint="default" w:ascii="Times New Roman" w:hAnsi="Times New Roman" w:cs="Times New Roman"/>
                <w:color w:val="auto"/>
                <w:sz w:val="24"/>
                <w:szCs w:val="24"/>
                <w:lang w:val="en-US" w:eastAsia="zh-CN"/>
              </w:rPr>
              <w:t>t/a。根据企业提供数据，</w:t>
            </w:r>
            <w:r>
              <w:rPr>
                <w:rFonts w:hint="eastAsia" w:cs="Times New Roman"/>
                <w:color w:val="auto"/>
                <w:sz w:val="24"/>
                <w:szCs w:val="24"/>
                <w:lang w:val="en-US" w:eastAsia="zh-CN"/>
              </w:rPr>
              <w:t>手工电弧焊</w:t>
            </w:r>
            <w:r>
              <w:rPr>
                <w:rFonts w:hint="default" w:ascii="Times New Roman" w:hAnsi="Times New Roman" w:cs="Times New Roman"/>
                <w:color w:val="auto"/>
                <w:sz w:val="24"/>
                <w:szCs w:val="24"/>
                <w:lang w:val="en-US" w:eastAsia="zh-CN"/>
              </w:rPr>
              <w:t>年工作时间3</w:t>
            </w:r>
            <w:r>
              <w:rPr>
                <w:rFonts w:hint="eastAsia" w:cs="Times New Roman"/>
                <w:color w:val="auto"/>
                <w:sz w:val="24"/>
                <w:szCs w:val="24"/>
                <w:lang w:val="en-US" w:eastAsia="zh-CN"/>
              </w:rPr>
              <w:t>3</w:t>
            </w:r>
            <w:r>
              <w:rPr>
                <w:rFonts w:hint="default" w:ascii="Times New Roman" w:hAnsi="Times New Roman" w:cs="Times New Roman"/>
                <w:color w:val="auto"/>
                <w:sz w:val="24"/>
                <w:szCs w:val="24"/>
                <w:lang w:val="en-US" w:eastAsia="zh-CN"/>
              </w:rPr>
              <w:t>0d，每天工作</w:t>
            </w:r>
            <w:r>
              <w:rPr>
                <w:rFonts w:hint="eastAsia" w:cs="Times New Roman"/>
                <w:color w:val="auto"/>
                <w:sz w:val="24"/>
                <w:szCs w:val="24"/>
                <w:lang w:val="en-US" w:eastAsia="zh-CN"/>
              </w:rPr>
              <w:t>8</w:t>
            </w:r>
            <w:r>
              <w:rPr>
                <w:rFonts w:hint="default" w:ascii="Times New Roman" w:hAnsi="Times New Roman" w:cs="Times New Roman"/>
                <w:color w:val="auto"/>
                <w:sz w:val="24"/>
                <w:szCs w:val="24"/>
                <w:lang w:val="en-US" w:eastAsia="zh-CN"/>
              </w:rPr>
              <w:t>h，烟尘产生速率为0.</w:t>
            </w:r>
            <w:r>
              <w:rPr>
                <w:rFonts w:hint="eastAsia" w:cs="Times New Roman"/>
                <w:color w:val="auto"/>
                <w:sz w:val="24"/>
                <w:szCs w:val="24"/>
                <w:lang w:val="en-US" w:eastAsia="zh-CN"/>
              </w:rPr>
              <w:t>153</w:t>
            </w:r>
            <w:r>
              <w:rPr>
                <w:rFonts w:hint="default" w:ascii="Times New Roman" w:hAnsi="Times New Roman" w:cs="Times New Roman"/>
                <w:color w:val="auto"/>
                <w:sz w:val="24"/>
                <w:szCs w:val="24"/>
                <w:lang w:val="en-US" w:eastAsia="zh-CN"/>
              </w:rPr>
              <w:t>kg/h。</w:t>
            </w:r>
          </w:p>
          <w:p w14:paraId="042D0998">
            <w:pPr>
              <w:bidi w:val="0"/>
              <w:rPr>
                <w:rFonts w:hint="eastAsia" w:cs="Times New Roman"/>
                <w:b/>
                <w:bCs/>
                <w:color w:val="auto"/>
                <w:sz w:val="24"/>
                <w:szCs w:val="24"/>
                <w:lang w:val="en-US" w:eastAsia="zh-CN"/>
              </w:rPr>
            </w:pPr>
            <w:r>
              <w:rPr>
                <w:rFonts w:hint="eastAsia" w:cs="Times New Roman"/>
                <w:b/>
                <w:bCs/>
                <w:color w:val="auto"/>
                <w:sz w:val="24"/>
                <w:szCs w:val="24"/>
                <w:lang w:val="en-US" w:eastAsia="zh-CN"/>
              </w:rPr>
              <w:t>②二氧化碳保护焊和氩弧焊</w:t>
            </w:r>
          </w:p>
          <w:p w14:paraId="5DE437EC">
            <w:pPr>
              <w:bidi w:val="0"/>
              <w:rPr>
                <w:rFonts w:hint="default" w:ascii="Times New Roman" w:hAnsi="Times New Roman" w:cs="Times New Roman"/>
                <w:color w:val="auto"/>
                <w:sz w:val="24"/>
                <w:szCs w:val="24"/>
                <w:lang w:val="en-US" w:eastAsia="zh-CN"/>
              </w:rPr>
            </w:pPr>
            <w:r>
              <w:rPr>
                <w:rFonts w:hint="eastAsia" w:cs="Times New Roman"/>
                <w:color w:val="auto"/>
                <w:kern w:val="2"/>
                <w:sz w:val="24"/>
                <w:szCs w:val="24"/>
                <w:lang w:val="en-US" w:eastAsia="zh-CN"/>
              </w:rPr>
              <w:t>颗粒物</w:t>
            </w:r>
            <w:r>
              <w:rPr>
                <w:rFonts w:hint="default" w:ascii="Times New Roman" w:hAnsi="Times New Roman" w:eastAsia="宋体" w:cs="Times New Roman"/>
                <w:color w:val="auto"/>
                <w:kern w:val="2"/>
                <w:sz w:val="24"/>
                <w:szCs w:val="24"/>
                <w:lang w:val="en-US" w:eastAsia="zh-CN"/>
              </w:rPr>
              <w:t>排放量参考</w:t>
            </w:r>
            <w:r>
              <w:rPr>
                <w:rFonts w:hint="default" w:ascii="Times New Roman" w:hAnsi="Times New Roman" w:eastAsia="宋体" w:cs="Times New Roman"/>
                <w:color w:val="auto"/>
                <w:kern w:val="2"/>
                <w:sz w:val="24"/>
                <w:szCs w:val="24"/>
              </w:rPr>
              <w:t>《排污源统计调查产排污核算方法和系数手册》（</w:t>
            </w:r>
            <w:r>
              <w:rPr>
                <w:rFonts w:hint="default" w:ascii="Times New Roman" w:hAnsi="Times New Roman" w:eastAsia="宋体" w:cs="Times New Roman"/>
                <w:color w:val="auto"/>
                <w:kern w:val="2"/>
                <w:sz w:val="24"/>
                <w:szCs w:val="24"/>
                <w:lang w:eastAsia="zh-CN"/>
              </w:rPr>
              <w:t>生态</w:t>
            </w:r>
            <w:r>
              <w:rPr>
                <w:rFonts w:hint="default" w:ascii="Times New Roman" w:hAnsi="Times New Roman" w:eastAsia="宋体" w:cs="Times New Roman"/>
                <w:color w:val="auto"/>
                <w:kern w:val="2"/>
                <w:sz w:val="24"/>
                <w:szCs w:val="24"/>
              </w:rPr>
              <w:t>环境部公告2021年第24号）</w:t>
            </w:r>
            <w:r>
              <w:rPr>
                <w:rFonts w:hint="default" w:ascii="Times New Roman" w:hAnsi="Times New Roman" w:cs="Times New Roman"/>
                <w:b w:val="0"/>
                <w:bCs w:val="0"/>
                <w:color w:val="auto"/>
                <w:spacing w:val="-3"/>
                <w:sz w:val="24"/>
                <w:szCs w:val="24"/>
                <w:highlight w:val="none"/>
                <w:lang w:val="en-US" w:eastAsia="zh-CN"/>
              </w:rPr>
              <w:t>《机械行业系数手册》</w:t>
            </w:r>
            <w:r>
              <w:rPr>
                <w:rFonts w:hint="default" w:ascii="Times New Roman" w:hAnsi="Times New Roman" w:cs="Times New Roman"/>
                <w:color w:val="auto"/>
                <w:kern w:val="2"/>
                <w:sz w:val="24"/>
                <w:szCs w:val="24"/>
                <w:lang w:val="en-US" w:eastAsia="zh-CN"/>
              </w:rPr>
              <w:t>09焊接</w:t>
            </w:r>
            <w:r>
              <w:rPr>
                <w:rFonts w:hint="default" w:ascii="Times New Roman" w:hAnsi="Times New Roman" w:eastAsia="宋体" w:cs="Times New Roman"/>
                <w:color w:val="auto"/>
                <w:kern w:val="2"/>
                <w:sz w:val="24"/>
                <w:szCs w:val="24"/>
              </w:rPr>
              <w:t>中</w:t>
            </w:r>
            <w:r>
              <w:rPr>
                <w:rFonts w:hint="default" w:ascii="Times New Roman" w:hAnsi="Times New Roman" w:eastAsia="宋体" w:cs="Times New Roman"/>
                <w:color w:val="auto"/>
                <w:kern w:val="2"/>
                <w:sz w:val="24"/>
                <w:szCs w:val="24"/>
                <w:lang w:eastAsia="zh-CN"/>
              </w:rPr>
              <w:t>的</w:t>
            </w:r>
            <w:r>
              <w:rPr>
                <w:rFonts w:hint="eastAsia" w:cs="Times New Roman"/>
                <w:color w:val="auto"/>
                <w:kern w:val="2"/>
                <w:sz w:val="24"/>
                <w:szCs w:val="24"/>
                <w:lang w:val="en-US" w:eastAsia="zh-CN"/>
              </w:rPr>
              <w:t>二氧化碳保护焊、氩弧焊，</w:t>
            </w:r>
            <w:r>
              <w:rPr>
                <w:rFonts w:hint="default" w:ascii="Times New Roman" w:hAnsi="Times New Roman" w:eastAsia="宋体" w:cs="Times New Roman"/>
                <w:color w:val="auto"/>
                <w:kern w:val="2"/>
                <w:sz w:val="24"/>
                <w:szCs w:val="24"/>
              </w:rPr>
              <w:t>产</w:t>
            </w:r>
            <w:r>
              <w:rPr>
                <w:rFonts w:hint="default" w:ascii="Times New Roman" w:hAnsi="Times New Roman" w:eastAsia="宋体" w:cs="Times New Roman"/>
                <w:color w:val="auto"/>
                <w:kern w:val="2"/>
                <w:sz w:val="24"/>
                <w:szCs w:val="24"/>
                <w:lang w:eastAsia="zh-CN"/>
              </w:rPr>
              <w:t>污</w:t>
            </w:r>
            <w:r>
              <w:rPr>
                <w:rFonts w:hint="default" w:ascii="Times New Roman" w:hAnsi="Times New Roman" w:eastAsia="宋体" w:cs="Times New Roman"/>
                <w:color w:val="auto"/>
                <w:kern w:val="2"/>
                <w:sz w:val="24"/>
                <w:szCs w:val="24"/>
              </w:rPr>
              <w:t>系数如下：</w:t>
            </w:r>
            <w:r>
              <w:rPr>
                <w:rFonts w:hint="default" w:ascii="Times New Roman" w:hAnsi="Times New Roman" w:eastAsia="宋体" w:cs="Times New Roman"/>
                <w:color w:val="auto"/>
                <w:kern w:val="2"/>
                <w:sz w:val="24"/>
                <w:szCs w:val="24"/>
                <w:lang w:val="en-US" w:eastAsia="zh-CN"/>
              </w:rPr>
              <w:t>颗粒物为</w:t>
            </w:r>
            <w:r>
              <w:rPr>
                <w:rFonts w:hint="eastAsia" w:cs="Times New Roman"/>
                <w:color w:val="auto"/>
                <w:kern w:val="2"/>
                <w:sz w:val="24"/>
                <w:szCs w:val="24"/>
                <w:lang w:val="en-US" w:eastAsia="zh-CN"/>
              </w:rPr>
              <w:t>9.19</w:t>
            </w:r>
            <w:r>
              <w:rPr>
                <w:rFonts w:hint="default" w:ascii="Times New Roman" w:hAnsi="Times New Roman" w:eastAsia="宋体" w:cs="Times New Roman"/>
                <w:color w:val="auto"/>
                <w:kern w:val="2"/>
                <w:sz w:val="24"/>
                <w:szCs w:val="24"/>
              </w:rPr>
              <w:t>千克/</w:t>
            </w:r>
            <w:r>
              <w:rPr>
                <w:rFonts w:hint="default" w:ascii="Times New Roman" w:hAnsi="Times New Roman" w:eastAsia="宋体" w:cs="Times New Roman"/>
                <w:color w:val="auto"/>
                <w:kern w:val="2"/>
                <w:sz w:val="24"/>
                <w:szCs w:val="24"/>
                <w:lang w:eastAsia="zh-CN"/>
              </w:rPr>
              <w:t>吨</w:t>
            </w:r>
            <w:r>
              <w:rPr>
                <w:rFonts w:hint="default" w:ascii="Times New Roman" w:hAnsi="Times New Roman" w:eastAsia="宋体" w:cs="Times New Roman"/>
                <w:color w:val="auto"/>
                <w:kern w:val="2"/>
                <w:sz w:val="24"/>
                <w:szCs w:val="24"/>
                <w:lang w:val="en-US" w:eastAsia="zh-CN"/>
              </w:rPr>
              <w:t>-原料。</w:t>
            </w: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二氧化碳保护焊、氩弧焊使用无铅实芯焊丝为8t，</w:t>
            </w:r>
            <w:r>
              <w:rPr>
                <w:rFonts w:hint="default" w:ascii="Times New Roman" w:hAnsi="Times New Roman" w:cs="Times New Roman"/>
                <w:color w:val="auto"/>
                <w:sz w:val="24"/>
                <w:szCs w:val="24"/>
                <w:lang w:val="en-US" w:eastAsia="zh-CN"/>
              </w:rPr>
              <w:t>经核算</w:t>
            </w:r>
            <w:r>
              <w:rPr>
                <w:rFonts w:hint="eastAsia" w:cs="Times New Roman"/>
                <w:color w:val="auto"/>
                <w:sz w:val="24"/>
                <w:szCs w:val="24"/>
                <w:lang w:val="en-US" w:eastAsia="zh-CN"/>
              </w:rPr>
              <w:t>二氧化碳保护焊、氩弧焊</w:t>
            </w:r>
            <w:r>
              <w:rPr>
                <w:rFonts w:hint="default" w:ascii="Times New Roman" w:hAnsi="Times New Roman" w:cs="Times New Roman"/>
                <w:color w:val="auto"/>
                <w:sz w:val="24"/>
                <w:szCs w:val="24"/>
                <w:lang w:val="en-US" w:eastAsia="zh-CN"/>
              </w:rPr>
              <w:t>工序产生的</w:t>
            </w:r>
            <w:r>
              <w:rPr>
                <w:rFonts w:hint="eastAsia" w:cs="Times New Roman"/>
                <w:color w:val="auto"/>
                <w:sz w:val="24"/>
                <w:szCs w:val="24"/>
                <w:lang w:val="en-US" w:eastAsia="zh-CN"/>
              </w:rPr>
              <w:t>颗粒物</w:t>
            </w:r>
            <w:r>
              <w:rPr>
                <w:rFonts w:hint="default" w:ascii="Times New Roman" w:hAnsi="Times New Roman" w:cs="Times New Roman"/>
                <w:color w:val="auto"/>
                <w:sz w:val="24"/>
                <w:szCs w:val="24"/>
                <w:lang w:val="en-US" w:eastAsia="zh-CN"/>
              </w:rPr>
              <w:t>总产生量为</w:t>
            </w:r>
            <w:r>
              <w:rPr>
                <w:rFonts w:hint="eastAsia" w:cs="Times New Roman"/>
                <w:color w:val="auto"/>
                <w:sz w:val="24"/>
                <w:szCs w:val="24"/>
                <w:lang w:val="en-US" w:eastAsia="zh-CN"/>
              </w:rPr>
              <w:t>0.074</w:t>
            </w:r>
            <w:r>
              <w:rPr>
                <w:rFonts w:hint="default" w:ascii="Times New Roman" w:hAnsi="Times New Roman" w:cs="Times New Roman"/>
                <w:color w:val="auto"/>
                <w:sz w:val="24"/>
                <w:szCs w:val="24"/>
                <w:lang w:val="en-US" w:eastAsia="zh-CN"/>
              </w:rPr>
              <w:t>t/a。根据企业提供数据，</w:t>
            </w:r>
            <w:r>
              <w:rPr>
                <w:rFonts w:hint="eastAsia" w:cs="Times New Roman"/>
                <w:color w:val="auto"/>
                <w:sz w:val="24"/>
                <w:szCs w:val="24"/>
                <w:lang w:val="en-US" w:eastAsia="zh-CN"/>
              </w:rPr>
              <w:t>手工电弧焊</w:t>
            </w:r>
            <w:r>
              <w:rPr>
                <w:rFonts w:hint="default" w:ascii="Times New Roman" w:hAnsi="Times New Roman" w:cs="Times New Roman"/>
                <w:color w:val="auto"/>
                <w:sz w:val="24"/>
                <w:szCs w:val="24"/>
                <w:lang w:val="en-US" w:eastAsia="zh-CN"/>
              </w:rPr>
              <w:t>年工作时间3</w:t>
            </w:r>
            <w:r>
              <w:rPr>
                <w:rFonts w:hint="eastAsia" w:cs="Times New Roman"/>
                <w:color w:val="auto"/>
                <w:sz w:val="24"/>
                <w:szCs w:val="24"/>
                <w:lang w:val="en-US" w:eastAsia="zh-CN"/>
              </w:rPr>
              <w:t>3</w:t>
            </w:r>
            <w:r>
              <w:rPr>
                <w:rFonts w:hint="default" w:ascii="Times New Roman" w:hAnsi="Times New Roman" w:cs="Times New Roman"/>
                <w:color w:val="auto"/>
                <w:sz w:val="24"/>
                <w:szCs w:val="24"/>
                <w:lang w:val="en-US" w:eastAsia="zh-CN"/>
              </w:rPr>
              <w:t>0d，每天工作</w:t>
            </w:r>
            <w:r>
              <w:rPr>
                <w:rFonts w:hint="eastAsia" w:cs="Times New Roman"/>
                <w:color w:val="auto"/>
                <w:sz w:val="24"/>
                <w:szCs w:val="24"/>
                <w:lang w:val="en-US" w:eastAsia="zh-CN"/>
              </w:rPr>
              <w:t>2</w:t>
            </w:r>
            <w:r>
              <w:rPr>
                <w:rFonts w:hint="default" w:ascii="Times New Roman" w:hAnsi="Times New Roman" w:cs="Times New Roman"/>
                <w:color w:val="auto"/>
                <w:sz w:val="24"/>
                <w:szCs w:val="24"/>
                <w:lang w:val="en-US" w:eastAsia="zh-CN"/>
              </w:rPr>
              <w:t>h，烟尘产生速率为0.</w:t>
            </w:r>
            <w:r>
              <w:rPr>
                <w:rFonts w:hint="eastAsia" w:cs="Times New Roman"/>
                <w:color w:val="auto"/>
                <w:sz w:val="24"/>
                <w:szCs w:val="24"/>
                <w:lang w:val="en-US" w:eastAsia="zh-CN"/>
              </w:rPr>
              <w:t>112</w:t>
            </w:r>
            <w:r>
              <w:rPr>
                <w:rFonts w:hint="default" w:ascii="Times New Roman" w:hAnsi="Times New Roman" w:cs="Times New Roman"/>
                <w:color w:val="auto"/>
                <w:sz w:val="24"/>
                <w:szCs w:val="24"/>
                <w:lang w:val="en-US" w:eastAsia="zh-CN"/>
              </w:rPr>
              <w:t>kg/h。</w:t>
            </w:r>
          </w:p>
          <w:p w14:paraId="165933ED">
            <w:pPr>
              <w:bidi w:val="0"/>
              <w:rPr>
                <w:rFonts w:hint="default" w:cs="Times New Roman"/>
                <w:b/>
                <w:bCs/>
                <w:color w:val="auto"/>
                <w:sz w:val="24"/>
                <w:szCs w:val="24"/>
                <w:lang w:val="en-US" w:eastAsia="zh-CN"/>
              </w:rPr>
            </w:pPr>
            <w:r>
              <w:rPr>
                <w:rFonts w:hint="eastAsia"/>
                <w:b/>
                <w:bCs/>
                <w:color w:val="auto"/>
                <w:lang w:val="en-US" w:eastAsia="zh-CN"/>
              </w:rPr>
              <w:t>③</w:t>
            </w:r>
            <w:r>
              <w:rPr>
                <w:rFonts w:hint="eastAsia" w:cs="Times New Roman"/>
                <w:b/>
                <w:bCs/>
                <w:color w:val="auto"/>
                <w:sz w:val="24"/>
                <w:szCs w:val="24"/>
                <w:lang w:val="en-US" w:eastAsia="zh-CN"/>
              </w:rPr>
              <w:t>锡及其化合物、铜及其化合物</w:t>
            </w:r>
          </w:p>
          <w:p w14:paraId="0A23C528">
            <w:pPr>
              <w:bidi w:val="0"/>
              <w:rPr>
                <w:rFonts w:hint="default"/>
                <w:color w:val="auto"/>
                <w:lang w:val="en-US" w:eastAsia="zh-CN"/>
              </w:rPr>
            </w:pPr>
            <w:r>
              <w:rPr>
                <w:rFonts w:hint="eastAsia"/>
                <w:color w:val="auto"/>
                <w:lang w:val="en-US" w:eastAsia="zh-CN"/>
              </w:rPr>
              <w:t>根据本项目使用的焊丝/条MSDS检测报告，锡含量为99.3%，铜含量为0.7%，则焊接产生的颗粒物中锡及其化合物含量为0.4747t/a，</w:t>
            </w:r>
            <w:r>
              <w:rPr>
                <w:rFonts w:hint="default" w:ascii="Times New Roman" w:hAnsi="Times New Roman" w:cs="Times New Roman"/>
                <w:color w:val="auto"/>
                <w:sz w:val="24"/>
                <w:szCs w:val="24"/>
                <w:lang w:val="en-US" w:eastAsia="zh-CN"/>
              </w:rPr>
              <w:t>产生速率为0.</w:t>
            </w:r>
            <w:r>
              <w:rPr>
                <w:rFonts w:hint="eastAsia" w:cs="Times New Roman"/>
                <w:color w:val="auto"/>
                <w:sz w:val="24"/>
                <w:szCs w:val="24"/>
                <w:lang w:val="en-US" w:eastAsia="zh-CN"/>
              </w:rPr>
              <w:t>1438</w:t>
            </w:r>
            <w:r>
              <w:rPr>
                <w:rFonts w:hint="default" w:ascii="Times New Roman" w:hAnsi="Times New Roman" w:cs="Times New Roman"/>
                <w:color w:val="auto"/>
                <w:sz w:val="24"/>
                <w:szCs w:val="24"/>
                <w:lang w:val="en-US" w:eastAsia="zh-CN"/>
              </w:rPr>
              <w:t>kg/h</w:t>
            </w:r>
            <w:r>
              <w:rPr>
                <w:rFonts w:hint="eastAsia" w:cs="Times New Roman"/>
                <w:color w:val="auto"/>
                <w:sz w:val="24"/>
                <w:szCs w:val="24"/>
                <w:lang w:val="en-US" w:eastAsia="zh-CN"/>
              </w:rPr>
              <w:t>；</w:t>
            </w:r>
            <w:r>
              <w:rPr>
                <w:rFonts w:hint="eastAsia"/>
                <w:color w:val="auto"/>
                <w:lang w:val="en-US" w:eastAsia="zh-CN"/>
              </w:rPr>
              <w:t>铜及其化合物含量为0.0033t/a，</w:t>
            </w:r>
            <w:r>
              <w:rPr>
                <w:rFonts w:hint="default" w:ascii="Times New Roman" w:hAnsi="Times New Roman" w:cs="Times New Roman"/>
                <w:color w:val="auto"/>
                <w:sz w:val="24"/>
                <w:szCs w:val="24"/>
                <w:lang w:val="en-US" w:eastAsia="zh-CN"/>
              </w:rPr>
              <w:t>产生速率为0.</w:t>
            </w:r>
            <w:r>
              <w:rPr>
                <w:rFonts w:hint="eastAsia" w:cs="Times New Roman"/>
                <w:color w:val="auto"/>
                <w:sz w:val="24"/>
                <w:szCs w:val="24"/>
                <w:lang w:val="en-US" w:eastAsia="zh-CN"/>
              </w:rPr>
              <w:t>001</w:t>
            </w:r>
            <w:r>
              <w:rPr>
                <w:rFonts w:hint="default" w:ascii="Times New Roman" w:hAnsi="Times New Roman" w:cs="Times New Roman"/>
                <w:color w:val="auto"/>
                <w:sz w:val="24"/>
                <w:szCs w:val="24"/>
                <w:lang w:val="en-US" w:eastAsia="zh-CN"/>
              </w:rPr>
              <w:t>kg/h。</w:t>
            </w:r>
          </w:p>
          <w:p w14:paraId="2FA337C3">
            <w:pPr>
              <w:bidi w:val="0"/>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2）</w:t>
            </w:r>
            <w:r>
              <w:rPr>
                <w:rFonts w:hint="default" w:ascii="Times New Roman" w:hAnsi="Times New Roman" w:cs="Times New Roman"/>
                <w:b/>
                <w:bCs/>
                <w:color w:val="auto"/>
                <w:sz w:val="24"/>
                <w:szCs w:val="24"/>
              </w:rPr>
              <w:t>收集方式和收集效率</w:t>
            </w:r>
          </w:p>
          <w:p w14:paraId="1851AEC2">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本项目焊接烟尘比较分散，将在每处焊接点设置移动式焊烟净化机净化处理焊接烟尘。移动式焊烟净化机直接从焊接工作点附近搜集烟气，将焊接烟尘经吸气罩收集（收集率为80%），收集量为0.</w:t>
            </w:r>
            <w:r>
              <w:rPr>
                <w:rFonts w:hint="eastAsia" w:cs="Times New Roman"/>
                <w:color w:val="auto"/>
                <w:sz w:val="24"/>
                <w:szCs w:val="24"/>
                <w:lang w:val="en-US" w:eastAsia="zh-CN"/>
              </w:rPr>
              <w:t>3824</w:t>
            </w:r>
            <w:r>
              <w:rPr>
                <w:rFonts w:hint="default" w:ascii="Times New Roman" w:hAnsi="Times New Roman" w:cs="Times New Roman"/>
                <w:color w:val="auto"/>
                <w:sz w:val="24"/>
                <w:szCs w:val="24"/>
                <w:lang w:val="en-US" w:eastAsia="zh-CN"/>
              </w:rPr>
              <w:t>t/a</w:t>
            </w:r>
            <w:r>
              <w:rPr>
                <w:rFonts w:hint="eastAsia" w:cs="Times New Roman"/>
                <w:color w:val="auto"/>
                <w:sz w:val="24"/>
                <w:szCs w:val="24"/>
                <w:lang w:val="en-US" w:eastAsia="zh-CN"/>
              </w:rPr>
              <w:t>（其中</w:t>
            </w:r>
            <w:r>
              <w:rPr>
                <w:rFonts w:hint="eastAsia"/>
                <w:color w:val="auto"/>
                <w:lang w:val="en-US" w:eastAsia="zh-CN"/>
              </w:rPr>
              <w:t>锡及其化合物含量为0.3797t/a，铜及其化合物含量为0.0027t/a</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未收集的为</w:t>
            </w:r>
            <w:r>
              <w:rPr>
                <w:rFonts w:hint="default" w:ascii="Times New Roman" w:hAnsi="Times New Roman" w:cs="Times New Roman"/>
                <w:color w:val="auto"/>
                <w:sz w:val="24"/>
                <w:szCs w:val="24"/>
                <w:lang w:val="en-US" w:eastAsia="zh-CN"/>
              </w:rPr>
              <w:t>0.</w:t>
            </w:r>
            <w:r>
              <w:rPr>
                <w:rFonts w:hint="eastAsia" w:cs="Times New Roman"/>
                <w:color w:val="auto"/>
                <w:sz w:val="24"/>
                <w:szCs w:val="24"/>
                <w:lang w:val="en-US" w:eastAsia="zh-CN"/>
              </w:rPr>
              <w:t>0956</w:t>
            </w:r>
            <w:r>
              <w:rPr>
                <w:rFonts w:hint="default" w:ascii="Times New Roman" w:hAnsi="Times New Roman" w:cs="Times New Roman"/>
                <w:color w:val="auto"/>
                <w:sz w:val="24"/>
                <w:szCs w:val="24"/>
                <w:lang w:val="en-US" w:eastAsia="zh-CN"/>
              </w:rPr>
              <w:t>t/a</w:t>
            </w:r>
            <w:r>
              <w:rPr>
                <w:rFonts w:hint="eastAsia" w:cs="Times New Roman"/>
                <w:color w:val="auto"/>
                <w:sz w:val="24"/>
                <w:szCs w:val="24"/>
                <w:lang w:val="en-US" w:eastAsia="zh-CN"/>
              </w:rPr>
              <w:t>（其中</w:t>
            </w:r>
            <w:r>
              <w:rPr>
                <w:rFonts w:hint="eastAsia"/>
                <w:color w:val="auto"/>
                <w:lang w:val="en-US" w:eastAsia="zh-CN"/>
              </w:rPr>
              <w:t>锡及其化合物含量为0.0949t/a，铜及其化合物含量为0.0007t/a</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w:t>
            </w:r>
          </w:p>
          <w:p w14:paraId="394ADCE3">
            <w:pPr>
              <w:bidi w:val="0"/>
              <w:rPr>
                <w:rFonts w:hint="eastAsia" w:cs="Times New Roman"/>
                <w:color w:val="auto"/>
                <w:sz w:val="24"/>
                <w:szCs w:val="24"/>
                <w:lang w:val="en-US" w:eastAsia="zh-CN"/>
              </w:rPr>
            </w:pPr>
            <w:r>
              <w:rPr>
                <w:rFonts w:hint="eastAsia" w:cs="Times New Roman"/>
                <w:b/>
                <w:bCs/>
                <w:color w:val="auto"/>
                <w:sz w:val="24"/>
                <w:szCs w:val="24"/>
                <w:lang w:val="en-US" w:eastAsia="zh-CN"/>
              </w:rPr>
              <w:t>3）</w:t>
            </w:r>
            <w:r>
              <w:rPr>
                <w:rFonts w:hint="eastAsia" w:cs="Times New Roman"/>
                <w:b/>
                <w:color w:val="auto"/>
                <w:sz w:val="24"/>
                <w:szCs w:val="24"/>
                <w:lang w:val="en-US" w:eastAsia="zh-CN"/>
              </w:rPr>
              <w:t>处理</w:t>
            </w:r>
            <w:r>
              <w:rPr>
                <w:rFonts w:hint="default" w:ascii="Times New Roman" w:hAnsi="Times New Roman" w:cs="Times New Roman"/>
                <w:b/>
                <w:color w:val="auto"/>
                <w:sz w:val="24"/>
                <w:szCs w:val="24"/>
              </w:rPr>
              <w:t>可行性分析：</w:t>
            </w:r>
          </w:p>
          <w:p w14:paraId="76104918">
            <w:pPr>
              <w:bidi w:val="0"/>
              <w:rPr>
                <w:rFonts w:hint="default" w:ascii="Times New Roman" w:hAnsi="Times New Roman" w:cs="Times New Roman"/>
                <w:color w:val="auto"/>
                <w:sz w:val="24"/>
                <w:szCs w:val="24"/>
                <w:lang w:val="en-US" w:eastAsia="zh-CN"/>
              </w:rPr>
            </w:pPr>
            <w:r>
              <w:rPr>
                <w:rFonts w:hint="eastAsia" w:cs="Times New Roman"/>
                <w:b/>
                <w:color w:val="auto"/>
                <w:sz w:val="24"/>
                <w:szCs w:val="24"/>
                <w:lang w:val="en-US" w:eastAsia="zh-CN"/>
              </w:rPr>
              <w:t>①处理方式可行性：</w:t>
            </w:r>
            <w:r>
              <w:rPr>
                <w:rFonts w:hint="default" w:ascii="Times New Roman" w:hAnsi="Times New Roman" w:cs="Times New Roman"/>
                <w:b w:val="0"/>
                <w:bCs w:val="0"/>
                <w:color w:val="auto"/>
                <w:sz w:val="24"/>
                <w:szCs w:val="24"/>
                <w:lang w:val="en-US" w:eastAsia="zh-CN"/>
              </w:rPr>
              <w:t>根据</w:t>
            </w:r>
            <w:r>
              <w:rPr>
                <w:rFonts w:hint="default" w:ascii="Times New Roman" w:hAnsi="Times New Roman" w:cs="Times New Roman"/>
                <w:color w:val="auto"/>
                <w:sz w:val="24"/>
                <w:szCs w:val="24"/>
                <w:lang w:val="en-US" w:eastAsia="zh-CN"/>
              </w:rPr>
              <w:t>《排污源统计调查产排污核算方法和系数手册》（生态环境部公告2021年第24号）《机械行业系数手册》中09焊接中的</w:t>
            </w:r>
            <w:r>
              <w:rPr>
                <w:rFonts w:hint="eastAsia" w:cs="Times New Roman"/>
                <w:color w:val="auto"/>
                <w:sz w:val="24"/>
                <w:szCs w:val="24"/>
                <w:lang w:val="en-US" w:eastAsia="zh-CN"/>
              </w:rPr>
              <w:t>手工电弧焊、二氧化碳保护焊和氩弧焊工序，</w:t>
            </w:r>
            <w:r>
              <w:rPr>
                <w:rFonts w:hint="default" w:ascii="Times New Roman" w:hAnsi="Times New Roman" w:cs="Times New Roman"/>
                <w:color w:val="auto"/>
                <w:sz w:val="24"/>
                <w:szCs w:val="24"/>
                <w:lang w:val="en-US" w:eastAsia="zh-CN"/>
              </w:rPr>
              <w:t>移动式烟尘净化器</w:t>
            </w:r>
            <w:r>
              <w:rPr>
                <w:rFonts w:hint="eastAsia" w:cs="Times New Roman"/>
                <w:color w:val="auto"/>
                <w:sz w:val="24"/>
                <w:szCs w:val="24"/>
                <w:lang w:val="en-US" w:eastAsia="zh-CN"/>
              </w:rPr>
              <w:t>属于其中的</w:t>
            </w:r>
            <w:r>
              <w:rPr>
                <w:rFonts w:hint="default" w:ascii="Times New Roman" w:hAnsi="Times New Roman" w:cs="Times New Roman"/>
                <w:color w:val="auto"/>
                <w:sz w:val="24"/>
                <w:szCs w:val="24"/>
                <w:lang w:val="en-US" w:eastAsia="zh-CN"/>
              </w:rPr>
              <w:t>末端治理技术</w:t>
            </w:r>
            <w:r>
              <w:rPr>
                <w:rFonts w:hint="eastAsia" w:cs="Times New Roman"/>
                <w:color w:val="auto"/>
                <w:sz w:val="24"/>
                <w:szCs w:val="24"/>
                <w:lang w:val="en-US" w:eastAsia="zh-CN"/>
              </w:rPr>
              <w:t>。</w:t>
            </w:r>
          </w:p>
          <w:p w14:paraId="383ECDCD">
            <w:pPr>
              <w:bidi w:val="0"/>
              <w:rPr>
                <w:rFonts w:hint="eastAsia" w:cs="Times New Roman"/>
                <w:color w:val="auto"/>
                <w:sz w:val="24"/>
                <w:szCs w:val="24"/>
                <w:lang w:val="en-US" w:eastAsia="zh-CN"/>
              </w:rPr>
            </w:pPr>
            <w:r>
              <w:rPr>
                <w:rFonts w:hint="eastAsia" w:cs="Times New Roman"/>
                <w:b/>
                <w:color w:val="auto"/>
                <w:sz w:val="24"/>
                <w:szCs w:val="24"/>
                <w:lang w:val="en-US" w:eastAsia="zh-CN"/>
              </w:rPr>
              <w:t>②</w:t>
            </w:r>
            <w:r>
              <w:rPr>
                <w:rFonts w:hint="default"/>
                <w:b/>
                <w:bCs/>
                <w:color w:val="auto"/>
                <w:sz w:val="24"/>
                <w:szCs w:val="24"/>
              </w:rPr>
              <w:t>处理效率的确定：</w:t>
            </w:r>
            <w:r>
              <w:rPr>
                <w:rFonts w:hint="default" w:ascii="Times New Roman" w:hAnsi="Times New Roman" w:cs="Times New Roman"/>
                <w:color w:val="auto"/>
                <w:sz w:val="24"/>
                <w:szCs w:val="24"/>
                <w:lang w:val="en-US" w:eastAsia="zh-CN"/>
              </w:rPr>
              <w:t>根据《排污源统计调查产排污核算方法和系数手册》（生态环境部公告2021年第24号）《机械行业系数手册》中09焊接中的</w:t>
            </w:r>
            <w:r>
              <w:rPr>
                <w:rFonts w:hint="eastAsia" w:cs="Times New Roman"/>
                <w:color w:val="auto"/>
                <w:sz w:val="24"/>
                <w:szCs w:val="24"/>
                <w:lang w:val="en-US" w:eastAsia="zh-CN"/>
              </w:rPr>
              <w:t>手工电弧焊、二氧化碳保护焊和氩弧焊</w:t>
            </w:r>
            <w:r>
              <w:rPr>
                <w:rFonts w:hint="default" w:ascii="Times New Roman" w:hAnsi="Times New Roman" w:cs="Times New Roman"/>
                <w:color w:val="auto"/>
                <w:sz w:val="24"/>
                <w:szCs w:val="24"/>
                <w:lang w:val="en-US" w:eastAsia="zh-CN"/>
              </w:rPr>
              <w:t>末端治理技术中其他（移动式烟尘净化器）处理效率为95%</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处理后的</w:t>
            </w:r>
            <w:r>
              <w:rPr>
                <w:rFonts w:hint="eastAsia" w:cs="Times New Roman"/>
                <w:color w:val="auto"/>
                <w:sz w:val="24"/>
                <w:szCs w:val="24"/>
                <w:lang w:val="en-US" w:eastAsia="zh-CN"/>
              </w:rPr>
              <w:t>颗粒物</w:t>
            </w:r>
            <w:r>
              <w:rPr>
                <w:rFonts w:hint="default" w:ascii="Times New Roman" w:hAnsi="Times New Roman" w:cs="Times New Roman"/>
                <w:color w:val="auto"/>
                <w:sz w:val="24"/>
                <w:szCs w:val="24"/>
                <w:lang w:val="en-US" w:eastAsia="zh-CN"/>
              </w:rPr>
              <w:t>直接排放，</w:t>
            </w:r>
            <w:r>
              <w:rPr>
                <w:rFonts w:hint="eastAsia" w:cs="Times New Roman"/>
                <w:color w:val="auto"/>
                <w:sz w:val="24"/>
                <w:szCs w:val="24"/>
                <w:lang w:val="en-US" w:eastAsia="zh-CN"/>
              </w:rPr>
              <w:t>处理后的颗粒物</w:t>
            </w:r>
            <w:r>
              <w:rPr>
                <w:rFonts w:hint="default" w:ascii="Times New Roman" w:hAnsi="Times New Roman" w:cs="Times New Roman"/>
                <w:color w:val="auto"/>
                <w:sz w:val="24"/>
                <w:szCs w:val="24"/>
                <w:lang w:val="en-US" w:eastAsia="zh-CN"/>
              </w:rPr>
              <w:t>排放量为0.0</w:t>
            </w:r>
            <w:r>
              <w:rPr>
                <w:rFonts w:hint="eastAsia" w:cs="Times New Roman"/>
                <w:color w:val="auto"/>
                <w:sz w:val="24"/>
                <w:szCs w:val="24"/>
                <w:lang w:val="en-US" w:eastAsia="zh-CN"/>
              </w:rPr>
              <w:t>191</w:t>
            </w:r>
            <w:r>
              <w:rPr>
                <w:rFonts w:hint="default" w:ascii="Times New Roman" w:hAnsi="Times New Roman" w:cs="Times New Roman"/>
                <w:color w:val="auto"/>
                <w:sz w:val="24"/>
                <w:szCs w:val="24"/>
                <w:lang w:val="en-US" w:eastAsia="zh-CN"/>
              </w:rPr>
              <w:t>t/a</w:t>
            </w:r>
            <w:r>
              <w:rPr>
                <w:rFonts w:hint="eastAsia" w:cs="Times New Roman"/>
                <w:color w:val="auto"/>
                <w:sz w:val="24"/>
                <w:szCs w:val="24"/>
                <w:lang w:val="en-US" w:eastAsia="zh-CN"/>
              </w:rPr>
              <w:t>（其中</w:t>
            </w:r>
            <w:r>
              <w:rPr>
                <w:rFonts w:hint="eastAsia"/>
                <w:color w:val="auto"/>
                <w:lang w:val="en-US" w:eastAsia="zh-CN"/>
              </w:rPr>
              <w:t>锡及其化合物含量为0.0190t/a，铜及其化合物含量为0.0001t/a</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。因此，焊接</w:t>
            </w:r>
            <w:r>
              <w:rPr>
                <w:rFonts w:hint="eastAsia" w:cs="Times New Roman"/>
                <w:color w:val="auto"/>
                <w:sz w:val="24"/>
                <w:szCs w:val="24"/>
                <w:lang w:val="en-US" w:eastAsia="zh-CN"/>
              </w:rPr>
              <w:t>颗粒物</w:t>
            </w:r>
            <w:r>
              <w:rPr>
                <w:rFonts w:hint="default" w:ascii="Times New Roman" w:hAnsi="Times New Roman" w:cs="Times New Roman"/>
                <w:color w:val="auto"/>
                <w:sz w:val="24"/>
                <w:szCs w:val="24"/>
                <w:lang w:val="en-US" w:eastAsia="zh-CN"/>
              </w:rPr>
              <w:t>无组织排放量为0.1</w:t>
            </w:r>
            <w:r>
              <w:rPr>
                <w:rFonts w:hint="eastAsia" w:cs="Times New Roman"/>
                <w:color w:val="auto"/>
                <w:sz w:val="24"/>
                <w:szCs w:val="24"/>
                <w:lang w:val="en-US" w:eastAsia="zh-CN"/>
              </w:rPr>
              <w:t>147</w:t>
            </w:r>
            <w:r>
              <w:rPr>
                <w:rFonts w:hint="default" w:ascii="Times New Roman" w:hAnsi="Times New Roman" w:cs="Times New Roman"/>
                <w:color w:val="auto"/>
                <w:sz w:val="24"/>
                <w:szCs w:val="24"/>
                <w:lang w:val="en-US" w:eastAsia="zh-CN"/>
              </w:rPr>
              <w:t>t/</w:t>
            </w:r>
            <w:r>
              <w:rPr>
                <w:rFonts w:hint="eastAsia" w:cs="Times New Roman"/>
                <w:color w:val="auto"/>
                <w:sz w:val="24"/>
                <w:szCs w:val="24"/>
                <w:lang w:val="en-US" w:eastAsia="zh-CN"/>
              </w:rPr>
              <w:t>a（其中</w:t>
            </w:r>
            <w:r>
              <w:rPr>
                <w:rFonts w:hint="eastAsia"/>
                <w:color w:val="auto"/>
                <w:lang w:val="en-US" w:eastAsia="zh-CN"/>
              </w:rPr>
              <w:t>锡及其化合物含量为0.1139t/a，铜及其化合物含量为0.0008t/a</w:t>
            </w:r>
            <w:r>
              <w:rPr>
                <w:rFonts w:hint="eastAsia" w:cs="Times New Roman"/>
                <w:color w:val="auto"/>
                <w:sz w:val="24"/>
                <w:szCs w:val="24"/>
                <w:lang w:val="en-US" w:eastAsia="zh-CN"/>
              </w:rPr>
              <w:t>）。</w:t>
            </w:r>
          </w:p>
          <w:p w14:paraId="75B705DB">
            <w:pPr>
              <w:keepNext w:val="0"/>
              <w:keepLines w:val="0"/>
              <w:pageBreakBefore w:val="0"/>
              <w:widowControl w:val="0"/>
              <w:kinsoku/>
              <w:wordWrap/>
              <w:overflowPunct/>
              <w:topLinePunct w:val="0"/>
              <w:autoSpaceDE/>
              <w:autoSpaceDN/>
              <w:bidi w:val="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b/>
                <w:bCs/>
                <w:color w:val="auto"/>
                <w:sz w:val="24"/>
                <w:szCs w:val="24"/>
                <w:lang w:val="en-US" w:eastAsia="zh-CN"/>
              </w:rPr>
              <w:t>（</w:t>
            </w:r>
            <w:r>
              <w:rPr>
                <w:rFonts w:hint="eastAsia" w:cs="Times New Roman"/>
                <w:b/>
                <w:bCs/>
                <w:color w:val="auto"/>
                <w:sz w:val="24"/>
                <w:szCs w:val="24"/>
                <w:lang w:val="en-US" w:eastAsia="zh-CN"/>
              </w:rPr>
              <w:t>3</w:t>
            </w:r>
            <w:r>
              <w:rPr>
                <w:rFonts w:hint="default" w:ascii="Times New Roman" w:hAnsi="Times New Roman" w:cs="Times New Roman"/>
                <w:b/>
                <w:bCs/>
                <w:color w:val="auto"/>
                <w:sz w:val="24"/>
                <w:szCs w:val="24"/>
                <w:lang w:val="en-US" w:eastAsia="zh-CN"/>
              </w:rPr>
              <w:t>）</w:t>
            </w:r>
            <w:r>
              <w:rPr>
                <w:rFonts w:hint="eastAsia" w:cs="Times New Roman"/>
                <w:b/>
                <w:bCs/>
                <w:color w:val="auto"/>
                <w:sz w:val="24"/>
                <w:szCs w:val="24"/>
                <w:lang w:val="en-US" w:eastAsia="zh-CN"/>
              </w:rPr>
              <w:t>喷漆、晾干废气</w:t>
            </w:r>
          </w:p>
          <w:p w14:paraId="455D559D">
            <w:pPr>
              <w:keepNext w:val="0"/>
              <w:keepLines w:val="0"/>
              <w:pageBreakBefore w:val="0"/>
              <w:widowControl w:val="0"/>
              <w:kinsoku/>
              <w:wordWrap/>
              <w:overflowPunct/>
              <w:topLinePunct w:val="0"/>
              <w:autoSpaceDE/>
              <w:autoSpaceDN/>
              <w:bidi w:val="0"/>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1）产生源强</w:t>
            </w:r>
          </w:p>
          <w:p w14:paraId="684479B1">
            <w:pPr>
              <w:bidi w:val="0"/>
              <w:rPr>
                <w:rFonts w:hint="default"/>
                <w:color w:val="auto"/>
                <w:lang w:val="en-US" w:eastAsia="zh-CN"/>
              </w:rPr>
            </w:pPr>
            <w:r>
              <w:rPr>
                <w:rFonts w:hint="eastAsia" w:cs="Times New Roman"/>
                <w:color w:val="auto"/>
                <w:sz w:val="24"/>
                <w:szCs w:val="24"/>
                <w:lang w:val="en-US" w:eastAsia="zh-CN"/>
              </w:rPr>
              <w:t>根据第二章2.8节物料平衡，本项目喷漆、晾干工序中非甲烷总烃产生量为0.6734t/a，喷漆过程中漆雾（颗粒物）产生量为4.9262t/a，其中95%收集，其余5%黏附在喷漆房的地面作为漆渣。</w:t>
            </w:r>
            <w:r>
              <w:rPr>
                <w:rFonts w:hint="default" w:ascii="Times New Roman" w:hAnsi="Times New Roman" w:cs="Times New Roman"/>
                <w:color w:val="auto"/>
                <w:sz w:val="24"/>
                <w:szCs w:val="24"/>
                <w:lang w:val="en-US" w:eastAsia="zh-CN"/>
              </w:rPr>
              <w:t>根据企业提供数据，</w:t>
            </w:r>
            <w:r>
              <w:rPr>
                <w:rFonts w:hint="eastAsia" w:cs="Times New Roman"/>
                <w:color w:val="auto"/>
                <w:sz w:val="24"/>
                <w:szCs w:val="24"/>
                <w:lang w:val="en-US" w:eastAsia="zh-CN"/>
              </w:rPr>
              <w:t>喷漆、晾干工序</w:t>
            </w:r>
            <w:r>
              <w:rPr>
                <w:rFonts w:hint="default" w:ascii="Times New Roman" w:hAnsi="Times New Roman" w:cs="Times New Roman"/>
                <w:color w:val="auto"/>
                <w:sz w:val="24"/>
                <w:szCs w:val="24"/>
                <w:lang w:val="en-US" w:eastAsia="zh-CN"/>
              </w:rPr>
              <w:t>年工作时间</w:t>
            </w:r>
            <w:r>
              <w:rPr>
                <w:rFonts w:hint="eastAsia" w:ascii="Times New Roman" w:hAnsi="Times New Roman" w:cs="Times New Roman"/>
                <w:color w:val="auto"/>
                <w:sz w:val="24"/>
                <w:szCs w:val="24"/>
                <w:lang w:val="en-US" w:eastAsia="zh-CN"/>
              </w:rPr>
              <w:t>20</w:t>
            </w:r>
            <w:r>
              <w:rPr>
                <w:rFonts w:hint="default" w:ascii="Times New Roman" w:hAnsi="Times New Roman" w:cs="Times New Roman"/>
                <w:color w:val="auto"/>
                <w:sz w:val="24"/>
                <w:szCs w:val="24"/>
                <w:lang w:val="en-US" w:eastAsia="zh-CN"/>
              </w:rPr>
              <w:t>0d</w:t>
            </w:r>
            <w:r>
              <w:rPr>
                <w:rFonts w:hint="eastAsia" w:ascii="Times New Roman" w:hAnsi="Times New Roman" w:cs="Times New Roman"/>
                <w:color w:val="auto"/>
                <w:sz w:val="24"/>
                <w:szCs w:val="24"/>
                <w:lang w:val="en-US" w:eastAsia="zh-CN"/>
              </w:rPr>
              <w:t>，按每天8h计，则非甲烷总烃</w:t>
            </w:r>
            <w:r>
              <w:rPr>
                <w:rFonts w:hint="default" w:ascii="Times New Roman" w:hAnsi="Times New Roman" w:cs="Times New Roman"/>
                <w:color w:val="auto"/>
                <w:sz w:val="24"/>
                <w:szCs w:val="24"/>
                <w:lang w:val="en-US" w:eastAsia="zh-CN"/>
              </w:rPr>
              <w:t>产生速率为0.</w:t>
            </w:r>
            <w:r>
              <w:rPr>
                <w:rFonts w:hint="eastAsia" w:cs="Times New Roman"/>
                <w:color w:val="auto"/>
                <w:sz w:val="24"/>
                <w:szCs w:val="24"/>
                <w:lang w:val="en-US" w:eastAsia="zh-CN"/>
              </w:rPr>
              <w:t>421</w:t>
            </w:r>
            <w:r>
              <w:rPr>
                <w:rFonts w:hint="default" w:ascii="Times New Roman" w:hAnsi="Times New Roman" w:cs="Times New Roman"/>
                <w:color w:val="auto"/>
                <w:sz w:val="24"/>
                <w:szCs w:val="24"/>
                <w:lang w:val="en-US" w:eastAsia="zh-CN"/>
              </w:rPr>
              <w:t>kg/h</w:t>
            </w:r>
            <w:r>
              <w:rPr>
                <w:rFonts w:hint="eastAsia" w:ascii="Times New Roman" w:hAnsi="Times New Roman" w:cs="Times New Roman"/>
                <w:color w:val="auto"/>
                <w:sz w:val="24"/>
                <w:szCs w:val="24"/>
                <w:lang w:val="en-US" w:eastAsia="zh-CN"/>
              </w:rPr>
              <w:t>；</w:t>
            </w:r>
            <w:r>
              <w:rPr>
                <w:rFonts w:hint="eastAsia" w:cs="Times New Roman"/>
                <w:color w:val="auto"/>
                <w:sz w:val="24"/>
                <w:szCs w:val="24"/>
                <w:lang w:val="en-US" w:eastAsia="zh-CN"/>
              </w:rPr>
              <w:t>喷漆工序</w:t>
            </w:r>
            <w:r>
              <w:rPr>
                <w:rFonts w:hint="default" w:ascii="Times New Roman" w:hAnsi="Times New Roman" w:cs="Times New Roman"/>
                <w:color w:val="auto"/>
                <w:sz w:val="24"/>
                <w:szCs w:val="24"/>
                <w:lang w:val="en-US" w:eastAsia="zh-CN"/>
              </w:rPr>
              <w:t>年工作时间</w:t>
            </w:r>
            <w:r>
              <w:rPr>
                <w:rFonts w:hint="eastAsia" w:ascii="Times New Roman" w:hAnsi="Times New Roman" w:cs="Times New Roman"/>
                <w:color w:val="auto"/>
                <w:sz w:val="24"/>
                <w:szCs w:val="24"/>
                <w:lang w:val="en-US" w:eastAsia="zh-CN"/>
              </w:rPr>
              <w:t>15</w:t>
            </w:r>
            <w:r>
              <w:rPr>
                <w:rFonts w:hint="default" w:ascii="Times New Roman" w:hAnsi="Times New Roman" w:cs="Times New Roman"/>
                <w:color w:val="auto"/>
                <w:sz w:val="24"/>
                <w:szCs w:val="24"/>
                <w:lang w:val="en-US" w:eastAsia="zh-CN"/>
              </w:rPr>
              <w:t>0d，每天工作</w:t>
            </w:r>
            <w:r>
              <w:rPr>
                <w:rFonts w:hint="eastAsia" w:cs="Times New Roman"/>
                <w:color w:val="auto"/>
                <w:sz w:val="24"/>
                <w:szCs w:val="24"/>
                <w:lang w:val="en-US" w:eastAsia="zh-CN"/>
              </w:rPr>
              <w:t>8</w:t>
            </w:r>
            <w:r>
              <w:rPr>
                <w:rFonts w:hint="default" w:ascii="Times New Roman" w:hAnsi="Times New Roman" w:cs="Times New Roman"/>
                <w:color w:val="auto"/>
                <w:sz w:val="24"/>
                <w:szCs w:val="24"/>
                <w:lang w:val="en-US" w:eastAsia="zh-CN"/>
              </w:rPr>
              <w:t>h，</w:t>
            </w:r>
            <w:r>
              <w:rPr>
                <w:rFonts w:hint="eastAsia" w:ascii="Times New Roman" w:hAnsi="Times New Roman" w:cs="Times New Roman"/>
                <w:color w:val="auto"/>
                <w:sz w:val="24"/>
                <w:szCs w:val="24"/>
                <w:lang w:val="en-US" w:eastAsia="zh-CN"/>
              </w:rPr>
              <w:t>则颗粒物</w:t>
            </w:r>
            <w:r>
              <w:rPr>
                <w:rFonts w:hint="default" w:ascii="Times New Roman" w:hAnsi="Times New Roman" w:cs="Times New Roman"/>
                <w:color w:val="auto"/>
                <w:sz w:val="24"/>
                <w:szCs w:val="24"/>
                <w:lang w:val="en-US" w:eastAsia="zh-CN"/>
              </w:rPr>
              <w:t>产生速率为</w:t>
            </w:r>
            <w:r>
              <w:rPr>
                <w:rFonts w:hint="eastAsia" w:ascii="Times New Roman" w:hAnsi="Times New Roman" w:cs="Times New Roman"/>
                <w:color w:val="auto"/>
                <w:sz w:val="24"/>
                <w:szCs w:val="24"/>
                <w:lang w:val="en-US" w:eastAsia="zh-CN"/>
              </w:rPr>
              <w:t>4.</w:t>
            </w:r>
            <w:r>
              <w:rPr>
                <w:rFonts w:hint="eastAsia" w:cs="Times New Roman"/>
                <w:color w:val="auto"/>
                <w:sz w:val="24"/>
                <w:szCs w:val="24"/>
                <w:lang w:val="en-US" w:eastAsia="zh-CN"/>
              </w:rPr>
              <w:t>105</w:t>
            </w:r>
            <w:r>
              <w:rPr>
                <w:rFonts w:hint="default" w:ascii="Times New Roman" w:hAnsi="Times New Roman" w:cs="Times New Roman"/>
                <w:color w:val="auto"/>
                <w:sz w:val="24"/>
                <w:szCs w:val="24"/>
                <w:lang w:val="en-US" w:eastAsia="zh-CN"/>
              </w:rPr>
              <w:t>kg/h</w:t>
            </w:r>
            <w:r>
              <w:rPr>
                <w:rFonts w:hint="eastAsia" w:ascii="Times New Roman" w:hAnsi="Times New Roman" w:cs="Times New Roman"/>
                <w:color w:val="auto"/>
                <w:sz w:val="24"/>
                <w:szCs w:val="24"/>
                <w:lang w:val="en-US" w:eastAsia="zh-CN"/>
              </w:rPr>
              <w:t>。</w:t>
            </w:r>
          </w:p>
          <w:p w14:paraId="128F3302">
            <w:pPr>
              <w:bidi w:val="0"/>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2）</w:t>
            </w:r>
            <w:r>
              <w:rPr>
                <w:rFonts w:hint="default" w:ascii="Times New Roman" w:hAnsi="Times New Roman" w:cs="Times New Roman"/>
                <w:b/>
                <w:bCs/>
                <w:color w:val="auto"/>
                <w:sz w:val="24"/>
                <w:szCs w:val="24"/>
              </w:rPr>
              <w:t>收集方式和收集效率</w:t>
            </w:r>
          </w:p>
          <w:p w14:paraId="33DBC306">
            <w:pPr>
              <w:bidi w:val="0"/>
              <w:rPr>
                <w:rFonts w:hint="default" w:ascii="Times New Roman" w:hAnsi="Times New Roman" w:eastAsia="宋体" w:cs="Times New Roman"/>
                <w:color w:val="auto"/>
                <w:sz w:val="24"/>
                <w:szCs w:val="24"/>
                <w:lang w:val="en-US" w:eastAsia="zh-CN"/>
              </w:rPr>
            </w:pPr>
            <w:r>
              <w:rPr>
                <w:color w:val="auto"/>
              </w:rPr>
              <w:t>本项目</w:t>
            </w:r>
            <w:r>
              <w:rPr>
                <w:rFonts w:hint="eastAsia" w:cs="Times New Roman"/>
                <w:color w:val="auto"/>
                <w:sz w:val="24"/>
                <w:szCs w:val="24"/>
                <w:lang w:val="en-US" w:eastAsia="zh-CN"/>
              </w:rPr>
              <w:t>喷漆、晾干工序中产生的非甲烷总烃颗粒物</w:t>
            </w:r>
            <w:r>
              <w:rPr>
                <w:color w:val="auto"/>
              </w:rPr>
              <w:t>经喷漆房</w:t>
            </w:r>
            <w:r>
              <w:rPr>
                <w:rFonts w:hint="eastAsia"/>
                <w:color w:val="auto"/>
                <w:lang w:eastAsia="zh-CN"/>
              </w:rPr>
              <w:t>、</w:t>
            </w:r>
            <w:r>
              <w:rPr>
                <w:rFonts w:hint="eastAsia"/>
                <w:color w:val="auto"/>
                <w:lang w:val="en-US" w:eastAsia="zh-CN"/>
              </w:rPr>
              <w:t>晾干房</w:t>
            </w:r>
            <w:r>
              <w:rPr>
                <w:color w:val="auto"/>
              </w:rPr>
              <w:t>密闭负压收集，</w:t>
            </w:r>
            <w:r>
              <w:rPr>
                <w:rFonts w:hint="eastAsia"/>
                <w:color w:val="auto"/>
                <w:lang w:val="en-US" w:eastAsia="zh-CN"/>
              </w:rPr>
              <w:t>喷漆废气中的漆雾</w:t>
            </w:r>
            <w:r>
              <w:rPr>
                <w:color w:val="auto"/>
              </w:rPr>
              <w:t>收集后经</w:t>
            </w:r>
            <w:r>
              <w:rPr>
                <w:rFonts w:hint="eastAsia"/>
                <w:color w:val="auto"/>
                <w:lang w:val="en-US" w:eastAsia="zh-CN"/>
              </w:rPr>
              <w:t>干式漆雾过滤器</w:t>
            </w:r>
            <w:r>
              <w:rPr>
                <w:color w:val="auto"/>
              </w:rPr>
              <w:t>处理</w:t>
            </w:r>
            <w:r>
              <w:rPr>
                <w:rFonts w:hint="eastAsia"/>
                <w:color w:val="auto"/>
                <w:lang w:val="en-US" w:eastAsia="zh-CN"/>
              </w:rPr>
              <w:t>再与收集的晾干废气经两级活性炭吸附装置合并处理后由一根</w:t>
            </w:r>
            <w:r>
              <w:rPr>
                <w:color w:val="auto"/>
              </w:rPr>
              <w:t>15m</w:t>
            </w:r>
            <w:r>
              <w:rPr>
                <w:rFonts w:hint="eastAsia"/>
                <w:color w:val="auto"/>
                <w:lang w:val="en-US" w:eastAsia="zh-CN"/>
              </w:rPr>
              <w:t>高</w:t>
            </w:r>
            <w:r>
              <w:rPr>
                <w:color w:val="auto"/>
              </w:rPr>
              <w:t>排气筒（DA00</w:t>
            </w:r>
            <w:r>
              <w:rPr>
                <w:rFonts w:hint="eastAsia"/>
                <w:color w:val="auto"/>
                <w:lang w:val="en-US" w:eastAsia="zh-CN"/>
              </w:rPr>
              <w:t>2</w:t>
            </w:r>
            <w:r>
              <w:rPr>
                <w:color w:val="auto"/>
              </w:rPr>
              <w:t>）排放</w:t>
            </w:r>
            <w:r>
              <w:rPr>
                <w:rFonts w:hint="eastAsia"/>
                <w:color w:val="auto"/>
                <w:lang w:eastAsia="zh-CN"/>
              </w:rPr>
              <w:t>；</w:t>
            </w:r>
            <w:r>
              <w:rPr>
                <w:rFonts w:hint="eastAsia" w:ascii="Times New Roman" w:hAnsi="Times New Roman" w:eastAsia="宋体" w:cs="Times New Roman"/>
                <w:color w:val="auto"/>
              </w:rPr>
              <w:t>根据《涂装行业清洁生产评价指标体系》，漆雾捕集装置的漆雾捕集效率≥95%，本次评价取95%，</w:t>
            </w:r>
            <w:r>
              <w:rPr>
                <w:color w:val="auto"/>
              </w:rPr>
              <w:t>其余5%黏附在喷漆房的地面、墙面</w:t>
            </w:r>
            <w:r>
              <w:rPr>
                <w:rFonts w:hint="eastAsia"/>
                <w:color w:val="auto"/>
                <w:lang w:eastAsia="zh-CN"/>
              </w:rPr>
              <w:t>，</w:t>
            </w:r>
            <w:r>
              <w:rPr>
                <w:color w:val="auto"/>
              </w:rPr>
              <w:t>考虑到漆雾密度较大，且易于粘附在喷漆房的地面、墙面等处，因此，在喷漆房内进行喷漆时，不考虑漆雾的无组织排放</w:t>
            </w:r>
            <w:r>
              <w:rPr>
                <w:rFonts w:hint="eastAsia"/>
                <w:color w:val="auto"/>
                <w:lang w:eastAsia="zh-CN"/>
              </w:rPr>
              <w:t>；</w:t>
            </w:r>
            <w:r>
              <w:rPr>
                <w:rFonts w:hint="eastAsia"/>
                <w:color w:val="auto"/>
                <w:lang w:val="en-US" w:eastAsia="zh-CN"/>
              </w:rPr>
              <w:t>喷漆、晾干废气中的非甲烷总烃的收集效率按99%计，则非甲烷总烃无组织排放量为0.0067t/a，排放速率4.188×10</w:t>
            </w:r>
            <w:r>
              <w:rPr>
                <w:rFonts w:hint="eastAsia"/>
                <w:color w:val="auto"/>
                <w:vertAlign w:val="superscript"/>
                <w:lang w:val="en-US" w:eastAsia="zh-CN"/>
              </w:rPr>
              <w:t>-3</w:t>
            </w:r>
            <w:r>
              <w:rPr>
                <w:rFonts w:hint="eastAsia"/>
                <w:color w:val="auto"/>
                <w:lang w:val="en-US" w:eastAsia="zh-CN"/>
              </w:rPr>
              <w:t>kg/h。</w:t>
            </w:r>
          </w:p>
          <w:p w14:paraId="74945A10">
            <w:pPr>
              <w:spacing w:line="360" w:lineRule="auto"/>
              <w:ind w:firstLine="482" w:firstLineChars="200"/>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lang w:val="en-US" w:eastAsia="zh-CN"/>
              </w:rPr>
              <w:t>3）</w:t>
            </w:r>
            <w:r>
              <w:rPr>
                <w:rFonts w:hint="default" w:ascii="Times New Roman" w:hAnsi="Times New Roman" w:cs="Times New Roman"/>
                <w:b/>
                <w:bCs/>
                <w:color w:val="auto"/>
                <w:sz w:val="24"/>
                <w:szCs w:val="24"/>
              </w:rPr>
              <w:t>废气污染防治措施可行性分析</w:t>
            </w:r>
          </w:p>
          <w:p w14:paraId="02D1E96B">
            <w:pPr>
              <w:widowControl/>
              <w:spacing w:line="360" w:lineRule="auto"/>
              <w:ind w:firstLine="482" w:firstLineChars="200"/>
              <w:jc w:val="left"/>
              <w:rPr>
                <w:rFonts w:hint="default" w:ascii="Times New Roman" w:hAnsi="Times New Roman" w:cs="Times New Roman" w:eastAsiaTheme="minorEastAsia"/>
                <w:b/>
                <w:bCs/>
                <w:color w:val="auto"/>
                <w:kern w:val="2"/>
                <w:sz w:val="24"/>
                <w:szCs w:val="24"/>
              </w:rPr>
            </w:pPr>
            <w:r>
              <w:rPr>
                <w:rFonts w:hint="default" w:ascii="Times New Roman" w:hAnsi="Times New Roman" w:cs="Times New Roman" w:eastAsiaTheme="minorEastAsia"/>
                <w:b/>
                <w:bCs/>
                <w:color w:val="auto"/>
                <w:kern w:val="2"/>
                <w:sz w:val="24"/>
                <w:szCs w:val="24"/>
                <w:lang w:val="en-US" w:eastAsia="zh-CN"/>
              </w:rPr>
              <w:t>①</w:t>
            </w:r>
            <w:r>
              <w:rPr>
                <w:rFonts w:hint="default" w:ascii="Times New Roman" w:hAnsi="Times New Roman" w:cs="Times New Roman" w:eastAsiaTheme="minorEastAsia"/>
                <w:b/>
                <w:bCs/>
                <w:color w:val="auto"/>
                <w:kern w:val="2"/>
                <w:sz w:val="24"/>
                <w:szCs w:val="24"/>
              </w:rPr>
              <w:t>技术可行性分析：</w:t>
            </w:r>
          </w:p>
          <w:p w14:paraId="2F1D2CEB">
            <w:pPr>
              <w:bidi w:val="0"/>
              <w:rPr>
                <w:rFonts w:hint="default" w:ascii="Times New Roman" w:hAnsi="Times New Roman" w:cs="Times New Roman" w:eastAsiaTheme="minorEastAsia"/>
                <w:color w:val="auto"/>
                <w:kern w:val="0"/>
                <w:sz w:val="24"/>
                <w:szCs w:val="24"/>
              </w:rPr>
            </w:pPr>
            <w:r>
              <w:rPr>
                <w:rFonts w:hint="default" w:ascii="Times New Roman" w:hAnsi="Times New Roman" w:cs="Times New Roman"/>
                <w:b w:val="0"/>
                <w:bCs w:val="0"/>
                <w:color w:val="auto"/>
                <w:sz w:val="24"/>
                <w:szCs w:val="24"/>
                <w:lang w:val="en-US" w:eastAsia="zh-CN"/>
              </w:rPr>
              <w:t>根据《排放源统计调查产排污核算方法和系数手册》中</w:t>
            </w:r>
            <w:r>
              <w:rPr>
                <w:rFonts w:hint="default" w:ascii="Times New Roman" w:hAnsi="Times New Roman" w:cs="Times New Roman"/>
                <w:b w:val="0"/>
                <w:bCs w:val="0"/>
                <w:color w:val="auto"/>
                <w:spacing w:val="-3"/>
                <w:sz w:val="24"/>
                <w:szCs w:val="24"/>
                <w:highlight w:val="none"/>
                <w:lang w:val="en-US" w:eastAsia="zh-CN"/>
              </w:rPr>
              <w:t>《机械行业系数手册》</w:t>
            </w:r>
            <w:r>
              <w:rPr>
                <w:rFonts w:hint="eastAsia" w:cs="Times New Roman"/>
                <w:b w:val="0"/>
                <w:bCs w:val="0"/>
                <w:color w:val="auto"/>
                <w:spacing w:val="-3"/>
                <w:sz w:val="24"/>
                <w:szCs w:val="24"/>
                <w:highlight w:val="none"/>
                <w:lang w:val="en-US" w:eastAsia="zh-CN"/>
              </w:rPr>
              <w:t>1</w:t>
            </w:r>
            <w:r>
              <w:rPr>
                <w:rFonts w:hint="eastAsia" w:cs="Times New Roman"/>
                <w:color w:val="auto"/>
                <w:kern w:val="2"/>
                <w:sz w:val="24"/>
                <w:szCs w:val="24"/>
                <w:lang w:val="en-US" w:eastAsia="zh-CN"/>
              </w:rPr>
              <w:t>4涂装中的喷漆</w:t>
            </w:r>
            <w:r>
              <w:rPr>
                <w:rFonts w:hint="default" w:ascii="Times New Roman" w:hAnsi="Times New Roman" w:cs="Times New Roman" w:eastAsiaTheme="minorEastAsia"/>
                <w:color w:val="auto"/>
                <w:kern w:val="2"/>
                <w:sz w:val="24"/>
                <w:szCs w:val="24"/>
                <w:lang w:eastAsia="zh-CN"/>
              </w:rPr>
              <w:t>，</w:t>
            </w:r>
            <w:r>
              <w:rPr>
                <w:rFonts w:hint="eastAsia" w:cs="Times New Roman" w:eastAsiaTheme="minorEastAsia"/>
                <w:color w:val="auto"/>
                <w:kern w:val="2"/>
                <w:sz w:val="24"/>
                <w:szCs w:val="24"/>
                <w:lang w:eastAsia="zh-CN"/>
              </w:rPr>
              <w:t>吸附法</w:t>
            </w:r>
            <w:r>
              <w:rPr>
                <w:rFonts w:hint="default" w:ascii="Times New Roman" w:hAnsi="Times New Roman" w:cs="Times New Roman" w:eastAsiaTheme="minorEastAsia"/>
                <w:color w:val="auto"/>
                <w:kern w:val="2"/>
                <w:sz w:val="24"/>
                <w:szCs w:val="24"/>
              </w:rPr>
              <w:t>属于废气可行技术参考表中可行技术</w:t>
            </w:r>
            <w:r>
              <w:rPr>
                <w:rFonts w:hint="default" w:ascii="Times New Roman" w:hAnsi="Times New Roman" w:cs="Times New Roman" w:eastAsiaTheme="minorEastAsia"/>
                <w:color w:val="auto"/>
                <w:kern w:val="2"/>
                <w:sz w:val="24"/>
                <w:szCs w:val="24"/>
                <w:lang w:eastAsia="zh-CN"/>
              </w:rPr>
              <w:t>，</w:t>
            </w:r>
            <w:r>
              <w:rPr>
                <w:rFonts w:hint="default" w:ascii="Times New Roman" w:hAnsi="Times New Roman" w:cs="Times New Roman" w:eastAsiaTheme="minorEastAsia"/>
                <w:color w:val="auto"/>
                <w:kern w:val="0"/>
                <w:sz w:val="24"/>
                <w:szCs w:val="24"/>
              </w:rPr>
              <w:t>因此</w:t>
            </w:r>
            <w:r>
              <w:rPr>
                <w:rFonts w:hint="default" w:ascii="Times New Roman" w:hAnsi="Times New Roman" w:cs="Times New Roman" w:eastAsiaTheme="minorEastAsia"/>
                <w:color w:val="auto"/>
                <w:kern w:val="0"/>
                <w:sz w:val="24"/>
                <w:szCs w:val="24"/>
                <w:lang w:eastAsia="zh-CN"/>
              </w:rPr>
              <w:t>本项目</w:t>
            </w:r>
            <w:r>
              <w:rPr>
                <w:rFonts w:hint="eastAsia" w:cs="Times New Roman" w:eastAsiaTheme="minorEastAsia"/>
                <w:color w:val="auto"/>
                <w:kern w:val="0"/>
                <w:sz w:val="24"/>
                <w:szCs w:val="24"/>
                <w:lang w:val="en-US" w:eastAsia="zh-CN"/>
              </w:rPr>
              <w:t>喷漆晾干</w:t>
            </w:r>
            <w:r>
              <w:rPr>
                <w:rFonts w:hint="default" w:ascii="Times New Roman" w:hAnsi="Times New Roman" w:cs="Times New Roman" w:eastAsiaTheme="minorEastAsia"/>
                <w:color w:val="auto"/>
                <w:kern w:val="0"/>
                <w:sz w:val="24"/>
                <w:szCs w:val="24"/>
                <w:lang w:eastAsia="zh-CN"/>
              </w:rPr>
              <w:t>废气</w:t>
            </w:r>
            <w:r>
              <w:rPr>
                <w:rFonts w:hint="default" w:ascii="Times New Roman" w:hAnsi="Times New Roman" w:cs="Times New Roman" w:eastAsiaTheme="minorEastAsia"/>
                <w:color w:val="auto"/>
                <w:kern w:val="0"/>
                <w:sz w:val="24"/>
                <w:szCs w:val="24"/>
              </w:rPr>
              <w:t>污染防治措施技术可行。</w:t>
            </w:r>
          </w:p>
          <w:p w14:paraId="6B0470C4">
            <w:pPr>
              <w:spacing w:line="360" w:lineRule="auto"/>
              <w:ind w:firstLine="482" w:firstLineChars="20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lang w:val="en-US" w:eastAsia="zh-CN"/>
              </w:rPr>
              <w:t>②</w:t>
            </w:r>
            <w:r>
              <w:rPr>
                <w:rFonts w:hint="default" w:ascii="Times New Roman" w:hAnsi="Times New Roman" w:cs="Times New Roman"/>
                <w:b/>
                <w:color w:val="auto"/>
                <w:sz w:val="24"/>
                <w:szCs w:val="24"/>
              </w:rPr>
              <w:t>排放可行性分析：</w:t>
            </w:r>
          </w:p>
          <w:p w14:paraId="1D7052AE">
            <w:pPr>
              <w:bidi w:val="0"/>
              <w:rPr>
                <w:rFonts w:hint="default" w:ascii="Times New Roman" w:hAnsi="Times New Roman" w:eastAsia="宋体" w:cs="Times New Roman"/>
                <w:b w:val="0"/>
                <w:bCs/>
                <w:color w:val="auto"/>
                <w:sz w:val="24"/>
                <w:szCs w:val="24"/>
                <w:lang w:val="en-US" w:eastAsia="zh-CN"/>
              </w:rPr>
            </w:pPr>
            <w:r>
              <w:rPr>
                <w:rFonts w:hint="default" w:ascii="Times New Roman" w:hAnsi="Times New Roman" w:cs="Times New Roman"/>
                <w:b/>
                <w:color w:val="auto"/>
                <w:sz w:val="24"/>
                <w:szCs w:val="24"/>
              </w:rPr>
              <w:t>A.风量的确定：</w:t>
            </w:r>
            <w:r>
              <w:rPr>
                <w:rFonts w:hint="eastAsia" w:cs="Times New Roman"/>
                <w:b w:val="0"/>
                <w:bCs/>
                <w:color w:val="auto"/>
                <w:sz w:val="24"/>
                <w:szCs w:val="24"/>
                <w:lang w:val="en-US" w:eastAsia="zh-CN"/>
              </w:rPr>
              <w:t>本项目使用的移动式喷漆房</w:t>
            </w:r>
            <w:r>
              <w:rPr>
                <w:rFonts w:hint="eastAsia"/>
                <w:b w:val="0"/>
                <w:bCs/>
                <w:color w:val="auto"/>
                <w:lang w:val="en-US" w:eastAsia="zh-CN"/>
              </w:rPr>
              <w:t>长10m、宽6m、高8m；</w:t>
            </w:r>
            <w:r>
              <w:rPr>
                <w:rFonts w:hint="eastAsia" w:cs="Times New Roman"/>
                <w:b w:val="0"/>
                <w:bCs/>
                <w:color w:val="auto"/>
                <w:sz w:val="24"/>
                <w:szCs w:val="24"/>
                <w:lang w:val="en-US" w:eastAsia="zh-CN"/>
              </w:rPr>
              <w:t>晾干房</w:t>
            </w:r>
            <w:r>
              <w:rPr>
                <w:rFonts w:hint="eastAsia"/>
                <w:b w:val="0"/>
                <w:bCs/>
                <w:color w:val="auto"/>
                <w:lang w:val="en-US" w:eastAsia="zh-CN"/>
              </w:rPr>
              <w:t>长10m、宽6m、高8m。</w:t>
            </w:r>
            <w:r>
              <w:rPr>
                <w:rFonts w:hint="default" w:ascii="Times New Roman" w:hAnsi="Times New Roman" w:cs="Times New Roman"/>
                <w:b w:val="0"/>
                <w:bCs/>
                <w:color w:val="auto"/>
                <w:sz w:val="24"/>
                <w:szCs w:val="24"/>
              </w:rPr>
              <w:t>根据《挥发性有机废气治理实用手册》的规定：采用整体密闭的生产线，密闭区域内换风次数原则上不少于20次/小时；对于整体密闭换风的车间，车间换风次数原则上不少于8次/小时；所有产生VOCs的密闭空间应保持微负压；考虑到项目的移动式喷漆房相当于整体密闭的生产线，其换风次数应大于20次/小时，</w:t>
            </w:r>
            <w:r>
              <w:rPr>
                <w:rFonts w:hint="eastAsia" w:cs="Times New Roman"/>
                <w:b w:val="0"/>
                <w:bCs/>
                <w:color w:val="auto"/>
                <w:sz w:val="24"/>
                <w:szCs w:val="24"/>
                <w:lang w:val="en-US" w:eastAsia="zh-CN"/>
              </w:rPr>
              <w:t>本报告按20次/小时计，</w:t>
            </w:r>
            <w:r>
              <w:rPr>
                <w:rFonts w:hint="default" w:ascii="Times New Roman" w:hAnsi="Times New Roman" w:cs="Times New Roman"/>
                <w:b w:val="0"/>
                <w:bCs/>
                <w:color w:val="auto"/>
                <w:sz w:val="24"/>
                <w:szCs w:val="24"/>
              </w:rPr>
              <w:t>从而</w:t>
            </w:r>
            <w:r>
              <w:rPr>
                <w:rFonts w:hint="eastAsia" w:cs="Times New Roman"/>
                <w:b w:val="0"/>
                <w:bCs/>
                <w:color w:val="auto"/>
                <w:sz w:val="24"/>
                <w:szCs w:val="24"/>
                <w:lang w:val="en-US" w:eastAsia="zh-CN"/>
              </w:rPr>
              <w:t>风量为96</w:t>
            </w:r>
            <w:r>
              <w:rPr>
                <w:rFonts w:hint="default" w:ascii="Times New Roman" w:hAnsi="Times New Roman" w:cs="Times New Roman"/>
                <w:b w:val="0"/>
                <w:bCs/>
                <w:color w:val="auto"/>
                <w:sz w:val="24"/>
                <w:szCs w:val="24"/>
              </w:rPr>
              <w:t>00m</w:t>
            </w:r>
            <w:r>
              <w:rPr>
                <w:rFonts w:hint="default" w:ascii="Times New Roman" w:hAnsi="Times New Roman" w:cs="Times New Roman"/>
                <w:b w:val="0"/>
                <w:bCs/>
                <w:color w:val="auto"/>
                <w:sz w:val="24"/>
                <w:szCs w:val="24"/>
                <w:vertAlign w:val="superscript"/>
              </w:rPr>
              <w:t>3</w:t>
            </w:r>
            <w:r>
              <w:rPr>
                <w:rFonts w:hint="default" w:ascii="Times New Roman" w:hAnsi="Times New Roman" w:cs="Times New Roman"/>
                <w:b w:val="0"/>
                <w:bCs/>
                <w:color w:val="auto"/>
                <w:sz w:val="24"/>
                <w:szCs w:val="24"/>
              </w:rPr>
              <w:t>/h</w:t>
            </w:r>
            <w:r>
              <w:rPr>
                <w:rFonts w:hint="eastAsia" w:cs="Times New Roman"/>
                <w:b w:val="0"/>
                <w:bCs/>
                <w:color w:val="auto"/>
                <w:sz w:val="24"/>
                <w:szCs w:val="24"/>
                <w:lang w:eastAsia="zh-CN"/>
              </w:rPr>
              <w:t>；</w:t>
            </w:r>
            <w:r>
              <w:rPr>
                <w:rFonts w:hint="eastAsia" w:cs="Times New Roman"/>
                <w:b w:val="0"/>
                <w:bCs/>
                <w:color w:val="auto"/>
                <w:sz w:val="24"/>
                <w:szCs w:val="24"/>
                <w:lang w:val="en-US" w:eastAsia="zh-CN"/>
              </w:rPr>
              <w:t>晾干房按照</w:t>
            </w:r>
            <w:r>
              <w:rPr>
                <w:rFonts w:hint="default" w:ascii="Times New Roman" w:hAnsi="Times New Roman" w:cs="Times New Roman"/>
                <w:b w:val="0"/>
                <w:bCs/>
                <w:color w:val="auto"/>
                <w:sz w:val="24"/>
                <w:szCs w:val="24"/>
              </w:rPr>
              <w:t>换风次数</w:t>
            </w:r>
            <w:r>
              <w:rPr>
                <w:rFonts w:hint="eastAsia" w:cs="Times New Roman"/>
                <w:b w:val="0"/>
                <w:bCs/>
                <w:color w:val="auto"/>
                <w:sz w:val="24"/>
                <w:szCs w:val="24"/>
                <w:lang w:eastAsia="zh-CN"/>
              </w:rPr>
              <w:t>以</w:t>
            </w:r>
            <w:r>
              <w:rPr>
                <w:rFonts w:hint="eastAsia" w:cs="Times New Roman"/>
                <w:b w:val="0"/>
                <w:bCs/>
                <w:color w:val="auto"/>
                <w:sz w:val="24"/>
                <w:szCs w:val="24"/>
                <w:lang w:val="en-US" w:eastAsia="zh-CN"/>
              </w:rPr>
              <w:t>10</w:t>
            </w:r>
            <w:r>
              <w:rPr>
                <w:rFonts w:hint="default" w:ascii="Times New Roman" w:hAnsi="Times New Roman" w:cs="Times New Roman"/>
                <w:b w:val="0"/>
                <w:bCs/>
                <w:color w:val="auto"/>
                <w:sz w:val="24"/>
                <w:szCs w:val="24"/>
              </w:rPr>
              <w:t>次/小时</w:t>
            </w:r>
            <w:r>
              <w:rPr>
                <w:rFonts w:hint="eastAsia" w:cs="Times New Roman"/>
                <w:b w:val="0"/>
                <w:bCs/>
                <w:color w:val="auto"/>
                <w:sz w:val="24"/>
                <w:szCs w:val="24"/>
                <w:lang w:val="en-US" w:eastAsia="zh-CN"/>
              </w:rPr>
              <w:t>计</w:t>
            </w:r>
            <w:r>
              <w:rPr>
                <w:rFonts w:hint="default" w:ascii="Times New Roman" w:hAnsi="Times New Roman" w:cs="Times New Roman"/>
                <w:b w:val="0"/>
                <w:bCs/>
                <w:color w:val="auto"/>
                <w:sz w:val="24"/>
                <w:szCs w:val="24"/>
              </w:rPr>
              <w:t>，</w:t>
            </w:r>
            <w:r>
              <w:rPr>
                <w:rFonts w:hint="eastAsia" w:cs="Times New Roman"/>
                <w:b w:val="0"/>
                <w:bCs/>
                <w:color w:val="auto"/>
                <w:sz w:val="24"/>
                <w:szCs w:val="24"/>
                <w:lang w:val="en-US" w:eastAsia="zh-CN"/>
              </w:rPr>
              <w:t>从而风量为4800m</w:t>
            </w:r>
            <w:r>
              <w:rPr>
                <w:rFonts w:hint="eastAsia" w:cs="Times New Roman"/>
                <w:b w:val="0"/>
                <w:bCs/>
                <w:color w:val="auto"/>
                <w:sz w:val="24"/>
                <w:szCs w:val="24"/>
                <w:vertAlign w:val="superscript"/>
                <w:lang w:val="en-US" w:eastAsia="zh-CN"/>
              </w:rPr>
              <w:t>3</w:t>
            </w:r>
            <w:r>
              <w:rPr>
                <w:rFonts w:hint="eastAsia" w:cs="Times New Roman"/>
                <w:b w:val="0"/>
                <w:bCs/>
                <w:color w:val="auto"/>
                <w:sz w:val="24"/>
                <w:szCs w:val="24"/>
                <w:lang w:val="en-US" w:eastAsia="zh-CN"/>
              </w:rPr>
              <w:t>/h。</w:t>
            </w:r>
          </w:p>
          <w:p w14:paraId="520723A3">
            <w:pPr>
              <w:bidi w:val="0"/>
              <w:rPr>
                <w:rFonts w:hint="default" w:ascii="Times New Roman" w:hAnsi="Times New Roman" w:eastAsia="宋体" w:cs="Times New Roman"/>
                <w:b/>
                <w:bCs/>
                <w:color w:val="auto"/>
                <w:lang w:val="en-US" w:eastAsia="zh-CN"/>
              </w:rPr>
            </w:pPr>
            <w:r>
              <w:rPr>
                <w:rFonts w:hint="default" w:ascii="Times New Roman" w:hAnsi="Times New Roman" w:cs="Times New Roman"/>
                <w:b/>
                <w:bCs/>
                <w:color w:val="auto"/>
                <w:sz w:val="24"/>
                <w:szCs w:val="24"/>
              </w:rPr>
              <w:t>B.处理效率的确定：</w:t>
            </w:r>
            <w:r>
              <w:rPr>
                <w:rFonts w:hint="eastAsia" w:ascii="Times New Roman" w:hAnsi="Times New Roman" w:eastAsia="宋体" w:cs="Times New Roman"/>
                <w:color w:val="auto"/>
                <w:lang w:val="en-US" w:eastAsia="zh-CN"/>
              </w:rPr>
              <w:t>根据</w:t>
            </w:r>
            <w:r>
              <w:rPr>
                <w:rFonts w:ascii="Times New Roman" w:hAnsi="Times New Roman" w:eastAsia="宋体" w:cs="Times New Roman"/>
                <w:color w:val="auto"/>
              </w:rPr>
              <w:t>《吸附法工业有机废气治理工程技术规范》（HJ2026-2013），吸附装置的净化率不得低于90%，</w:t>
            </w:r>
            <w:r>
              <w:rPr>
                <w:rFonts w:hint="eastAsia" w:ascii="Times New Roman" w:hAnsi="Times New Roman" w:eastAsia="宋体" w:cs="Times New Roman"/>
                <w:color w:val="auto"/>
                <w:lang w:eastAsia="zh-CN"/>
              </w:rPr>
              <w:t>拟建项目</w:t>
            </w:r>
            <w:r>
              <w:rPr>
                <w:rFonts w:ascii="Times New Roman" w:hAnsi="Times New Roman" w:eastAsia="宋体" w:cs="Times New Roman"/>
                <w:color w:val="auto"/>
              </w:rPr>
              <w:t>采取两级活性炭吸附，处理效率保守取90%</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则本项目喷漆、晾干废气中非甲烷总烃有组织排放量为0.066</w:t>
            </w:r>
            <w:r>
              <w:rPr>
                <w:rFonts w:hint="eastAsia" w:cs="Times New Roman"/>
                <w:color w:val="auto"/>
                <w:lang w:val="en-US" w:eastAsia="zh-CN"/>
              </w:rPr>
              <w:t>7</w:t>
            </w:r>
            <w:r>
              <w:rPr>
                <w:rFonts w:hint="eastAsia" w:ascii="Times New Roman" w:hAnsi="Times New Roman" w:eastAsia="宋体" w:cs="Times New Roman"/>
                <w:color w:val="auto"/>
                <w:lang w:val="en-US" w:eastAsia="zh-CN"/>
              </w:rPr>
              <w:t>t/a，排放浓度为4.336mg/m</w:t>
            </w:r>
            <w:r>
              <w:rPr>
                <w:rFonts w:hint="eastAsia" w:ascii="Times New Roman" w:hAnsi="Times New Roman" w:eastAsia="宋体" w:cs="Times New Roman"/>
                <w:color w:val="auto"/>
                <w:vertAlign w:val="superscript"/>
                <w:lang w:val="en-US" w:eastAsia="zh-CN"/>
              </w:rPr>
              <w:t>3</w:t>
            </w:r>
            <w:r>
              <w:rPr>
                <w:rFonts w:hint="eastAsia" w:ascii="Times New Roman" w:hAnsi="Times New Roman" w:eastAsia="宋体" w:cs="Times New Roman"/>
                <w:color w:val="auto"/>
                <w:lang w:val="en-US" w:eastAsia="zh-CN"/>
              </w:rPr>
              <w:t>。</w:t>
            </w:r>
          </w:p>
          <w:p w14:paraId="734A8523">
            <w:pPr>
              <w:bidi w:val="0"/>
              <w:rPr>
                <w:rFonts w:hint="eastAsia" w:ascii="Times New Roman" w:hAnsi="Times New Roman" w:eastAsia="宋体" w:cs="Times New Roman"/>
                <w:color w:val="auto"/>
                <w:lang w:eastAsia="zh-CN"/>
              </w:rPr>
            </w:pPr>
            <w:r>
              <w:rPr>
                <w:rFonts w:hint="eastAsia" w:ascii="Times New Roman" w:hAnsi="Times New Roman" w:eastAsia="宋体" w:cs="Times New Roman"/>
                <w:color w:val="auto"/>
              </w:rPr>
              <w:t>根据《涂装行业清洁生产评价指标体系》，漆雾捕集装置的漆雾捕集效率≥95%，本次评价取95%，</w:t>
            </w:r>
            <w:r>
              <w:rPr>
                <w:color w:val="auto"/>
              </w:rPr>
              <w:t>其余5%黏附在喷漆房的地面、墙面等处，经清理后作为漆渣来处置，</w:t>
            </w:r>
            <w:r>
              <w:rPr>
                <w:rFonts w:hint="eastAsia"/>
                <w:color w:val="auto"/>
              </w:rPr>
              <w:t>其处理效率按90%计，</w:t>
            </w:r>
            <w:r>
              <w:rPr>
                <w:rFonts w:hint="eastAsia" w:ascii="Times New Roman" w:hAnsi="Times New Roman" w:eastAsia="宋体" w:cs="Times New Roman"/>
                <w:color w:val="auto"/>
                <w:lang w:val="en-US" w:eastAsia="zh-CN"/>
              </w:rPr>
              <w:t>则本项目喷漆、晾干废气中颗粒物有组织排放量为0.</w:t>
            </w:r>
            <w:r>
              <w:rPr>
                <w:rFonts w:hint="eastAsia" w:cs="Times New Roman"/>
                <w:color w:val="auto"/>
                <w:lang w:val="en-US" w:eastAsia="zh-CN"/>
              </w:rPr>
              <w:t>234</w:t>
            </w:r>
            <w:r>
              <w:rPr>
                <w:rFonts w:hint="eastAsia" w:ascii="Times New Roman" w:hAnsi="Times New Roman" w:eastAsia="宋体" w:cs="Times New Roman"/>
                <w:color w:val="auto"/>
                <w:lang w:val="en-US" w:eastAsia="zh-CN"/>
              </w:rPr>
              <w:t>t/a，排放浓度为</w:t>
            </w:r>
            <w:r>
              <w:rPr>
                <w:rFonts w:hint="eastAsia" w:cs="Times New Roman"/>
                <w:color w:val="auto"/>
                <w:lang w:val="en-US" w:eastAsia="zh-CN"/>
              </w:rPr>
              <w:t>13.542</w:t>
            </w:r>
            <w:r>
              <w:rPr>
                <w:rFonts w:hint="eastAsia" w:ascii="Times New Roman" w:hAnsi="Times New Roman" w:eastAsia="宋体" w:cs="Times New Roman"/>
                <w:color w:val="auto"/>
                <w:lang w:val="en-US" w:eastAsia="zh-CN"/>
              </w:rPr>
              <w:t>mg/m</w:t>
            </w:r>
            <w:r>
              <w:rPr>
                <w:rFonts w:hint="eastAsia" w:ascii="Times New Roman" w:hAnsi="Times New Roman" w:eastAsia="宋体" w:cs="Times New Roman"/>
                <w:color w:val="auto"/>
                <w:vertAlign w:val="superscript"/>
                <w:lang w:val="en-US" w:eastAsia="zh-CN"/>
              </w:rPr>
              <w:t>3</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漆渣</w:t>
            </w:r>
            <w:r>
              <w:rPr>
                <w:color w:val="auto"/>
              </w:rPr>
              <w:t>年产生量为</w:t>
            </w:r>
            <w:r>
              <w:rPr>
                <w:rFonts w:hint="eastAsia"/>
                <w:color w:val="auto"/>
                <w:lang w:val="en-US" w:eastAsia="zh-CN"/>
              </w:rPr>
              <w:t>0.2463</w:t>
            </w:r>
            <w:r>
              <w:rPr>
                <w:color w:val="auto"/>
              </w:rPr>
              <w:t>t/a</w:t>
            </w:r>
            <w:r>
              <w:rPr>
                <w:rFonts w:hint="eastAsia"/>
                <w:color w:val="auto"/>
                <w:lang w:eastAsia="zh-CN"/>
              </w:rPr>
              <w:t>。</w:t>
            </w:r>
          </w:p>
          <w:p w14:paraId="2D5B7EEA">
            <w:pPr>
              <w:shd w:val="clear"/>
              <w:bidi w:val="0"/>
              <w:rPr>
                <w:b/>
                <w:bCs/>
                <w:color w:val="auto"/>
                <w:sz w:val="24"/>
                <w:szCs w:val="24"/>
                <w:lang w:val="zh-CN"/>
              </w:rPr>
            </w:pPr>
            <w:r>
              <w:rPr>
                <w:rFonts w:hint="eastAsia" w:cs="Times New Roman"/>
                <w:b/>
                <w:color w:val="auto"/>
                <w:sz w:val="24"/>
                <w:szCs w:val="24"/>
                <w:lang w:val="en-US" w:eastAsia="zh-CN"/>
              </w:rPr>
              <w:t>4）</w:t>
            </w:r>
            <w:r>
              <w:rPr>
                <w:rFonts w:hint="eastAsia"/>
                <w:b/>
                <w:bCs/>
                <w:color w:val="auto"/>
                <w:sz w:val="24"/>
                <w:szCs w:val="24"/>
                <w:lang w:val="zh-CN"/>
              </w:rPr>
              <w:t>活性炭吸附装置</w:t>
            </w:r>
            <w:r>
              <w:rPr>
                <w:b/>
                <w:bCs/>
                <w:color w:val="auto"/>
                <w:sz w:val="24"/>
                <w:szCs w:val="24"/>
                <w:lang w:val="zh-CN"/>
              </w:rPr>
              <w:t>设计参数</w:t>
            </w:r>
          </w:p>
          <w:p w14:paraId="0E9C2C3C">
            <w:pPr>
              <w:shd w:val="clear"/>
              <w:bidi w:val="0"/>
              <w:rPr>
                <w:color w:val="auto"/>
                <w:sz w:val="24"/>
                <w:szCs w:val="24"/>
              </w:rPr>
            </w:pPr>
            <w:r>
              <w:rPr>
                <w:rFonts w:hint="eastAsia"/>
                <w:color w:val="auto"/>
                <w:sz w:val="24"/>
                <w:szCs w:val="24"/>
                <w:lang w:eastAsia="zh-CN"/>
              </w:rPr>
              <w:t>本项目</w:t>
            </w:r>
            <w:r>
              <w:rPr>
                <w:rFonts w:hint="eastAsia"/>
                <w:color w:val="auto"/>
                <w:sz w:val="24"/>
                <w:szCs w:val="24"/>
                <w:lang w:val="en-US" w:eastAsia="zh-CN"/>
              </w:rPr>
              <w:t>喷漆、晾干工序</w:t>
            </w:r>
            <w:r>
              <w:rPr>
                <w:rFonts w:hint="eastAsia"/>
                <w:color w:val="auto"/>
                <w:sz w:val="24"/>
                <w:szCs w:val="24"/>
                <w:lang w:eastAsia="zh-CN"/>
              </w:rPr>
              <w:t>产生的有机废气采用活性炭吸附装置，具体参数如下：</w:t>
            </w:r>
          </w:p>
          <w:p w14:paraId="6D1E4F44">
            <w:pPr>
              <w:shd w:val="clear"/>
              <w:bidi w:val="0"/>
              <w:rPr>
                <w:color w:val="auto"/>
                <w:sz w:val="24"/>
                <w:szCs w:val="24"/>
              </w:rPr>
            </w:pPr>
            <w:r>
              <w:rPr>
                <w:rFonts w:hint="eastAsia"/>
                <w:color w:val="auto"/>
                <w:sz w:val="24"/>
                <w:szCs w:val="24"/>
                <w:lang w:val="en-US" w:eastAsia="zh-CN"/>
              </w:rPr>
              <w:t>①</w:t>
            </w:r>
            <w:r>
              <w:rPr>
                <w:color w:val="auto"/>
                <w:sz w:val="24"/>
                <w:szCs w:val="24"/>
              </w:rPr>
              <w:t>过滤面积</w:t>
            </w:r>
          </w:p>
          <w:p w14:paraId="4BE0A697">
            <w:pPr>
              <w:shd w:val="clear"/>
              <w:bidi w:val="0"/>
              <w:rPr>
                <w:color w:val="auto"/>
                <w:sz w:val="24"/>
                <w:szCs w:val="24"/>
              </w:rPr>
            </w:pPr>
            <w:r>
              <w:rPr>
                <w:color w:val="auto"/>
                <w:sz w:val="24"/>
                <w:szCs w:val="24"/>
              </w:rPr>
              <w:t>《吸附法工业有机废气治理工程技术规范（HJ 2026—2013）》中的相关要求，采用</w:t>
            </w:r>
            <w:r>
              <w:rPr>
                <w:rFonts w:hint="eastAsia"/>
                <w:color w:val="auto"/>
                <w:sz w:val="24"/>
                <w:szCs w:val="24"/>
                <w:lang w:eastAsia="zh-CN"/>
              </w:rPr>
              <w:t>颗粒</w:t>
            </w:r>
            <w:r>
              <w:rPr>
                <w:color w:val="auto"/>
                <w:sz w:val="24"/>
                <w:szCs w:val="24"/>
              </w:rPr>
              <w:t>活性炭时，其碘值不宜低于</w:t>
            </w:r>
            <w:r>
              <w:rPr>
                <w:rFonts w:hint="eastAsia"/>
                <w:color w:val="auto"/>
                <w:sz w:val="24"/>
                <w:szCs w:val="24"/>
                <w:lang w:val="en-US" w:eastAsia="zh-CN"/>
              </w:rPr>
              <w:t>800</w:t>
            </w:r>
            <w:r>
              <w:rPr>
                <w:color w:val="auto"/>
                <w:sz w:val="24"/>
                <w:szCs w:val="24"/>
              </w:rPr>
              <w:t>mg/g，气体流速宜低于</w:t>
            </w:r>
            <w:r>
              <w:rPr>
                <w:rFonts w:hint="eastAsia"/>
                <w:color w:val="auto"/>
                <w:sz w:val="24"/>
                <w:szCs w:val="24"/>
                <w:lang w:val="en-US" w:eastAsia="zh-CN"/>
              </w:rPr>
              <w:t>0.6</w:t>
            </w:r>
            <w:r>
              <w:rPr>
                <w:color w:val="auto"/>
                <w:sz w:val="24"/>
                <w:szCs w:val="24"/>
              </w:rPr>
              <w:t>m/s。本评价气体流速取</w:t>
            </w:r>
            <w:r>
              <w:rPr>
                <w:rFonts w:hint="eastAsia"/>
                <w:color w:val="auto"/>
                <w:sz w:val="24"/>
                <w:szCs w:val="24"/>
                <w:lang w:val="en-US" w:eastAsia="zh-CN"/>
              </w:rPr>
              <w:t>0.6</w:t>
            </w:r>
            <w:r>
              <w:rPr>
                <w:color w:val="auto"/>
                <w:sz w:val="24"/>
                <w:szCs w:val="24"/>
              </w:rPr>
              <w:t>m/s。则活性炭箱最低吸附过滤面积=处理风量÷3600÷风速</w:t>
            </w:r>
            <w:r>
              <w:rPr>
                <w:rFonts w:hint="eastAsia"/>
                <w:color w:val="auto"/>
                <w:sz w:val="24"/>
                <w:szCs w:val="24"/>
              </w:rPr>
              <w:t>。</w:t>
            </w:r>
          </w:p>
          <w:p w14:paraId="017A3C26">
            <w:pPr>
              <w:bidi w:val="0"/>
              <w:rPr>
                <w:rFonts w:hint="eastAsia" w:eastAsia="宋体"/>
                <w:color w:val="auto"/>
                <w:sz w:val="24"/>
                <w:szCs w:val="24"/>
                <w:lang w:val="en-US" w:eastAsia="zh-CN"/>
              </w:rPr>
            </w:pPr>
            <w:r>
              <w:rPr>
                <w:rFonts w:hint="eastAsia"/>
                <w:color w:val="auto"/>
                <w:sz w:val="24"/>
                <w:szCs w:val="24"/>
                <w:lang w:eastAsia="zh-CN"/>
              </w:rPr>
              <w:t>则</w:t>
            </w:r>
            <w:r>
              <w:rPr>
                <w:rFonts w:hint="eastAsia"/>
                <w:color w:val="auto"/>
                <w:sz w:val="24"/>
                <w:szCs w:val="24"/>
                <w:lang w:val="en-US" w:eastAsia="zh-CN"/>
              </w:rPr>
              <w:t>喷漆、晾干有机</w:t>
            </w:r>
            <w:r>
              <w:rPr>
                <w:rFonts w:hint="eastAsia"/>
                <w:color w:val="auto"/>
                <w:sz w:val="24"/>
                <w:szCs w:val="24"/>
                <w:lang w:eastAsia="zh-CN"/>
              </w:rPr>
              <w:t>废气处理</w:t>
            </w:r>
            <w:r>
              <w:rPr>
                <w:rFonts w:hint="eastAsia"/>
                <w:color w:val="auto"/>
                <w:sz w:val="24"/>
                <w:szCs w:val="24"/>
              </w:rPr>
              <w:t>工艺活性炭箱截面积为</w:t>
            </w:r>
            <w:r>
              <w:rPr>
                <w:color w:val="auto"/>
                <w:sz w:val="24"/>
                <w:szCs w:val="24"/>
              </w:rPr>
              <w:t>=</w:t>
            </w:r>
            <w:r>
              <w:rPr>
                <w:rFonts w:hint="eastAsia"/>
                <w:color w:val="auto"/>
                <w:sz w:val="24"/>
                <w:szCs w:val="24"/>
                <w:lang w:val="en-US" w:eastAsia="zh-CN"/>
              </w:rPr>
              <w:t>14400</w:t>
            </w:r>
            <w:r>
              <w:rPr>
                <w:color w:val="auto"/>
                <w:sz w:val="24"/>
                <w:szCs w:val="24"/>
              </w:rPr>
              <w:t>/3600/</w:t>
            </w:r>
            <w:r>
              <w:rPr>
                <w:rFonts w:hint="eastAsia"/>
                <w:color w:val="auto"/>
                <w:sz w:val="24"/>
                <w:szCs w:val="24"/>
                <w:lang w:val="en-US" w:eastAsia="zh-CN"/>
              </w:rPr>
              <w:t>0.6</w:t>
            </w:r>
            <w:r>
              <w:rPr>
                <w:color w:val="auto"/>
                <w:sz w:val="24"/>
                <w:szCs w:val="24"/>
              </w:rPr>
              <w:t>=</w:t>
            </w:r>
            <w:r>
              <w:rPr>
                <w:rFonts w:hint="eastAsia"/>
                <w:color w:val="auto"/>
                <w:sz w:val="24"/>
                <w:szCs w:val="24"/>
                <w:lang w:val="en-US" w:eastAsia="zh-CN"/>
              </w:rPr>
              <w:t>6.67</w:t>
            </w:r>
            <w:r>
              <w:rPr>
                <w:color w:val="auto"/>
                <w:sz w:val="24"/>
                <w:szCs w:val="24"/>
              </w:rPr>
              <w:t>m</w:t>
            </w:r>
            <w:r>
              <w:rPr>
                <w:color w:val="auto"/>
                <w:sz w:val="24"/>
                <w:szCs w:val="24"/>
                <w:vertAlign w:val="superscript"/>
              </w:rPr>
              <w:t>2</w:t>
            </w:r>
            <w:r>
              <w:rPr>
                <w:color w:val="auto"/>
                <w:sz w:val="24"/>
                <w:szCs w:val="24"/>
              </w:rPr>
              <w:t>。拟设计炭箱尺寸为</w:t>
            </w:r>
            <w:r>
              <w:rPr>
                <w:rFonts w:hint="eastAsia"/>
                <w:color w:val="auto"/>
                <w:sz w:val="24"/>
                <w:szCs w:val="24"/>
                <w:lang w:val="en-US" w:eastAsia="zh-CN"/>
              </w:rPr>
              <w:t>3.0</w:t>
            </w:r>
            <w:r>
              <w:rPr>
                <w:color w:val="auto"/>
                <w:sz w:val="24"/>
                <w:szCs w:val="24"/>
              </w:rPr>
              <w:t>m×</w:t>
            </w:r>
            <w:r>
              <w:rPr>
                <w:rFonts w:hint="eastAsia"/>
                <w:color w:val="auto"/>
                <w:sz w:val="24"/>
                <w:szCs w:val="24"/>
                <w:lang w:val="en-US" w:eastAsia="zh-CN"/>
              </w:rPr>
              <w:t>2.3</w:t>
            </w:r>
            <w:r>
              <w:rPr>
                <w:rFonts w:hint="eastAsia"/>
                <w:color w:val="auto"/>
                <w:sz w:val="24"/>
                <w:szCs w:val="24"/>
              </w:rPr>
              <w:t>m</w:t>
            </w:r>
            <w:r>
              <w:rPr>
                <w:color w:val="auto"/>
                <w:sz w:val="24"/>
                <w:szCs w:val="24"/>
              </w:rPr>
              <w:t>×</w:t>
            </w:r>
            <w:r>
              <w:rPr>
                <w:rFonts w:hint="eastAsia"/>
                <w:color w:val="auto"/>
                <w:sz w:val="24"/>
                <w:szCs w:val="24"/>
                <w:lang w:val="en-US" w:eastAsia="zh-CN"/>
              </w:rPr>
              <w:t>0.6</w:t>
            </w:r>
            <w:r>
              <w:rPr>
                <w:rFonts w:hint="eastAsia"/>
                <w:color w:val="auto"/>
                <w:sz w:val="24"/>
                <w:szCs w:val="24"/>
              </w:rPr>
              <w:t>m</w:t>
            </w:r>
            <w:r>
              <w:rPr>
                <w:rFonts w:hint="eastAsia"/>
                <w:color w:val="auto"/>
                <w:sz w:val="24"/>
                <w:szCs w:val="24"/>
                <w:lang w:val="en-US" w:eastAsia="zh-CN"/>
              </w:rPr>
              <w:t>。</w:t>
            </w:r>
          </w:p>
          <w:p w14:paraId="4E06CBCA">
            <w:pPr>
              <w:bidi w:val="0"/>
              <w:rPr>
                <w:color w:val="auto"/>
                <w:sz w:val="24"/>
                <w:szCs w:val="24"/>
              </w:rPr>
            </w:pPr>
            <w:r>
              <w:rPr>
                <w:rFonts w:hint="eastAsia"/>
                <w:color w:val="auto"/>
                <w:sz w:val="24"/>
                <w:szCs w:val="24"/>
                <w:lang w:val="en-US" w:eastAsia="zh-CN"/>
              </w:rPr>
              <w:t>②</w:t>
            </w:r>
            <w:r>
              <w:rPr>
                <w:color w:val="auto"/>
                <w:sz w:val="24"/>
                <w:szCs w:val="24"/>
              </w:rPr>
              <w:t>活性炭箱一次装填量</w:t>
            </w:r>
          </w:p>
          <w:p w14:paraId="7629B0ED">
            <w:pPr>
              <w:bidi w:val="0"/>
              <w:rPr>
                <w:color w:val="auto"/>
                <w:sz w:val="24"/>
                <w:szCs w:val="24"/>
              </w:rPr>
            </w:pPr>
            <w:r>
              <w:rPr>
                <w:rFonts w:hint="eastAsia"/>
                <w:color w:val="auto"/>
                <w:sz w:val="24"/>
                <w:szCs w:val="24"/>
                <w:lang w:eastAsia="zh-CN"/>
              </w:rPr>
              <w:t>本项目颗粒</w:t>
            </w:r>
            <w:r>
              <w:rPr>
                <w:color w:val="auto"/>
                <w:sz w:val="24"/>
                <w:szCs w:val="24"/>
              </w:rPr>
              <w:t>活性炭密度约</w:t>
            </w:r>
            <w:r>
              <w:rPr>
                <w:rFonts w:hint="eastAsia"/>
                <w:color w:val="auto"/>
                <w:sz w:val="24"/>
                <w:szCs w:val="24"/>
                <w:lang w:val="en-US" w:eastAsia="zh-CN"/>
              </w:rPr>
              <w:t>650</w:t>
            </w:r>
            <w:r>
              <w:rPr>
                <w:color w:val="auto"/>
                <w:sz w:val="24"/>
                <w:szCs w:val="24"/>
              </w:rPr>
              <w:t>kg/m</w:t>
            </w:r>
            <w:r>
              <w:rPr>
                <w:color w:val="auto"/>
                <w:sz w:val="24"/>
                <w:szCs w:val="24"/>
                <w:vertAlign w:val="superscript"/>
              </w:rPr>
              <w:t>3</w:t>
            </w:r>
            <w:r>
              <w:rPr>
                <w:color w:val="auto"/>
                <w:sz w:val="24"/>
                <w:szCs w:val="24"/>
              </w:rPr>
              <w:t>，</w:t>
            </w:r>
            <w:r>
              <w:rPr>
                <w:rFonts w:hint="eastAsia"/>
                <w:color w:val="auto"/>
                <w:sz w:val="24"/>
                <w:szCs w:val="24"/>
                <w:lang w:val="en-US" w:eastAsia="zh-CN"/>
              </w:rPr>
              <w:t>喷漆、晾干</w:t>
            </w:r>
            <w:r>
              <w:rPr>
                <w:rFonts w:hint="eastAsia"/>
                <w:color w:val="auto"/>
                <w:sz w:val="24"/>
                <w:szCs w:val="24"/>
                <w:lang w:eastAsia="zh-CN"/>
              </w:rPr>
              <w:t>有机废气处理</w:t>
            </w:r>
            <w:r>
              <w:rPr>
                <w:rFonts w:hint="eastAsia"/>
                <w:color w:val="auto"/>
                <w:sz w:val="24"/>
                <w:szCs w:val="24"/>
              </w:rPr>
              <w:t>工艺活性炭</w:t>
            </w:r>
            <w:r>
              <w:rPr>
                <w:color w:val="auto"/>
                <w:sz w:val="24"/>
                <w:szCs w:val="24"/>
              </w:rPr>
              <w:t>箱一</w:t>
            </w:r>
            <w:r>
              <w:rPr>
                <w:rFonts w:hint="eastAsia"/>
                <w:color w:val="auto"/>
                <w:sz w:val="24"/>
                <w:szCs w:val="24"/>
              </w:rPr>
              <w:t>次</w:t>
            </w:r>
            <w:r>
              <w:rPr>
                <w:color w:val="auto"/>
                <w:sz w:val="24"/>
                <w:szCs w:val="24"/>
              </w:rPr>
              <w:t>活性炭装填量</w:t>
            </w:r>
            <w:r>
              <w:rPr>
                <w:rFonts w:hint="eastAsia"/>
                <w:color w:val="auto"/>
                <w:sz w:val="24"/>
                <w:szCs w:val="24"/>
              </w:rPr>
              <w:t>=体积</w:t>
            </w:r>
            <w:r>
              <w:rPr>
                <w:color w:val="auto"/>
                <w:sz w:val="24"/>
                <w:szCs w:val="24"/>
              </w:rPr>
              <w:t>×</w:t>
            </w:r>
            <w:r>
              <w:rPr>
                <w:rFonts w:hint="eastAsia"/>
                <w:color w:val="auto"/>
                <w:sz w:val="24"/>
                <w:szCs w:val="24"/>
              </w:rPr>
              <w:t>密度，一次装填量=</w:t>
            </w:r>
            <w:r>
              <w:rPr>
                <w:rFonts w:hint="eastAsia"/>
                <w:color w:val="auto"/>
                <w:sz w:val="24"/>
                <w:szCs w:val="24"/>
                <w:lang w:val="en-US" w:eastAsia="zh-CN"/>
              </w:rPr>
              <w:t>4.14</w:t>
            </w:r>
            <w:r>
              <w:rPr>
                <w:color w:val="auto"/>
                <w:sz w:val="24"/>
                <w:szCs w:val="24"/>
              </w:rPr>
              <w:t>m</w:t>
            </w:r>
            <w:r>
              <w:rPr>
                <w:rFonts w:hint="eastAsia"/>
                <w:color w:val="auto"/>
                <w:sz w:val="24"/>
                <w:szCs w:val="24"/>
                <w:vertAlign w:val="superscript"/>
              </w:rPr>
              <w:t>3</w:t>
            </w:r>
            <w:r>
              <w:rPr>
                <w:color w:val="auto"/>
                <w:sz w:val="24"/>
                <w:szCs w:val="24"/>
              </w:rPr>
              <w:t>×</w:t>
            </w:r>
            <w:r>
              <w:rPr>
                <w:rFonts w:hint="eastAsia"/>
                <w:color w:val="auto"/>
                <w:sz w:val="24"/>
                <w:szCs w:val="24"/>
                <w:lang w:val="en-US" w:eastAsia="zh-CN"/>
              </w:rPr>
              <w:t>650</w:t>
            </w:r>
            <w:r>
              <w:rPr>
                <w:color w:val="auto"/>
                <w:sz w:val="24"/>
                <w:szCs w:val="24"/>
              </w:rPr>
              <w:t>kg/m</w:t>
            </w:r>
            <w:r>
              <w:rPr>
                <w:color w:val="auto"/>
                <w:sz w:val="24"/>
                <w:szCs w:val="24"/>
                <w:vertAlign w:val="superscript"/>
              </w:rPr>
              <w:t>3</w:t>
            </w:r>
            <w:r>
              <w:rPr>
                <w:color w:val="auto"/>
                <w:sz w:val="24"/>
                <w:szCs w:val="24"/>
              </w:rPr>
              <w:t>=</w:t>
            </w:r>
            <w:r>
              <w:rPr>
                <w:rFonts w:hint="eastAsia"/>
                <w:color w:val="auto"/>
                <w:sz w:val="24"/>
                <w:szCs w:val="24"/>
                <w:lang w:val="en-US" w:eastAsia="zh-CN"/>
              </w:rPr>
              <w:t>2691</w:t>
            </w:r>
            <w:r>
              <w:rPr>
                <w:color w:val="auto"/>
                <w:sz w:val="24"/>
                <w:szCs w:val="24"/>
              </w:rPr>
              <w:t>kg。</w:t>
            </w:r>
          </w:p>
          <w:p w14:paraId="51CF4A4B">
            <w:pPr>
              <w:bidi w:val="0"/>
              <w:rPr>
                <w:color w:val="auto"/>
                <w:sz w:val="24"/>
                <w:szCs w:val="24"/>
              </w:rPr>
            </w:pPr>
            <w:r>
              <w:rPr>
                <w:rFonts w:hint="eastAsia"/>
                <w:color w:val="auto"/>
                <w:sz w:val="24"/>
                <w:szCs w:val="24"/>
                <w:lang w:val="en-US" w:eastAsia="zh-CN"/>
              </w:rPr>
              <w:t>③</w:t>
            </w:r>
            <w:r>
              <w:rPr>
                <w:color w:val="auto"/>
                <w:sz w:val="24"/>
                <w:szCs w:val="24"/>
              </w:rPr>
              <w:t>废活性炭产生量</w:t>
            </w:r>
          </w:p>
          <w:p w14:paraId="55D9CD76">
            <w:pPr>
              <w:bidi w:val="0"/>
              <w:rPr>
                <w:color w:val="auto"/>
                <w:sz w:val="24"/>
                <w:szCs w:val="24"/>
              </w:rPr>
            </w:pPr>
            <w:r>
              <w:rPr>
                <w:rFonts w:hint="eastAsia"/>
                <w:color w:val="auto"/>
                <w:sz w:val="24"/>
                <w:szCs w:val="24"/>
              </w:rPr>
              <w:t>根据《现代涂装手册》（化学工业出版社，陈治良主编），理论上活性炭吸附量为</w:t>
            </w:r>
            <w:r>
              <w:rPr>
                <w:color w:val="auto"/>
                <w:sz w:val="24"/>
                <w:szCs w:val="24"/>
              </w:rPr>
              <w:t>0.</w:t>
            </w:r>
            <w:r>
              <w:rPr>
                <w:rFonts w:hint="eastAsia"/>
                <w:color w:val="auto"/>
                <w:sz w:val="24"/>
                <w:szCs w:val="24"/>
                <w:lang w:val="en-US" w:eastAsia="zh-CN"/>
              </w:rPr>
              <w:t>3</w:t>
            </w:r>
            <w:r>
              <w:rPr>
                <w:color w:val="auto"/>
                <w:sz w:val="24"/>
                <w:szCs w:val="24"/>
              </w:rPr>
              <w:t>gVOCs/g</w:t>
            </w:r>
            <w:r>
              <w:rPr>
                <w:rFonts w:hint="eastAsia"/>
                <w:color w:val="auto"/>
                <w:sz w:val="24"/>
                <w:szCs w:val="24"/>
              </w:rPr>
              <w:t>，活性炭吸附饱和率按</w:t>
            </w:r>
            <w:r>
              <w:rPr>
                <w:color w:val="auto"/>
                <w:sz w:val="24"/>
                <w:szCs w:val="24"/>
              </w:rPr>
              <w:t>90%</w:t>
            </w:r>
            <w:r>
              <w:rPr>
                <w:rFonts w:hint="eastAsia"/>
                <w:color w:val="auto"/>
                <w:sz w:val="24"/>
                <w:szCs w:val="24"/>
              </w:rPr>
              <w:t>，</w:t>
            </w:r>
            <w:r>
              <w:rPr>
                <w:rFonts w:hint="eastAsia"/>
                <w:color w:val="auto"/>
                <w:sz w:val="24"/>
                <w:szCs w:val="24"/>
                <w:lang w:val="en-US" w:eastAsia="zh-CN"/>
              </w:rPr>
              <w:t>喷漆、晾干</w:t>
            </w:r>
            <w:r>
              <w:rPr>
                <w:rFonts w:hint="eastAsia"/>
                <w:color w:val="auto"/>
                <w:sz w:val="24"/>
                <w:szCs w:val="24"/>
                <w:lang w:eastAsia="zh-CN"/>
              </w:rPr>
              <w:t>废气处理</w:t>
            </w:r>
            <w:r>
              <w:rPr>
                <w:rFonts w:hint="eastAsia"/>
                <w:color w:val="auto"/>
                <w:sz w:val="24"/>
                <w:szCs w:val="24"/>
              </w:rPr>
              <w:t>工艺活性炭吸附装置吸附有机废气量约</w:t>
            </w:r>
            <w:r>
              <w:rPr>
                <w:rFonts w:hint="eastAsia"/>
                <w:color w:val="auto"/>
                <w:sz w:val="24"/>
                <w:szCs w:val="24"/>
                <w:lang w:val="en-US" w:eastAsia="zh-CN"/>
              </w:rPr>
              <w:t>为0.6t，</w:t>
            </w:r>
            <w:r>
              <w:rPr>
                <w:rFonts w:hint="eastAsia"/>
                <w:color w:val="auto"/>
                <w:sz w:val="24"/>
                <w:szCs w:val="24"/>
              </w:rPr>
              <w:t>则所需活</w:t>
            </w:r>
            <w:r>
              <w:rPr>
                <w:color w:val="auto"/>
                <w:sz w:val="24"/>
                <w:szCs w:val="24"/>
              </w:rPr>
              <w:t>性炭量为</w:t>
            </w:r>
            <w:r>
              <w:rPr>
                <w:rFonts w:hint="eastAsia"/>
                <w:color w:val="auto"/>
                <w:sz w:val="24"/>
                <w:szCs w:val="24"/>
                <w:lang w:val="en-US" w:eastAsia="zh-CN"/>
              </w:rPr>
              <w:t>0.6</w:t>
            </w:r>
            <w:r>
              <w:rPr>
                <w:color w:val="auto"/>
                <w:sz w:val="24"/>
                <w:szCs w:val="24"/>
              </w:rPr>
              <w:t>÷0.</w:t>
            </w:r>
            <w:r>
              <w:rPr>
                <w:rFonts w:hint="eastAsia"/>
                <w:color w:val="auto"/>
                <w:sz w:val="24"/>
                <w:szCs w:val="24"/>
                <w:lang w:val="en-US" w:eastAsia="zh-CN"/>
              </w:rPr>
              <w:t>3</w:t>
            </w:r>
            <w:r>
              <w:rPr>
                <w:color w:val="auto"/>
                <w:sz w:val="24"/>
                <w:szCs w:val="24"/>
              </w:rPr>
              <w:t>÷0.9=</w:t>
            </w:r>
            <w:r>
              <w:rPr>
                <w:rFonts w:hint="eastAsia"/>
                <w:color w:val="auto"/>
                <w:sz w:val="24"/>
                <w:szCs w:val="24"/>
                <w:lang w:val="en-US" w:eastAsia="zh-CN"/>
              </w:rPr>
              <w:t>2.2222</w:t>
            </w:r>
            <w:r>
              <w:rPr>
                <w:color w:val="auto"/>
                <w:sz w:val="24"/>
                <w:szCs w:val="24"/>
              </w:rPr>
              <w:t>t</w:t>
            </w:r>
            <w:r>
              <w:rPr>
                <w:rFonts w:hint="eastAsia"/>
                <w:color w:val="auto"/>
                <w:sz w:val="24"/>
                <w:szCs w:val="24"/>
                <w:lang w:val="en-US" w:eastAsia="zh-CN"/>
              </w:rPr>
              <w:t>/a</w:t>
            </w:r>
            <w:r>
              <w:rPr>
                <w:color w:val="auto"/>
                <w:sz w:val="24"/>
                <w:szCs w:val="24"/>
              </w:rPr>
              <w:t>。</w:t>
            </w:r>
          </w:p>
          <w:p w14:paraId="3663B054">
            <w:pPr>
              <w:bidi w:val="0"/>
              <w:rPr>
                <w:color w:val="auto"/>
                <w:sz w:val="24"/>
                <w:szCs w:val="24"/>
              </w:rPr>
            </w:pPr>
            <w:r>
              <w:rPr>
                <w:rFonts w:hint="eastAsia"/>
                <w:color w:val="auto"/>
                <w:sz w:val="24"/>
                <w:szCs w:val="24"/>
                <w:lang w:val="en-US" w:eastAsia="zh-CN"/>
              </w:rPr>
              <w:t>④</w:t>
            </w:r>
            <w:r>
              <w:rPr>
                <w:color w:val="auto"/>
                <w:sz w:val="24"/>
                <w:szCs w:val="24"/>
              </w:rPr>
              <w:t>更换周期</w:t>
            </w:r>
          </w:p>
          <w:p w14:paraId="3AE52C92">
            <w:pPr>
              <w:keepNext w:val="0"/>
              <w:keepLines w:val="0"/>
              <w:pageBreakBefore w:val="0"/>
              <w:widowControl w:val="0"/>
              <w:kinsoku/>
              <w:wordWrap/>
              <w:overflowPunct/>
              <w:topLinePunct w:val="0"/>
              <w:autoSpaceDE/>
              <w:autoSpaceDN/>
              <w:bidi w:val="0"/>
              <w:textAlignment w:val="auto"/>
              <w:rPr>
                <w:rFonts w:hint="default"/>
                <w:color w:val="auto"/>
                <w:lang w:val="en-US" w:eastAsia="zh-CN"/>
              </w:rPr>
            </w:pPr>
            <w:r>
              <w:rPr>
                <w:rFonts w:hint="eastAsia"/>
                <w:color w:val="auto"/>
                <w:sz w:val="24"/>
                <w:szCs w:val="24"/>
                <w:lang w:val="en-US" w:eastAsia="zh-CN"/>
              </w:rPr>
              <w:t>喷漆、晾干有机废气处理</w:t>
            </w:r>
            <w:r>
              <w:rPr>
                <w:rFonts w:hint="eastAsia"/>
                <w:color w:val="auto"/>
                <w:sz w:val="24"/>
                <w:szCs w:val="24"/>
              </w:rPr>
              <w:t>工艺活性炭需要量为</w:t>
            </w:r>
            <w:r>
              <w:rPr>
                <w:rFonts w:hint="eastAsia"/>
                <w:color w:val="auto"/>
                <w:sz w:val="24"/>
                <w:szCs w:val="24"/>
                <w:lang w:val="en-US" w:eastAsia="zh-CN"/>
              </w:rPr>
              <w:t>2222.2kg/a</w:t>
            </w:r>
            <w:r>
              <w:rPr>
                <w:rFonts w:hint="eastAsia"/>
                <w:color w:val="auto"/>
                <w:sz w:val="24"/>
                <w:szCs w:val="24"/>
              </w:rPr>
              <w:t>，活性炭箱一次装填量为</w:t>
            </w:r>
            <w:r>
              <w:rPr>
                <w:rFonts w:hint="eastAsia"/>
                <w:color w:val="auto"/>
                <w:sz w:val="24"/>
                <w:szCs w:val="24"/>
                <w:lang w:val="en-US" w:eastAsia="zh-CN"/>
              </w:rPr>
              <w:t>2691kg</w:t>
            </w:r>
            <w:r>
              <w:rPr>
                <w:rFonts w:hint="eastAsia"/>
                <w:color w:val="auto"/>
                <w:sz w:val="24"/>
                <w:szCs w:val="24"/>
              </w:rPr>
              <w:t>，</w:t>
            </w:r>
            <w:r>
              <w:rPr>
                <w:rFonts w:hint="eastAsia"/>
                <w:color w:val="auto"/>
                <w:sz w:val="24"/>
                <w:szCs w:val="24"/>
                <w:lang w:val="en-US" w:eastAsia="zh-CN"/>
              </w:rPr>
              <w:t>考虑活性炭使用有效期，</w:t>
            </w:r>
            <w:r>
              <w:rPr>
                <w:rFonts w:hint="eastAsia"/>
                <w:color w:val="auto"/>
                <w:sz w:val="24"/>
                <w:szCs w:val="24"/>
                <w:lang w:eastAsia="zh-CN"/>
              </w:rPr>
              <w:t>本项目建议建设单位</w:t>
            </w:r>
            <w:r>
              <w:rPr>
                <w:rFonts w:hint="eastAsia"/>
                <w:color w:val="auto"/>
                <w:sz w:val="24"/>
                <w:szCs w:val="24"/>
                <w:lang w:val="en-US" w:eastAsia="zh-CN"/>
              </w:rPr>
              <w:t>每半年</w:t>
            </w:r>
            <w:r>
              <w:rPr>
                <w:rFonts w:hint="eastAsia"/>
                <w:color w:val="auto"/>
                <w:sz w:val="24"/>
                <w:szCs w:val="24"/>
                <w:lang w:eastAsia="zh-CN"/>
              </w:rPr>
              <w:t>更换一次，每</w:t>
            </w:r>
            <w:r>
              <w:rPr>
                <w:rFonts w:hint="eastAsia"/>
                <w:color w:val="auto"/>
                <w:sz w:val="24"/>
                <w:szCs w:val="24"/>
                <w:lang w:val="en-US" w:eastAsia="zh-CN"/>
              </w:rPr>
              <w:t>年更换2次</w:t>
            </w:r>
            <w:r>
              <w:rPr>
                <w:rFonts w:hint="default" w:ascii="Times New Roman" w:hAnsi="Times New Roman" w:cs="Times New Roman"/>
                <w:color w:val="auto"/>
                <w:sz w:val="24"/>
                <w:szCs w:val="24"/>
                <w:lang w:val="en-US" w:eastAsia="zh-CN"/>
              </w:rPr>
              <w:t>。</w:t>
            </w:r>
          </w:p>
          <w:p w14:paraId="2A0A8F5A">
            <w:pPr>
              <w:pStyle w:val="38"/>
              <w:bidi w:val="0"/>
              <w:rPr>
                <w:color w:val="auto"/>
              </w:rPr>
            </w:pPr>
            <w:r>
              <w:rPr>
                <w:color w:val="auto"/>
              </w:rPr>
              <w:t>表4-</w:t>
            </w:r>
            <w:r>
              <w:rPr>
                <w:rFonts w:hint="eastAsia"/>
                <w:color w:val="auto"/>
                <w:lang w:val="en-US" w:eastAsia="zh-CN"/>
              </w:rPr>
              <w:t>4</w:t>
            </w:r>
            <w:r>
              <w:rPr>
                <w:color w:val="auto"/>
              </w:rPr>
              <w:t xml:space="preserve">  废气产排情况一览表</w:t>
            </w:r>
          </w:p>
          <w:tbl>
            <w:tblPr>
              <w:tblStyle w:val="32"/>
              <w:tblW w:w="888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01"/>
              <w:gridCol w:w="853"/>
              <w:gridCol w:w="822"/>
              <w:gridCol w:w="761"/>
              <w:gridCol w:w="693"/>
              <w:gridCol w:w="644"/>
              <w:gridCol w:w="859"/>
              <w:gridCol w:w="808"/>
              <w:gridCol w:w="825"/>
              <w:gridCol w:w="845"/>
              <w:gridCol w:w="870"/>
            </w:tblGrid>
            <w:tr w14:paraId="7009A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blHeader/>
                <w:jc w:val="center"/>
              </w:trPr>
              <w:tc>
                <w:tcPr>
                  <w:tcW w:w="901" w:type="dxa"/>
                  <w:vMerge w:val="restart"/>
                  <w:tcBorders>
                    <w:tl2br w:val="nil"/>
                    <w:tr2bl w:val="nil"/>
                  </w:tcBorders>
                  <w:vAlign w:val="center"/>
                </w:tcPr>
                <w:p w14:paraId="3C9F92EE">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r>
                    <w:rPr>
                      <w:rFonts w:hint="default"/>
                      <w:b/>
                      <w:bCs w:val="0"/>
                      <w:color w:val="auto"/>
                      <w:sz w:val="21"/>
                      <w:szCs w:val="21"/>
                    </w:rPr>
                    <w:t>污染源</w:t>
                  </w:r>
                </w:p>
              </w:tc>
              <w:tc>
                <w:tcPr>
                  <w:tcW w:w="853" w:type="dxa"/>
                  <w:vMerge w:val="restart"/>
                  <w:tcBorders>
                    <w:tl2br w:val="nil"/>
                    <w:tr2bl w:val="nil"/>
                  </w:tcBorders>
                  <w:vAlign w:val="center"/>
                </w:tcPr>
                <w:p w14:paraId="5C5FBB8E">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r>
                    <w:rPr>
                      <w:rFonts w:hint="default"/>
                      <w:b/>
                      <w:bCs w:val="0"/>
                      <w:color w:val="auto"/>
                      <w:sz w:val="21"/>
                      <w:szCs w:val="21"/>
                    </w:rPr>
                    <w:t>污染物</w:t>
                  </w:r>
                </w:p>
              </w:tc>
              <w:tc>
                <w:tcPr>
                  <w:tcW w:w="822" w:type="dxa"/>
                  <w:vMerge w:val="restart"/>
                  <w:tcBorders>
                    <w:tl2br w:val="nil"/>
                    <w:tr2bl w:val="nil"/>
                  </w:tcBorders>
                  <w:vAlign w:val="center"/>
                </w:tcPr>
                <w:p w14:paraId="2C2424A4">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r>
                    <w:rPr>
                      <w:rFonts w:hint="default"/>
                      <w:b/>
                      <w:bCs w:val="0"/>
                      <w:color w:val="auto"/>
                      <w:sz w:val="21"/>
                      <w:szCs w:val="21"/>
                    </w:rPr>
                    <w:t>产生量t/a</w:t>
                  </w:r>
                </w:p>
              </w:tc>
              <w:tc>
                <w:tcPr>
                  <w:tcW w:w="761" w:type="dxa"/>
                  <w:vMerge w:val="restart"/>
                  <w:tcBorders>
                    <w:tl2br w:val="nil"/>
                    <w:tr2bl w:val="nil"/>
                  </w:tcBorders>
                  <w:vAlign w:val="center"/>
                </w:tcPr>
                <w:p w14:paraId="1368206C">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r>
                    <w:rPr>
                      <w:rFonts w:hint="default"/>
                      <w:b/>
                      <w:bCs w:val="0"/>
                      <w:color w:val="auto"/>
                      <w:sz w:val="21"/>
                      <w:szCs w:val="21"/>
                    </w:rPr>
                    <w:t>产生速率kg/h</w:t>
                  </w:r>
                </w:p>
              </w:tc>
              <w:tc>
                <w:tcPr>
                  <w:tcW w:w="693" w:type="dxa"/>
                  <w:vMerge w:val="restart"/>
                  <w:tcBorders>
                    <w:tl2br w:val="nil"/>
                    <w:tr2bl w:val="nil"/>
                  </w:tcBorders>
                  <w:vAlign w:val="center"/>
                </w:tcPr>
                <w:p w14:paraId="1FEE19EA">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r>
                    <w:rPr>
                      <w:rFonts w:hint="default"/>
                      <w:b/>
                      <w:bCs w:val="0"/>
                      <w:color w:val="auto"/>
                      <w:sz w:val="21"/>
                      <w:szCs w:val="21"/>
                    </w:rPr>
                    <w:t>收集效率%</w:t>
                  </w:r>
                </w:p>
              </w:tc>
              <w:tc>
                <w:tcPr>
                  <w:tcW w:w="644" w:type="dxa"/>
                  <w:vMerge w:val="restart"/>
                  <w:tcBorders>
                    <w:tl2br w:val="nil"/>
                    <w:tr2bl w:val="nil"/>
                  </w:tcBorders>
                  <w:vAlign w:val="center"/>
                </w:tcPr>
                <w:p w14:paraId="224C76ED">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r>
                    <w:rPr>
                      <w:rFonts w:hint="default"/>
                      <w:b/>
                      <w:bCs w:val="0"/>
                      <w:color w:val="auto"/>
                      <w:sz w:val="21"/>
                      <w:szCs w:val="21"/>
                    </w:rPr>
                    <w:t>处理效率%</w:t>
                  </w:r>
                </w:p>
              </w:tc>
              <w:tc>
                <w:tcPr>
                  <w:tcW w:w="3337" w:type="dxa"/>
                  <w:gridSpan w:val="4"/>
                  <w:tcBorders>
                    <w:tl2br w:val="nil"/>
                    <w:tr2bl w:val="nil"/>
                  </w:tcBorders>
                  <w:vAlign w:val="center"/>
                </w:tcPr>
                <w:p w14:paraId="59FAD2C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r>
                    <w:rPr>
                      <w:rFonts w:hint="default"/>
                      <w:b/>
                      <w:bCs w:val="0"/>
                      <w:color w:val="auto"/>
                      <w:sz w:val="21"/>
                      <w:szCs w:val="21"/>
                    </w:rPr>
                    <w:t>有组织</w:t>
                  </w:r>
                </w:p>
              </w:tc>
              <w:tc>
                <w:tcPr>
                  <w:tcW w:w="870" w:type="dxa"/>
                  <w:vMerge w:val="restart"/>
                  <w:tcBorders>
                    <w:tl2br w:val="nil"/>
                    <w:tr2bl w:val="nil"/>
                  </w:tcBorders>
                  <w:vAlign w:val="center"/>
                </w:tcPr>
                <w:p w14:paraId="281383A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r>
                    <w:rPr>
                      <w:rFonts w:hint="default"/>
                      <w:b/>
                      <w:bCs w:val="0"/>
                      <w:color w:val="auto"/>
                      <w:sz w:val="21"/>
                      <w:szCs w:val="21"/>
                    </w:rPr>
                    <w:t>无组织排放量t/a</w:t>
                  </w:r>
                </w:p>
              </w:tc>
            </w:tr>
            <w:tr w14:paraId="124EC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blHeader/>
                <w:jc w:val="center"/>
              </w:trPr>
              <w:tc>
                <w:tcPr>
                  <w:tcW w:w="901" w:type="dxa"/>
                  <w:vMerge w:val="continue"/>
                  <w:tcBorders>
                    <w:tl2br w:val="nil"/>
                    <w:tr2bl w:val="nil"/>
                  </w:tcBorders>
                  <w:vAlign w:val="center"/>
                </w:tcPr>
                <w:p w14:paraId="2A47F01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853" w:type="dxa"/>
                  <w:vMerge w:val="continue"/>
                  <w:tcBorders>
                    <w:tl2br w:val="nil"/>
                    <w:tr2bl w:val="nil"/>
                  </w:tcBorders>
                  <w:vAlign w:val="center"/>
                </w:tcPr>
                <w:p w14:paraId="116B8FA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822" w:type="dxa"/>
                  <w:vMerge w:val="continue"/>
                  <w:tcBorders>
                    <w:tl2br w:val="nil"/>
                    <w:tr2bl w:val="nil"/>
                  </w:tcBorders>
                  <w:vAlign w:val="center"/>
                </w:tcPr>
                <w:p w14:paraId="06E76A8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761" w:type="dxa"/>
                  <w:vMerge w:val="continue"/>
                  <w:tcBorders>
                    <w:tl2br w:val="nil"/>
                    <w:tr2bl w:val="nil"/>
                  </w:tcBorders>
                  <w:vAlign w:val="center"/>
                </w:tcPr>
                <w:p w14:paraId="5A9B428E">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693" w:type="dxa"/>
                  <w:vMerge w:val="continue"/>
                  <w:tcBorders>
                    <w:tl2br w:val="nil"/>
                    <w:tr2bl w:val="nil"/>
                  </w:tcBorders>
                  <w:vAlign w:val="center"/>
                </w:tcPr>
                <w:p w14:paraId="3AA83D9A">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644" w:type="dxa"/>
                  <w:vMerge w:val="continue"/>
                  <w:tcBorders>
                    <w:tl2br w:val="nil"/>
                    <w:tr2bl w:val="nil"/>
                  </w:tcBorders>
                  <w:vAlign w:val="center"/>
                </w:tcPr>
                <w:p w14:paraId="110BA7A3">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859" w:type="dxa"/>
                  <w:vMerge w:val="restart"/>
                  <w:tcBorders>
                    <w:tl2br w:val="nil"/>
                    <w:tr2bl w:val="nil"/>
                  </w:tcBorders>
                  <w:vAlign w:val="center"/>
                </w:tcPr>
                <w:p w14:paraId="0E47ABF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r>
                    <w:rPr>
                      <w:rFonts w:hint="default"/>
                      <w:b/>
                      <w:bCs w:val="0"/>
                      <w:color w:val="auto"/>
                      <w:sz w:val="21"/>
                      <w:szCs w:val="21"/>
                    </w:rPr>
                    <w:t>排放量t/a</w:t>
                  </w:r>
                </w:p>
              </w:tc>
              <w:tc>
                <w:tcPr>
                  <w:tcW w:w="808" w:type="dxa"/>
                  <w:vMerge w:val="restart"/>
                  <w:tcBorders>
                    <w:tl2br w:val="nil"/>
                    <w:tr2bl w:val="nil"/>
                  </w:tcBorders>
                  <w:vAlign w:val="center"/>
                </w:tcPr>
                <w:p w14:paraId="6CAD8B8B">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r>
                    <w:rPr>
                      <w:rFonts w:hint="default"/>
                      <w:b/>
                      <w:bCs w:val="0"/>
                      <w:color w:val="auto"/>
                      <w:sz w:val="21"/>
                      <w:szCs w:val="21"/>
                    </w:rPr>
                    <w:t>排放速率kg/h</w:t>
                  </w:r>
                </w:p>
              </w:tc>
              <w:tc>
                <w:tcPr>
                  <w:tcW w:w="1670" w:type="dxa"/>
                  <w:gridSpan w:val="2"/>
                  <w:tcBorders>
                    <w:tl2br w:val="nil"/>
                    <w:tr2bl w:val="nil"/>
                  </w:tcBorders>
                  <w:vAlign w:val="center"/>
                </w:tcPr>
                <w:p w14:paraId="4771DD1A">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r>
                    <w:rPr>
                      <w:rFonts w:hint="default"/>
                      <w:b/>
                      <w:bCs w:val="0"/>
                      <w:color w:val="auto"/>
                      <w:sz w:val="21"/>
                      <w:szCs w:val="21"/>
                    </w:rPr>
                    <w:t>浓度mg/m</w:t>
                  </w:r>
                  <w:r>
                    <w:rPr>
                      <w:rFonts w:hint="default"/>
                      <w:b/>
                      <w:bCs w:val="0"/>
                      <w:color w:val="auto"/>
                      <w:sz w:val="21"/>
                      <w:szCs w:val="21"/>
                      <w:vertAlign w:val="superscript"/>
                    </w:rPr>
                    <w:t>3</w:t>
                  </w:r>
                </w:p>
              </w:tc>
              <w:tc>
                <w:tcPr>
                  <w:tcW w:w="870" w:type="dxa"/>
                  <w:vMerge w:val="continue"/>
                  <w:tcBorders>
                    <w:tl2br w:val="nil"/>
                    <w:tr2bl w:val="nil"/>
                  </w:tcBorders>
                  <w:vAlign w:val="center"/>
                </w:tcPr>
                <w:p w14:paraId="1DD9202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r>
            <w:tr w14:paraId="64CB9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blHeader/>
                <w:jc w:val="center"/>
              </w:trPr>
              <w:tc>
                <w:tcPr>
                  <w:tcW w:w="901" w:type="dxa"/>
                  <w:vMerge w:val="continue"/>
                  <w:tcBorders>
                    <w:tl2br w:val="nil"/>
                    <w:tr2bl w:val="nil"/>
                  </w:tcBorders>
                  <w:vAlign w:val="center"/>
                </w:tcPr>
                <w:p w14:paraId="25F07C72">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853" w:type="dxa"/>
                  <w:vMerge w:val="continue"/>
                  <w:tcBorders>
                    <w:tl2br w:val="nil"/>
                    <w:tr2bl w:val="nil"/>
                  </w:tcBorders>
                  <w:vAlign w:val="center"/>
                </w:tcPr>
                <w:p w14:paraId="2B8D56E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822" w:type="dxa"/>
                  <w:vMerge w:val="continue"/>
                  <w:tcBorders>
                    <w:tl2br w:val="nil"/>
                    <w:tr2bl w:val="nil"/>
                  </w:tcBorders>
                  <w:vAlign w:val="center"/>
                </w:tcPr>
                <w:p w14:paraId="603B906D">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761" w:type="dxa"/>
                  <w:vMerge w:val="continue"/>
                  <w:tcBorders>
                    <w:tl2br w:val="nil"/>
                    <w:tr2bl w:val="nil"/>
                  </w:tcBorders>
                  <w:vAlign w:val="center"/>
                </w:tcPr>
                <w:p w14:paraId="2334AB08">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693" w:type="dxa"/>
                  <w:vMerge w:val="continue"/>
                  <w:tcBorders>
                    <w:tl2br w:val="nil"/>
                    <w:tr2bl w:val="nil"/>
                  </w:tcBorders>
                  <w:vAlign w:val="center"/>
                </w:tcPr>
                <w:p w14:paraId="4417678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644" w:type="dxa"/>
                  <w:vMerge w:val="continue"/>
                  <w:tcBorders>
                    <w:tl2br w:val="nil"/>
                    <w:tr2bl w:val="nil"/>
                  </w:tcBorders>
                  <w:vAlign w:val="center"/>
                </w:tcPr>
                <w:p w14:paraId="62C2455C">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859" w:type="dxa"/>
                  <w:vMerge w:val="continue"/>
                  <w:tcBorders>
                    <w:tl2br w:val="nil"/>
                    <w:tr2bl w:val="nil"/>
                  </w:tcBorders>
                  <w:vAlign w:val="center"/>
                </w:tcPr>
                <w:p w14:paraId="4B402384">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808" w:type="dxa"/>
                  <w:vMerge w:val="continue"/>
                  <w:tcBorders>
                    <w:tl2br w:val="nil"/>
                    <w:tr2bl w:val="nil"/>
                  </w:tcBorders>
                  <w:vAlign w:val="center"/>
                </w:tcPr>
                <w:p w14:paraId="59F5C0CB">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c>
                <w:tcPr>
                  <w:tcW w:w="825" w:type="dxa"/>
                  <w:tcBorders>
                    <w:tl2br w:val="nil"/>
                    <w:tr2bl w:val="nil"/>
                  </w:tcBorders>
                  <w:vAlign w:val="center"/>
                </w:tcPr>
                <w:p w14:paraId="13647A4E">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lang w:eastAsia="zh-CN"/>
                    </w:rPr>
                  </w:pPr>
                  <w:r>
                    <w:rPr>
                      <w:rFonts w:hint="default"/>
                      <w:b/>
                      <w:bCs w:val="0"/>
                      <w:color w:val="auto"/>
                      <w:sz w:val="21"/>
                      <w:szCs w:val="21"/>
                      <w:lang w:eastAsia="zh-CN"/>
                    </w:rPr>
                    <w:t>以废气量计</w:t>
                  </w:r>
                </w:p>
              </w:tc>
              <w:tc>
                <w:tcPr>
                  <w:tcW w:w="845" w:type="dxa"/>
                  <w:tcBorders>
                    <w:tl2br w:val="nil"/>
                    <w:tr2bl w:val="nil"/>
                  </w:tcBorders>
                  <w:vAlign w:val="center"/>
                </w:tcPr>
                <w:p w14:paraId="7FE4474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lang w:eastAsia="zh-CN"/>
                    </w:rPr>
                  </w:pPr>
                  <w:r>
                    <w:rPr>
                      <w:rFonts w:hint="default"/>
                      <w:b/>
                      <w:bCs w:val="0"/>
                      <w:color w:val="auto"/>
                      <w:sz w:val="21"/>
                      <w:szCs w:val="21"/>
                      <w:lang w:eastAsia="zh-CN"/>
                    </w:rPr>
                    <w:t>以</w:t>
                  </w:r>
                  <w:r>
                    <w:rPr>
                      <w:rFonts w:hint="eastAsia"/>
                      <w:b/>
                      <w:bCs w:val="0"/>
                      <w:color w:val="auto"/>
                      <w:sz w:val="21"/>
                      <w:szCs w:val="21"/>
                      <w:lang w:val="en-US" w:eastAsia="zh-CN"/>
                    </w:rPr>
                    <w:t>设计</w:t>
                  </w:r>
                  <w:r>
                    <w:rPr>
                      <w:rFonts w:hint="default"/>
                      <w:b/>
                      <w:bCs w:val="0"/>
                      <w:color w:val="auto"/>
                      <w:sz w:val="21"/>
                      <w:szCs w:val="21"/>
                      <w:lang w:eastAsia="zh-CN"/>
                    </w:rPr>
                    <w:t>风量计</w:t>
                  </w:r>
                </w:p>
              </w:tc>
              <w:tc>
                <w:tcPr>
                  <w:tcW w:w="870" w:type="dxa"/>
                  <w:vMerge w:val="continue"/>
                  <w:tcBorders>
                    <w:tl2br w:val="nil"/>
                    <w:tr2bl w:val="nil"/>
                  </w:tcBorders>
                  <w:vAlign w:val="center"/>
                </w:tcPr>
                <w:p w14:paraId="0DF97B74">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bCs w:val="0"/>
                      <w:color w:val="auto"/>
                      <w:sz w:val="21"/>
                      <w:szCs w:val="21"/>
                    </w:rPr>
                  </w:pPr>
                </w:p>
              </w:tc>
            </w:tr>
            <w:tr w14:paraId="43AEA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01" w:type="dxa"/>
                  <w:tcBorders>
                    <w:tl2br w:val="nil"/>
                    <w:tr2bl w:val="nil"/>
                  </w:tcBorders>
                  <w:vAlign w:val="center"/>
                </w:tcPr>
                <w:p w14:paraId="0FC0705A">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eastAsia="zh-CN"/>
                    </w:rPr>
                  </w:pPr>
                  <w:r>
                    <w:rPr>
                      <w:rFonts w:hint="eastAsia"/>
                      <w:b w:val="0"/>
                      <w:bCs/>
                      <w:color w:val="auto"/>
                      <w:sz w:val="21"/>
                      <w:szCs w:val="21"/>
                      <w:lang w:val="en-US" w:eastAsia="zh-CN"/>
                    </w:rPr>
                    <w:t>激光切割</w:t>
                  </w:r>
                </w:p>
              </w:tc>
              <w:tc>
                <w:tcPr>
                  <w:tcW w:w="853" w:type="dxa"/>
                  <w:tcBorders>
                    <w:tl2br w:val="nil"/>
                    <w:tr2bl w:val="nil"/>
                  </w:tcBorders>
                  <w:vAlign w:val="center"/>
                </w:tcPr>
                <w:p w14:paraId="42DCA8D2">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rPr>
                  </w:pPr>
                  <w:r>
                    <w:rPr>
                      <w:rFonts w:hint="default"/>
                      <w:b w:val="0"/>
                      <w:bCs/>
                      <w:color w:val="auto"/>
                      <w:sz w:val="21"/>
                      <w:szCs w:val="21"/>
                    </w:rPr>
                    <w:t>颗粒物</w:t>
                  </w:r>
                </w:p>
              </w:tc>
              <w:tc>
                <w:tcPr>
                  <w:tcW w:w="822" w:type="dxa"/>
                  <w:tcBorders>
                    <w:tl2br w:val="nil"/>
                    <w:tr2bl w:val="nil"/>
                  </w:tcBorders>
                  <w:vAlign w:val="center"/>
                </w:tcPr>
                <w:p w14:paraId="0EC22D9C">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0.95</w:t>
                  </w:r>
                </w:p>
              </w:tc>
              <w:tc>
                <w:tcPr>
                  <w:tcW w:w="761" w:type="dxa"/>
                  <w:tcBorders>
                    <w:tl2br w:val="nil"/>
                    <w:tr2bl w:val="nil"/>
                  </w:tcBorders>
                  <w:vAlign w:val="center"/>
                </w:tcPr>
                <w:p w14:paraId="14C571FD">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0.720</w:t>
                  </w:r>
                </w:p>
              </w:tc>
              <w:tc>
                <w:tcPr>
                  <w:tcW w:w="693" w:type="dxa"/>
                  <w:tcBorders>
                    <w:tl2br w:val="nil"/>
                    <w:tr2bl w:val="nil"/>
                  </w:tcBorders>
                  <w:vAlign w:val="center"/>
                </w:tcPr>
                <w:p w14:paraId="277E7C2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80</w:t>
                  </w:r>
                </w:p>
              </w:tc>
              <w:tc>
                <w:tcPr>
                  <w:tcW w:w="644" w:type="dxa"/>
                  <w:tcBorders>
                    <w:tl2br w:val="nil"/>
                    <w:tr2bl w:val="nil"/>
                  </w:tcBorders>
                  <w:vAlign w:val="center"/>
                </w:tcPr>
                <w:p w14:paraId="6C90302C">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95</w:t>
                  </w:r>
                </w:p>
              </w:tc>
              <w:tc>
                <w:tcPr>
                  <w:tcW w:w="859" w:type="dxa"/>
                  <w:tcBorders>
                    <w:tl2br w:val="nil"/>
                    <w:tr2bl w:val="nil"/>
                  </w:tcBorders>
                  <w:vAlign w:val="center"/>
                </w:tcPr>
                <w:p w14:paraId="2ADAD803">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0.038</w:t>
                  </w:r>
                </w:p>
              </w:tc>
              <w:tc>
                <w:tcPr>
                  <w:tcW w:w="808" w:type="dxa"/>
                  <w:tcBorders>
                    <w:tl2br w:val="nil"/>
                    <w:tr2bl w:val="nil"/>
                  </w:tcBorders>
                  <w:vAlign w:val="center"/>
                </w:tcPr>
                <w:p w14:paraId="48E69858">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0.288</w:t>
                  </w:r>
                </w:p>
              </w:tc>
              <w:tc>
                <w:tcPr>
                  <w:tcW w:w="825" w:type="dxa"/>
                  <w:tcBorders>
                    <w:tl2br w:val="nil"/>
                    <w:tr2bl w:val="nil"/>
                  </w:tcBorders>
                  <w:vAlign w:val="center"/>
                </w:tcPr>
                <w:p w14:paraId="6E728D4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18.978</w:t>
                  </w:r>
                </w:p>
              </w:tc>
              <w:tc>
                <w:tcPr>
                  <w:tcW w:w="845" w:type="dxa"/>
                  <w:tcBorders>
                    <w:tl2br w:val="nil"/>
                    <w:tr2bl w:val="nil"/>
                  </w:tcBorders>
                  <w:vAlign w:val="center"/>
                </w:tcPr>
                <w:p w14:paraId="127965F0">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7.197</w:t>
                  </w:r>
                </w:p>
              </w:tc>
              <w:tc>
                <w:tcPr>
                  <w:tcW w:w="870" w:type="dxa"/>
                  <w:tcBorders>
                    <w:tl2br w:val="nil"/>
                    <w:tr2bl w:val="nil"/>
                  </w:tcBorders>
                  <w:vAlign w:val="center"/>
                </w:tcPr>
                <w:p w14:paraId="54B55712">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0.19</w:t>
                  </w:r>
                </w:p>
              </w:tc>
            </w:tr>
            <w:tr w14:paraId="1C2A4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jc w:val="center"/>
              </w:trPr>
              <w:tc>
                <w:tcPr>
                  <w:tcW w:w="901" w:type="dxa"/>
                  <w:tcBorders>
                    <w:tl2br w:val="nil"/>
                    <w:tr2bl w:val="nil"/>
                  </w:tcBorders>
                  <w:vAlign w:val="center"/>
                </w:tcPr>
                <w:p w14:paraId="7B0D4FEC">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eastAsia="zh-CN"/>
                    </w:rPr>
                  </w:pPr>
                  <w:r>
                    <w:rPr>
                      <w:rFonts w:hint="eastAsia"/>
                      <w:b w:val="0"/>
                      <w:bCs/>
                      <w:color w:val="auto"/>
                      <w:sz w:val="21"/>
                      <w:szCs w:val="21"/>
                      <w:lang w:val="en-US" w:eastAsia="zh-CN"/>
                    </w:rPr>
                    <w:t>锯床切割</w:t>
                  </w:r>
                </w:p>
              </w:tc>
              <w:tc>
                <w:tcPr>
                  <w:tcW w:w="853" w:type="dxa"/>
                  <w:tcBorders>
                    <w:tl2br w:val="nil"/>
                    <w:tr2bl w:val="nil"/>
                  </w:tcBorders>
                  <w:vAlign w:val="center"/>
                </w:tcPr>
                <w:p w14:paraId="1839C0A4">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rPr>
                  </w:pPr>
                  <w:r>
                    <w:rPr>
                      <w:rFonts w:hint="default"/>
                      <w:b w:val="0"/>
                      <w:bCs/>
                      <w:color w:val="auto"/>
                      <w:sz w:val="21"/>
                      <w:szCs w:val="21"/>
                    </w:rPr>
                    <w:t>颗粒物</w:t>
                  </w:r>
                </w:p>
              </w:tc>
              <w:tc>
                <w:tcPr>
                  <w:tcW w:w="822" w:type="dxa"/>
                  <w:tcBorders>
                    <w:tl2br w:val="nil"/>
                    <w:tr2bl w:val="nil"/>
                  </w:tcBorders>
                  <w:vAlign w:val="center"/>
                </w:tcPr>
                <w:p w14:paraId="64B4223D">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10.51</w:t>
                  </w:r>
                </w:p>
              </w:tc>
              <w:tc>
                <w:tcPr>
                  <w:tcW w:w="761" w:type="dxa"/>
                  <w:tcBorders>
                    <w:tl2br w:val="nil"/>
                    <w:tr2bl w:val="nil"/>
                  </w:tcBorders>
                  <w:vAlign w:val="center"/>
                </w:tcPr>
                <w:p w14:paraId="61D75DFB">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3.981</w:t>
                  </w:r>
                </w:p>
              </w:tc>
              <w:tc>
                <w:tcPr>
                  <w:tcW w:w="693" w:type="dxa"/>
                  <w:tcBorders>
                    <w:tl2br w:val="nil"/>
                    <w:tr2bl w:val="nil"/>
                  </w:tcBorders>
                  <w:vAlign w:val="center"/>
                </w:tcPr>
                <w:p w14:paraId="1D546E77">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80</w:t>
                  </w:r>
                </w:p>
              </w:tc>
              <w:tc>
                <w:tcPr>
                  <w:tcW w:w="644" w:type="dxa"/>
                  <w:tcBorders>
                    <w:tl2br w:val="nil"/>
                    <w:tr2bl w:val="nil"/>
                  </w:tcBorders>
                  <w:vAlign w:val="center"/>
                </w:tcPr>
                <w:p w14:paraId="05702155">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95</w:t>
                  </w:r>
                </w:p>
              </w:tc>
              <w:tc>
                <w:tcPr>
                  <w:tcW w:w="859" w:type="dxa"/>
                  <w:tcBorders>
                    <w:tl2br w:val="nil"/>
                    <w:tr2bl w:val="nil"/>
                  </w:tcBorders>
                  <w:vAlign w:val="center"/>
                </w:tcPr>
                <w:p w14:paraId="39A5173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rPr>
                  </w:pPr>
                  <w:r>
                    <w:rPr>
                      <w:rFonts w:hint="default"/>
                      <w:b w:val="0"/>
                      <w:bCs/>
                      <w:color w:val="auto"/>
                      <w:sz w:val="21"/>
                      <w:szCs w:val="21"/>
                      <w:lang w:val="en-US" w:eastAsia="zh-CN"/>
                    </w:rPr>
                    <w:t>/</w:t>
                  </w:r>
                </w:p>
              </w:tc>
              <w:tc>
                <w:tcPr>
                  <w:tcW w:w="808" w:type="dxa"/>
                  <w:tcBorders>
                    <w:tl2br w:val="nil"/>
                    <w:tr2bl w:val="nil"/>
                  </w:tcBorders>
                  <w:vAlign w:val="center"/>
                </w:tcPr>
                <w:p w14:paraId="7397DFF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rPr>
                  </w:pPr>
                  <w:r>
                    <w:rPr>
                      <w:rFonts w:hint="default"/>
                      <w:b w:val="0"/>
                      <w:bCs/>
                      <w:color w:val="auto"/>
                      <w:sz w:val="21"/>
                      <w:szCs w:val="21"/>
                      <w:lang w:val="en-US" w:eastAsia="zh-CN"/>
                    </w:rPr>
                    <w:t>/</w:t>
                  </w:r>
                </w:p>
              </w:tc>
              <w:tc>
                <w:tcPr>
                  <w:tcW w:w="825" w:type="dxa"/>
                  <w:tcBorders>
                    <w:tl2br w:val="nil"/>
                    <w:tr2bl w:val="nil"/>
                  </w:tcBorders>
                  <w:vAlign w:val="center"/>
                </w:tcPr>
                <w:p w14:paraId="4270ED22">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default"/>
                      <w:b w:val="0"/>
                      <w:bCs/>
                      <w:color w:val="auto"/>
                      <w:sz w:val="21"/>
                      <w:szCs w:val="21"/>
                      <w:lang w:val="en-US" w:eastAsia="zh-CN"/>
                    </w:rPr>
                    <w:t>/</w:t>
                  </w:r>
                </w:p>
              </w:tc>
              <w:tc>
                <w:tcPr>
                  <w:tcW w:w="845" w:type="dxa"/>
                  <w:tcBorders>
                    <w:tl2br w:val="nil"/>
                    <w:tr2bl w:val="nil"/>
                  </w:tcBorders>
                  <w:vAlign w:val="center"/>
                </w:tcPr>
                <w:p w14:paraId="6DE91AB7">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default"/>
                      <w:b w:val="0"/>
                      <w:bCs/>
                      <w:color w:val="auto"/>
                      <w:sz w:val="21"/>
                      <w:szCs w:val="21"/>
                      <w:lang w:val="en-US" w:eastAsia="zh-CN"/>
                    </w:rPr>
                    <w:t>/</w:t>
                  </w:r>
                </w:p>
              </w:tc>
              <w:tc>
                <w:tcPr>
                  <w:tcW w:w="870" w:type="dxa"/>
                  <w:tcBorders>
                    <w:tl2br w:val="nil"/>
                    <w:tr2bl w:val="nil"/>
                  </w:tcBorders>
                  <w:vAlign w:val="center"/>
                </w:tcPr>
                <w:p w14:paraId="0D90F155">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2.5224</w:t>
                  </w:r>
                </w:p>
              </w:tc>
            </w:tr>
            <w:tr w14:paraId="5E2157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1" w:hRule="atLeast"/>
                <w:jc w:val="center"/>
              </w:trPr>
              <w:tc>
                <w:tcPr>
                  <w:tcW w:w="901" w:type="dxa"/>
                  <w:vMerge w:val="restart"/>
                  <w:tcBorders>
                    <w:tl2br w:val="nil"/>
                    <w:tr2bl w:val="nil"/>
                  </w:tcBorders>
                  <w:vAlign w:val="center"/>
                </w:tcPr>
                <w:p w14:paraId="49E7DBBE">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eastAsia="zh-CN"/>
                    </w:rPr>
                  </w:pPr>
                  <w:r>
                    <w:rPr>
                      <w:rFonts w:hint="eastAsia"/>
                      <w:b w:val="0"/>
                      <w:bCs/>
                      <w:color w:val="auto"/>
                      <w:sz w:val="21"/>
                      <w:szCs w:val="21"/>
                      <w:lang w:val="en-US" w:eastAsia="zh-CN"/>
                    </w:rPr>
                    <w:t>焊接</w:t>
                  </w:r>
                </w:p>
              </w:tc>
              <w:tc>
                <w:tcPr>
                  <w:tcW w:w="853" w:type="dxa"/>
                  <w:tcBorders>
                    <w:tl2br w:val="nil"/>
                    <w:tr2bl w:val="nil"/>
                  </w:tcBorders>
                  <w:vAlign w:val="center"/>
                </w:tcPr>
                <w:p w14:paraId="1A7ADFB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eastAsia="zh-CN"/>
                    </w:rPr>
                  </w:pPr>
                  <w:r>
                    <w:rPr>
                      <w:rFonts w:hint="default"/>
                      <w:b w:val="0"/>
                      <w:bCs/>
                      <w:color w:val="auto"/>
                      <w:sz w:val="21"/>
                      <w:szCs w:val="21"/>
                      <w:lang w:eastAsia="zh-CN"/>
                    </w:rPr>
                    <w:t>颗粒物</w:t>
                  </w:r>
                </w:p>
              </w:tc>
              <w:tc>
                <w:tcPr>
                  <w:tcW w:w="822" w:type="dxa"/>
                  <w:tcBorders>
                    <w:tl2br w:val="nil"/>
                    <w:tr2bl w:val="nil"/>
                  </w:tcBorders>
                  <w:vAlign w:val="center"/>
                </w:tcPr>
                <w:p w14:paraId="40CBF870">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0.478</w:t>
                  </w:r>
                </w:p>
              </w:tc>
              <w:tc>
                <w:tcPr>
                  <w:tcW w:w="761" w:type="dxa"/>
                  <w:tcBorders>
                    <w:tl2br w:val="nil"/>
                    <w:tr2bl w:val="nil"/>
                  </w:tcBorders>
                  <w:vAlign w:val="center"/>
                </w:tcPr>
                <w:p w14:paraId="7870BAF8">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0.181</w:t>
                  </w:r>
                </w:p>
              </w:tc>
              <w:tc>
                <w:tcPr>
                  <w:tcW w:w="693" w:type="dxa"/>
                  <w:tcBorders>
                    <w:tl2br w:val="nil"/>
                    <w:tr2bl w:val="nil"/>
                  </w:tcBorders>
                  <w:vAlign w:val="center"/>
                </w:tcPr>
                <w:p w14:paraId="7C55891E">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80</w:t>
                  </w:r>
                </w:p>
              </w:tc>
              <w:tc>
                <w:tcPr>
                  <w:tcW w:w="644" w:type="dxa"/>
                  <w:tcBorders>
                    <w:tl2br w:val="nil"/>
                    <w:tr2bl w:val="nil"/>
                  </w:tcBorders>
                  <w:vAlign w:val="center"/>
                </w:tcPr>
                <w:p w14:paraId="12B99DA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95</w:t>
                  </w:r>
                </w:p>
              </w:tc>
              <w:tc>
                <w:tcPr>
                  <w:tcW w:w="859" w:type="dxa"/>
                  <w:tcBorders>
                    <w:tl2br w:val="nil"/>
                    <w:tr2bl w:val="nil"/>
                  </w:tcBorders>
                  <w:vAlign w:val="center"/>
                </w:tcPr>
                <w:p w14:paraId="5ED5394C">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w:t>
                  </w:r>
                </w:p>
              </w:tc>
              <w:tc>
                <w:tcPr>
                  <w:tcW w:w="808" w:type="dxa"/>
                  <w:tcBorders>
                    <w:tl2br w:val="nil"/>
                    <w:tr2bl w:val="nil"/>
                  </w:tcBorders>
                  <w:vAlign w:val="center"/>
                </w:tcPr>
                <w:p w14:paraId="701B649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w:t>
                  </w:r>
                </w:p>
              </w:tc>
              <w:tc>
                <w:tcPr>
                  <w:tcW w:w="825" w:type="dxa"/>
                  <w:tcBorders>
                    <w:tl2br w:val="nil"/>
                    <w:tr2bl w:val="nil"/>
                  </w:tcBorders>
                  <w:vAlign w:val="center"/>
                </w:tcPr>
                <w:p w14:paraId="3FB7CCCF">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w:t>
                  </w:r>
                </w:p>
              </w:tc>
              <w:tc>
                <w:tcPr>
                  <w:tcW w:w="845" w:type="dxa"/>
                  <w:tcBorders>
                    <w:tl2br w:val="nil"/>
                    <w:tr2bl w:val="nil"/>
                  </w:tcBorders>
                  <w:vAlign w:val="center"/>
                </w:tcPr>
                <w:p w14:paraId="61063003">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w:t>
                  </w:r>
                </w:p>
              </w:tc>
              <w:tc>
                <w:tcPr>
                  <w:tcW w:w="870" w:type="dxa"/>
                  <w:tcBorders>
                    <w:tl2br w:val="nil"/>
                    <w:tr2bl w:val="nil"/>
                  </w:tcBorders>
                  <w:vAlign w:val="center"/>
                </w:tcPr>
                <w:p w14:paraId="58FC6243">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0.1147</w:t>
                  </w:r>
                </w:p>
              </w:tc>
            </w:tr>
            <w:tr w14:paraId="7466A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1" w:hRule="atLeast"/>
                <w:jc w:val="center"/>
              </w:trPr>
              <w:tc>
                <w:tcPr>
                  <w:tcW w:w="901" w:type="dxa"/>
                  <w:vMerge w:val="continue"/>
                  <w:tcBorders>
                    <w:tl2br w:val="nil"/>
                    <w:tr2bl w:val="nil"/>
                  </w:tcBorders>
                  <w:vAlign w:val="center"/>
                </w:tcPr>
                <w:p w14:paraId="5FBCB188">
                  <w:pPr>
                    <w:pStyle w:val="38"/>
                    <w:keepNext/>
                    <w:keepLines w:val="0"/>
                    <w:pageBreakBefore w:val="0"/>
                    <w:widowControl/>
                    <w:kinsoku/>
                    <w:wordWrap/>
                    <w:overflowPunct/>
                    <w:topLinePunct w:val="0"/>
                    <w:autoSpaceDE/>
                    <w:autoSpaceDN/>
                    <w:bidi w:val="0"/>
                    <w:adjustRightInd w:val="0"/>
                    <w:snapToGrid w:val="0"/>
                    <w:ind w:right="0"/>
                    <w:textAlignment w:val="auto"/>
                    <w:rPr>
                      <w:rFonts w:hint="eastAsia"/>
                      <w:b w:val="0"/>
                      <w:bCs/>
                      <w:color w:val="auto"/>
                      <w:sz w:val="21"/>
                      <w:szCs w:val="21"/>
                      <w:lang w:val="en-US" w:eastAsia="zh-CN"/>
                    </w:rPr>
                  </w:pPr>
                </w:p>
              </w:tc>
              <w:tc>
                <w:tcPr>
                  <w:tcW w:w="853" w:type="dxa"/>
                  <w:tcBorders>
                    <w:tl2br w:val="nil"/>
                    <w:tr2bl w:val="nil"/>
                  </w:tcBorders>
                  <w:vAlign w:val="center"/>
                </w:tcPr>
                <w:p w14:paraId="5E7A7769">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锡及其化合物</w:t>
                  </w:r>
                </w:p>
              </w:tc>
              <w:tc>
                <w:tcPr>
                  <w:tcW w:w="822" w:type="dxa"/>
                  <w:tcBorders>
                    <w:tl2br w:val="nil"/>
                    <w:tr2bl w:val="nil"/>
                  </w:tcBorders>
                  <w:vAlign w:val="center"/>
                </w:tcPr>
                <w:p w14:paraId="7A7F9A07">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0.4747</w:t>
                  </w:r>
                </w:p>
              </w:tc>
              <w:tc>
                <w:tcPr>
                  <w:tcW w:w="761" w:type="dxa"/>
                  <w:tcBorders>
                    <w:tl2br w:val="nil"/>
                    <w:tr2bl w:val="nil"/>
                  </w:tcBorders>
                  <w:vAlign w:val="center"/>
                </w:tcPr>
                <w:p w14:paraId="6D8E759C">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0.1438</w:t>
                  </w:r>
                </w:p>
              </w:tc>
              <w:tc>
                <w:tcPr>
                  <w:tcW w:w="693" w:type="dxa"/>
                  <w:tcBorders>
                    <w:tl2br w:val="nil"/>
                    <w:tr2bl w:val="nil"/>
                  </w:tcBorders>
                  <w:vAlign w:val="center"/>
                </w:tcPr>
                <w:p w14:paraId="515387B8">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80</w:t>
                  </w:r>
                </w:p>
              </w:tc>
              <w:tc>
                <w:tcPr>
                  <w:tcW w:w="644" w:type="dxa"/>
                  <w:tcBorders>
                    <w:tl2br w:val="nil"/>
                    <w:tr2bl w:val="nil"/>
                  </w:tcBorders>
                  <w:vAlign w:val="center"/>
                </w:tcPr>
                <w:p w14:paraId="25E42A8A">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95</w:t>
                  </w:r>
                </w:p>
              </w:tc>
              <w:tc>
                <w:tcPr>
                  <w:tcW w:w="859" w:type="dxa"/>
                  <w:tcBorders>
                    <w:tl2br w:val="nil"/>
                    <w:tr2bl w:val="nil"/>
                  </w:tcBorders>
                  <w:vAlign w:val="center"/>
                </w:tcPr>
                <w:p w14:paraId="5F9470D5">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w:t>
                  </w:r>
                </w:p>
              </w:tc>
              <w:tc>
                <w:tcPr>
                  <w:tcW w:w="808" w:type="dxa"/>
                  <w:tcBorders>
                    <w:tl2br w:val="nil"/>
                    <w:tr2bl w:val="nil"/>
                  </w:tcBorders>
                  <w:vAlign w:val="center"/>
                </w:tcPr>
                <w:p w14:paraId="393B17BE">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w:t>
                  </w:r>
                </w:p>
              </w:tc>
              <w:tc>
                <w:tcPr>
                  <w:tcW w:w="825" w:type="dxa"/>
                  <w:tcBorders>
                    <w:tl2br w:val="nil"/>
                    <w:tr2bl w:val="nil"/>
                  </w:tcBorders>
                  <w:vAlign w:val="center"/>
                </w:tcPr>
                <w:p w14:paraId="5A178483">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w:t>
                  </w:r>
                </w:p>
              </w:tc>
              <w:tc>
                <w:tcPr>
                  <w:tcW w:w="845" w:type="dxa"/>
                  <w:tcBorders>
                    <w:tl2br w:val="nil"/>
                    <w:tr2bl w:val="nil"/>
                  </w:tcBorders>
                  <w:vAlign w:val="center"/>
                </w:tcPr>
                <w:p w14:paraId="459CB859">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w:t>
                  </w:r>
                </w:p>
              </w:tc>
              <w:tc>
                <w:tcPr>
                  <w:tcW w:w="870" w:type="dxa"/>
                  <w:tcBorders>
                    <w:tl2br w:val="nil"/>
                    <w:tr2bl w:val="nil"/>
                  </w:tcBorders>
                  <w:vAlign w:val="center"/>
                </w:tcPr>
                <w:p w14:paraId="05FB2B6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0.1139</w:t>
                  </w:r>
                </w:p>
              </w:tc>
            </w:tr>
            <w:tr w14:paraId="6A163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1" w:hRule="atLeast"/>
                <w:jc w:val="center"/>
              </w:trPr>
              <w:tc>
                <w:tcPr>
                  <w:tcW w:w="901" w:type="dxa"/>
                  <w:vMerge w:val="continue"/>
                  <w:tcBorders>
                    <w:tl2br w:val="nil"/>
                    <w:tr2bl w:val="nil"/>
                  </w:tcBorders>
                  <w:vAlign w:val="center"/>
                </w:tcPr>
                <w:p w14:paraId="357B6CB1">
                  <w:pPr>
                    <w:pStyle w:val="38"/>
                    <w:keepNext/>
                    <w:keepLines w:val="0"/>
                    <w:pageBreakBefore w:val="0"/>
                    <w:widowControl/>
                    <w:kinsoku/>
                    <w:wordWrap/>
                    <w:overflowPunct/>
                    <w:topLinePunct w:val="0"/>
                    <w:autoSpaceDE/>
                    <w:autoSpaceDN/>
                    <w:bidi w:val="0"/>
                    <w:adjustRightInd w:val="0"/>
                    <w:snapToGrid w:val="0"/>
                    <w:ind w:right="0"/>
                    <w:textAlignment w:val="auto"/>
                    <w:rPr>
                      <w:rFonts w:hint="eastAsia"/>
                      <w:b w:val="0"/>
                      <w:bCs/>
                      <w:color w:val="auto"/>
                      <w:sz w:val="21"/>
                      <w:szCs w:val="21"/>
                      <w:lang w:val="en-US" w:eastAsia="zh-CN"/>
                    </w:rPr>
                  </w:pPr>
                </w:p>
              </w:tc>
              <w:tc>
                <w:tcPr>
                  <w:tcW w:w="853" w:type="dxa"/>
                  <w:tcBorders>
                    <w:tl2br w:val="nil"/>
                    <w:tr2bl w:val="nil"/>
                  </w:tcBorders>
                  <w:vAlign w:val="center"/>
                </w:tcPr>
                <w:p w14:paraId="00D1FA82">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铜及其化合物</w:t>
                  </w:r>
                </w:p>
              </w:tc>
              <w:tc>
                <w:tcPr>
                  <w:tcW w:w="822" w:type="dxa"/>
                  <w:tcBorders>
                    <w:tl2br w:val="nil"/>
                    <w:tr2bl w:val="nil"/>
                  </w:tcBorders>
                  <w:vAlign w:val="center"/>
                </w:tcPr>
                <w:p w14:paraId="0BC5AB9B">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0.0033</w:t>
                  </w:r>
                </w:p>
              </w:tc>
              <w:tc>
                <w:tcPr>
                  <w:tcW w:w="761" w:type="dxa"/>
                  <w:tcBorders>
                    <w:tl2br w:val="nil"/>
                    <w:tr2bl w:val="nil"/>
                  </w:tcBorders>
                  <w:vAlign w:val="center"/>
                </w:tcPr>
                <w:p w14:paraId="14C71674">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0.001</w:t>
                  </w:r>
                </w:p>
              </w:tc>
              <w:tc>
                <w:tcPr>
                  <w:tcW w:w="693" w:type="dxa"/>
                  <w:tcBorders>
                    <w:tl2br w:val="nil"/>
                    <w:tr2bl w:val="nil"/>
                  </w:tcBorders>
                  <w:vAlign w:val="center"/>
                </w:tcPr>
                <w:p w14:paraId="6C5739A3">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80</w:t>
                  </w:r>
                </w:p>
              </w:tc>
              <w:tc>
                <w:tcPr>
                  <w:tcW w:w="644" w:type="dxa"/>
                  <w:tcBorders>
                    <w:tl2br w:val="nil"/>
                    <w:tr2bl w:val="nil"/>
                  </w:tcBorders>
                  <w:vAlign w:val="center"/>
                </w:tcPr>
                <w:p w14:paraId="7E09964E">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95</w:t>
                  </w:r>
                </w:p>
              </w:tc>
              <w:tc>
                <w:tcPr>
                  <w:tcW w:w="859" w:type="dxa"/>
                  <w:tcBorders>
                    <w:tl2br w:val="nil"/>
                    <w:tr2bl w:val="nil"/>
                  </w:tcBorders>
                  <w:vAlign w:val="center"/>
                </w:tcPr>
                <w:p w14:paraId="1EFEFA61">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w:t>
                  </w:r>
                </w:p>
              </w:tc>
              <w:tc>
                <w:tcPr>
                  <w:tcW w:w="808" w:type="dxa"/>
                  <w:tcBorders>
                    <w:tl2br w:val="nil"/>
                    <w:tr2bl w:val="nil"/>
                  </w:tcBorders>
                  <w:vAlign w:val="center"/>
                </w:tcPr>
                <w:p w14:paraId="46678B6A">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w:t>
                  </w:r>
                </w:p>
              </w:tc>
              <w:tc>
                <w:tcPr>
                  <w:tcW w:w="825" w:type="dxa"/>
                  <w:tcBorders>
                    <w:tl2br w:val="nil"/>
                    <w:tr2bl w:val="nil"/>
                  </w:tcBorders>
                  <w:vAlign w:val="center"/>
                </w:tcPr>
                <w:p w14:paraId="45072BCE">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w:t>
                  </w:r>
                </w:p>
              </w:tc>
              <w:tc>
                <w:tcPr>
                  <w:tcW w:w="845" w:type="dxa"/>
                  <w:tcBorders>
                    <w:tl2br w:val="nil"/>
                    <w:tr2bl w:val="nil"/>
                  </w:tcBorders>
                  <w:vAlign w:val="center"/>
                </w:tcPr>
                <w:p w14:paraId="58812165">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w:t>
                  </w:r>
                </w:p>
              </w:tc>
              <w:tc>
                <w:tcPr>
                  <w:tcW w:w="870" w:type="dxa"/>
                  <w:tcBorders>
                    <w:tl2br w:val="nil"/>
                    <w:tr2bl w:val="nil"/>
                  </w:tcBorders>
                  <w:vAlign w:val="center"/>
                </w:tcPr>
                <w:p w14:paraId="4F1774F2">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0.0008</w:t>
                  </w:r>
                </w:p>
              </w:tc>
            </w:tr>
            <w:tr w14:paraId="77286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01" w:type="dxa"/>
                  <w:tcBorders>
                    <w:tl2br w:val="nil"/>
                    <w:tr2bl w:val="nil"/>
                  </w:tcBorders>
                  <w:vAlign w:val="center"/>
                </w:tcPr>
                <w:p w14:paraId="76C7BFF2">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eastAsia="zh-CN"/>
                    </w:rPr>
                  </w:pPr>
                  <w:r>
                    <w:rPr>
                      <w:rFonts w:hint="eastAsia"/>
                      <w:b w:val="0"/>
                      <w:bCs/>
                      <w:color w:val="auto"/>
                      <w:sz w:val="21"/>
                      <w:szCs w:val="21"/>
                      <w:lang w:val="en-US" w:eastAsia="zh-CN"/>
                    </w:rPr>
                    <w:t>喷漆、晾干</w:t>
                  </w:r>
                </w:p>
              </w:tc>
              <w:tc>
                <w:tcPr>
                  <w:tcW w:w="853" w:type="dxa"/>
                  <w:tcBorders>
                    <w:tl2br w:val="nil"/>
                    <w:tr2bl w:val="nil"/>
                  </w:tcBorders>
                  <w:vAlign w:val="center"/>
                </w:tcPr>
                <w:p w14:paraId="4D3D988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rPr>
                  </w:pPr>
                  <w:r>
                    <w:rPr>
                      <w:rFonts w:hint="default"/>
                      <w:b w:val="0"/>
                      <w:bCs/>
                      <w:color w:val="auto"/>
                      <w:sz w:val="21"/>
                      <w:szCs w:val="21"/>
                      <w:lang w:val="en-US" w:eastAsia="zh-CN"/>
                    </w:rPr>
                    <w:t>非甲烷总烃</w:t>
                  </w:r>
                </w:p>
              </w:tc>
              <w:tc>
                <w:tcPr>
                  <w:tcW w:w="822" w:type="dxa"/>
                  <w:tcBorders>
                    <w:tl2br w:val="nil"/>
                    <w:tr2bl w:val="nil"/>
                  </w:tcBorders>
                  <w:vAlign w:val="center"/>
                </w:tcPr>
                <w:p w14:paraId="10222A2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0.6734</w:t>
                  </w:r>
                </w:p>
              </w:tc>
              <w:tc>
                <w:tcPr>
                  <w:tcW w:w="761" w:type="dxa"/>
                  <w:tcBorders>
                    <w:tl2br w:val="nil"/>
                    <w:tr2bl w:val="nil"/>
                  </w:tcBorders>
                  <w:vAlign w:val="center"/>
                </w:tcPr>
                <w:p w14:paraId="4D67523D">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0.421</w:t>
                  </w:r>
                </w:p>
              </w:tc>
              <w:tc>
                <w:tcPr>
                  <w:tcW w:w="693" w:type="dxa"/>
                  <w:tcBorders>
                    <w:tl2br w:val="nil"/>
                    <w:tr2bl w:val="nil"/>
                  </w:tcBorders>
                  <w:vAlign w:val="center"/>
                </w:tcPr>
                <w:p w14:paraId="6279E15F">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99</w:t>
                  </w:r>
                </w:p>
              </w:tc>
              <w:tc>
                <w:tcPr>
                  <w:tcW w:w="644" w:type="dxa"/>
                  <w:tcBorders>
                    <w:tl2br w:val="nil"/>
                    <w:tr2bl w:val="nil"/>
                  </w:tcBorders>
                  <w:vAlign w:val="center"/>
                </w:tcPr>
                <w:p w14:paraId="01183B7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90</w:t>
                  </w:r>
                </w:p>
              </w:tc>
              <w:tc>
                <w:tcPr>
                  <w:tcW w:w="859" w:type="dxa"/>
                  <w:tcBorders>
                    <w:tl2br w:val="nil"/>
                    <w:tr2bl w:val="nil"/>
                  </w:tcBorders>
                  <w:vAlign w:val="center"/>
                </w:tcPr>
                <w:p w14:paraId="6F5F3A54">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0.0667</w:t>
                  </w:r>
                </w:p>
              </w:tc>
              <w:tc>
                <w:tcPr>
                  <w:tcW w:w="808" w:type="dxa"/>
                  <w:tcBorders>
                    <w:tl2br w:val="nil"/>
                    <w:tr2bl w:val="nil"/>
                  </w:tcBorders>
                  <w:vAlign w:val="center"/>
                </w:tcPr>
                <w:p w14:paraId="5025E7A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0.0417</w:t>
                  </w:r>
                </w:p>
              </w:tc>
              <w:tc>
                <w:tcPr>
                  <w:tcW w:w="825" w:type="dxa"/>
                  <w:tcBorders>
                    <w:tl2br w:val="nil"/>
                    <w:tr2bl w:val="nil"/>
                  </w:tcBorders>
                  <w:vAlign w:val="center"/>
                </w:tcPr>
                <w:p w14:paraId="5551E0AB">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w:t>
                  </w:r>
                </w:p>
              </w:tc>
              <w:tc>
                <w:tcPr>
                  <w:tcW w:w="845" w:type="dxa"/>
                  <w:tcBorders>
                    <w:tl2br w:val="nil"/>
                    <w:tr2bl w:val="nil"/>
                  </w:tcBorders>
                  <w:vAlign w:val="center"/>
                </w:tcPr>
                <w:p w14:paraId="618634D5">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2.895</w:t>
                  </w:r>
                </w:p>
              </w:tc>
              <w:tc>
                <w:tcPr>
                  <w:tcW w:w="870" w:type="dxa"/>
                  <w:tcBorders>
                    <w:tl2br w:val="nil"/>
                    <w:tr2bl w:val="nil"/>
                  </w:tcBorders>
                  <w:vAlign w:val="center"/>
                </w:tcPr>
                <w:p w14:paraId="5E6E2BE1">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0.0067</w:t>
                  </w:r>
                </w:p>
              </w:tc>
            </w:tr>
            <w:tr w14:paraId="26D86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9" w:hRule="atLeast"/>
                <w:jc w:val="center"/>
              </w:trPr>
              <w:tc>
                <w:tcPr>
                  <w:tcW w:w="901" w:type="dxa"/>
                  <w:tcBorders>
                    <w:tl2br w:val="nil"/>
                    <w:tr2bl w:val="nil"/>
                  </w:tcBorders>
                  <w:vAlign w:val="center"/>
                </w:tcPr>
                <w:p w14:paraId="431B2EBA">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喷漆</w:t>
                  </w:r>
                </w:p>
              </w:tc>
              <w:tc>
                <w:tcPr>
                  <w:tcW w:w="853" w:type="dxa"/>
                  <w:tcBorders>
                    <w:tl2br w:val="nil"/>
                    <w:tr2bl w:val="nil"/>
                  </w:tcBorders>
                  <w:vAlign w:val="center"/>
                </w:tcPr>
                <w:p w14:paraId="43E65CF7">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rPr>
                  </w:pPr>
                  <w:r>
                    <w:rPr>
                      <w:rFonts w:hint="eastAsia"/>
                      <w:b w:val="0"/>
                      <w:bCs/>
                      <w:color w:val="auto"/>
                      <w:sz w:val="21"/>
                      <w:szCs w:val="21"/>
                      <w:lang w:val="en-US" w:eastAsia="zh-CN"/>
                    </w:rPr>
                    <w:t>颗粒物</w:t>
                  </w:r>
                </w:p>
              </w:tc>
              <w:tc>
                <w:tcPr>
                  <w:tcW w:w="822" w:type="dxa"/>
                  <w:tcBorders>
                    <w:tl2br w:val="nil"/>
                    <w:tr2bl w:val="nil"/>
                  </w:tcBorders>
                  <w:vAlign w:val="center"/>
                </w:tcPr>
                <w:p w14:paraId="2FA62B94">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4.9262</w:t>
                  </w:r>
                </w:p>
              </w:tc>
              <w:tc>
                <w:tcPr>
                  <w:tcW w:w="761" w:type="dxa"/>
                  <w:tcBorders>
                    <w:tl2br w:val="nil"/>
                    <w:tr2bl w:val="nil"/>
                  </w:tcBorders>
                  <w:vAlign w:val="center"/>
                </w:tcPr>
                <w:p w14:paraId="16523D3D">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default"/>
                      <w:b w:val="0"/>
                      <w:bCs/>
                      <w:color w:val="auto"/>
                      <w:sz w:val="21"/>
                      <w:szCs w:val="21"/>
                      <w:lang w:val="en-US" w:eastAsia="zh-CN"/>
                    </w:rPr>
                    <w:t>4.</w:t>
                  </w:r>
                  <w:r>
                    <w:rPr>
                      <w:rFonts w:hint="eastAsia"/>
                      <w:b w:val="0"/>
                      <w:bCs/>
                      <w:color w:val="auto"/>
                      <w:sz w:val="21"/>
                      <w:szCs w:val="21"/>
                      <w:lang w:val="en-US" w:eastAsia="zh-CN"/>
                    </w:rPr>
                    <w:t>105</w:t>
                  </w:r>
                </w:p>
              </w:tc>
              <w:tc>
                <w:tcPr>
                  <w:tcW w:w="693" w:type="dxa"/>
                  <w:tcBorders>
                    <w:tl2br w:val="nil"/>
                    <w:tr2bl w:val="nil"/>
                  </w:tcBorders>
                  <w:vAlign w:val="center"/>
                </w:tcPr>
                <w:p w14:paraId="60903C7F">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95</w:t>
                  </w:r>
                </w:p>
              </w:tc>
              <w:tc>
                <w:tcPr>
                  <w:tcW w:w="644" w:type="dxa"/>
                  <w:tcBorders>
                    <w:tl2br w:val="nil"/>
                    <w:tr2bl w:val="nil"/>
                  </w:tcBorders>
                  <w:vAlign w:val="center"/>
                </w:tcPr>
                <w:p w14:paraId="24C76ADE">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95</w:t>
                  </w:r>
                </w:p>
              </w:tc>
              <w:tc>
                <w:tcPr>
                  <w:tcW w:w="859" w:type="dxa"/>
                  <w:tcBorders>
                    <w:tl2br w:val="nil"/>
                    <w:tr2bl w:val="nil"/>
                  </w:tcBorders>
                  <w:vAlign w:val="center"/>
                </w:tcPr>
                <w:p w14:paraId="75725FFC">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0.234</w:t>
                  </w:r>
                </w:p>
              </w:tc>
              <w:tc>
                <w:tcPr>
                  <w:tcW w:w="808" w:type="dxa"/>
                  <w:tcBorders>
                    <w:tl2br w:val="nil"/>
                    <w:tr2bl w:val="nil"/>
                  </w:tcBorders>
                  <w:vAlign w:val="center"/>
                </w:tcPr>
                <w:p w14:paraId="305EF628">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0.195</w:t>
                  </w:r>
                </w:p>
              </w:tc>
              <w:tc>
                <w:tcPr>
                  <w:tcW w:w="825" w:type="dxa"/>
                  <w:tcBorders>
                    <w:tl2br w:val="nil"/>
                    <w:tr2bl w:val="nil"/>
                  </w:tcBorders>
                  <w:vAlign w:val="center"/>
                </w:tcPr>
                <w:p w14:paraId="6A8CFA2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w:t>
                  </w:r>
                </w:p>
              </w:tc>
              <w:tc>
                <w:tcPr>
                  <w:tcW w:w="845" w:type="dxa"/>
                  <w:tcBorders>
                    <w:tl2br w:val="nil"/>
                    <w:tr2bl w:val="nil"/>
                  </w:tcBorders>
                  <w:vAlign w:val="center"/>
                </w:tcPr>
                <w:p w14:paraId="4515A666">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13.542</w:t>
                  </w:r>
                </w:p>
              </w:tc>
              <w:tc>
                <w:tcPr>
                  <w:tcW w:w="870" w:type="dxa"/>
                  <w:tcBorders>
                    <w:tl2br w:val="nil"/>
                    <w:tr2bl w:val="nil"/>
                  </w:tcBorders>
                  <w:vAlign w:val="center"/>
                </w:tcPr>
                <w:p w14:paraId="7041E6E2">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b w:val="0"/>
                      <w:bCs/>
                      <w:color w:val="auto"/>
                      <w:sz w:val="21"/>
                      <w:szCs w:val="21"/>
                      <w:lang w:val="en-US" w:eastAsia="zh-CN"/>
                    </w:rPr>
                  </w:pPr>
                  <w:r>
                    <w:rPr>
                      <w:rFonts w:hint="eastAsia"/>
                      <w:b w:val="0"/>
                      <w:bCs/>
                      <w:color w:val="auto"/>
                      <w:sz w:val="21"/>
                      <w:szCs w:val="21"/>
                      <w:lang w:val="en-US" w:eastAsia="zh-CN"/>
                    </w:rPr>
                    <w:t>/</w:t>
                  </w:r>
                </w:p>
              </w:tc>
            </w:tr>
          </w:tbl>
          <w:p w14:paraId="000374F3">
            <w:pPr>
              <w:bidi w:val="0"/>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eastAsia="zh-CN"/>
              </w:rPr>
              <w:t>（</w:t>
            </w:r>
            <w:r>
              <w:rPr>
                <w:rFonts w:hint="eastAsia" w:cs="Times New Roman"/>
                <w:b/>
                <w:bCs/>
                <w:color w:val="auto"/>
                <w:sz w:val="24"/>
                <w:szCs w:val="24"/>
                <w:lang w:val="en-US" w:eastAsia="zh-CN"/>
              </w:rPr>
              <w:t>4</w:t>
            </w:r>
            <w:r>
              <w:rPr>
                <w:rFonts w:hint="default" w:ascii="Times New Roman" w:hAnsi="Times New Roman" w:cs="Times New Roman"/>
                <w:b/>
                <w:bCs/>
                <w:color w:val="auto"/>
                <w:sz w:val="24"/>
                <w:szCs w:val="24"/>
                <w:lang w:eastAsia="zh-CN"/>
              </w:rPr>
              <w:t>）</w:t>
            </w:r>
            <w:r>
              <w:rPr>
                <w:rFonts w:hint="default" w:ascii="Times New Roman" w:hAnsi="Times New Roman" w:cs="Times New Roman"/>
                <w:b/>
                <w:bCs/>
                <w:color w:val="auto"/>
                <w:sz w:val="24"/>
                <w:szCs w:val="24"/>
                <w:lang w:val="en-US" w:eastAsia="zh-CN"/>
              </w:rPr>
              <w:t>废气处理达标可行性分析</w:t>
            </w:r>
          </w:p>
          <w:p w14:paraId="25C5FCE0">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①DA001排放口废气处理达标可行性分析</w:t>
            </w:r>
          </w:p>
          <w:p w14:paraId="2D1D9454">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激光切割</w:t>
            </w:r>
            <w:r>
              <w:rPr>
                <w:rFonts w:hint="default" w:ascii="Times New Roman" w:hAnsi="Times New Roman" w:cs="Times New Roman"/>
                <w:color w:val="auto"/>
                <w:sz w:val="24"/>
                <w:szCs w:val="24"/>
                <w:lang w:val="en-US" w:eastAsia="zh-CN"/>
              </w:rPr>
              <w:t>废气通过</w:t>
            </w:r>
            <w:r>
              <w:rPr>
                <w:rFonts w:hint="eastAsia" w:cs="Times New Roman"/>
                <w:color w:val="auto"/>
                <w:sz w:val="24"/>
                <w:szCs w:val="24"/>
                <w:lang w:val="en-US" w:eastAsia="zh-CN"/>
              </w:rPr>
              <w:t>设备下方</w:t>
            </w:r>
            <w:r>
              <w:rPr>
                <w:rFonts w:hint="default" w:ascii="Times New Roman" w:hAnsi="Times New Roman" w:cs="Times New Roman"/>
                <w:color w:val="auto"/>
                <w:sz w:val="24"/>
                <w:szCs w:val="24"/>
                <w:lang w:val="en-US" w:eastAsia="zh-CN"/>
              </w:rPr>
              <w:t>加装集气罩，负压抽风收集，收集后通过布袋除尘器处理，处理后经一根15m排气筒（DA001）排放；</w:t>
            </w:r>
          </w:p>
          <w:p w14:paraId="468E612F">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根据表4-2核算结果，</w:t>
            </w:r>
            <w:r>
              <w:rPr>
                <w:rFonts w:hint="eastAsia" w:cs="Times New Roman"/>
                <w:color w:val="auto"/>
                <w:sz w:val="24"/>
                <w:szCs w:val="24"/>
                <w:lang w:val="en-US" w:eastAsia="zh-CN"/>
              </w:rPr>
              <w:t>激光切割</w:t>
            </w:r>
            <w:r>
              <w:rPr>
                <w:rFonts w:hint="default" w:ascii="Times New Roman" w:hAnsi="Times New Roman" w:cs="Times New Roman"/>
                <w:color w:val="auto"/>
                <w:sz w:val="24"/>
                <w:szCs w:val="24"/>
                <w:lang w:val="en-US" w:eastAsia="zh-CN"/>
              </w:rPr>
              <w:t>废气颗粒物排放浓度为</w:t>
            </w:r>
            <w:r>
              <w:rPr>
                <w:rFonts w:hint="eastAsia" w:cs="Times New Roman"/>
                <w:color w:val="auto"/>
                <w:sz w:val="24"/>
                <w:szCs w:val="24"/>
                <w:lang w:val="en-US" w:eastAsia="zh-CN"/>
              </w:rPr>
              <w:t>7.197</w:t>
            </w:r>
            <w:r>
              <w:rPr>
                <w:rFonts w:hint="default" w:ascii="Times New Roman" w:hAnsi="Times New Roman" w:cs="Times New Roman"/>
                <w:color w:val="auto"/>
                <w:sz w:val="24"/>
                <w:szCs w:val="24"/>
                <w:lang w:val="en-US" w:eastAsia="zh-CN"/>
              </w:rPr>
              <w:t>mg/m</w:t>
            </w:r>
            <w:r>
              <w:rPr>
                <w:rFonts w:hint="default" w:ascii="Times New Roman" w:hAnsi="Times New Roman" w:cs="Times New Roman"/>
                <w:color w:val="auto"/>
                <w:sz w:val="24"/>
                <w:szCs w:val="24"/>
                <w:vertAlign w:val="superscript"/>
                <w:lang w:val="en-US" w:eastAsia="zh-CN"/>
              </w:rPr>
              <w:t>3</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满足《大气污染物综合排放标准》（GB16297-1996）表2中污染物排放限值（颗粒物</w:t>
            </w:r>
            <w:r>
              <w:rPr>
                <w:rFonts w:hint="eastAsia" w:cs="Times New Roman"/>
                <w:color w:val="auto"/>
                <w:sz w:val="24"/>
                <w:szCs w:val="24"/>
                <w:lang w:val="en-US" w:eastAsia="zh-CN"/>
              </w:rPr>
              <w:t>12</w:t>
            </w:r>
            <w:r>
              <w:rPr>
                <w:rFonts w:hint="default" w:ascii="Times New Roman" w:hAnsi="Times New Roman" w:cs="Times New Roman"/>
                <w:color w:val="auto"/>
                <w:sz w:val="24"/>
                <w:szCs w:val="24"/>
                <w:lang w:val="en-US" w:eastAsia="zh-CN"/>
              </w:rPr>
              <w:t>0mg/m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），因此废气处理措施可行，可达标排放。</w:t>
            </w:r>
          </w:p>
          <w:p w14:paraId="21EF8232">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②DA002排放口废气处理达标可行性分析</w:t>
            </w:r>
          </w:p>
          <w:p w14:paraId="7BE2199A">
            <w:pPr>
              <w:bidi w:val="0"/>
              <w:rPr>
                <w:rFonts w:hint="eastAsia"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喷漆</w:t>
            </w:r>
            <w:r>
              <w:rPr>
                <w:rFonts w:hint="eastAsia" w:cs="Times New Roman"/>
                <w:color w:val="auto"/>
                <w:sz w:val="24"/>
                <w:szCs w:val="24"/>
                <w:lang w:val="en-US" w:eastAsia="zh-CN"/>
              </w:rPr>
              <w:t>废气</w:t>
            </w:r>
            <w:r>
              <w:rPr>
                <w:rFonts w:hint="default" w:ascii="Times New Roman" w:hAnsi="Times New Roman" w:cs="Times New Roman"/>
                <w:color w:val="auto"/>
                <w:sz w:val="24"/>
                <w:szCs w:val="24"/>
                <w:lang w:val="en-US" w:eastAsia="zh-CN"/>
              </w:rPr>
              <w:t>通过</w:t>
            </w:r>
            <w:r>
              <w:rPr>
                <w:color w:val="auto"/>
              </w:rPr>
              <w:t>喷漆房密闭负压收集，收集</w:t>
            </w:r>
            <w:r>
              <w:rPr>
                <w:rFonts w:hint="eastAsia"/>
                <w:color w:val="auto"/>
                <w:lang w:val="en-US" w:eastAsia="zh-CN"/>
              </w:rPr>
              <w:t>先经干式漆雾过滤器</w:t>
            </w:r>
            <w:r>
              <w:rPr>
                <w:color w:val="auto"/>
              </w:rPr>
              <w:t>处理</w:t>
            </w:r>
            <w:r>
              <w:rPr>
                <w:rFonts w:hint="eastAsia"/>
                <w:color w:val="auto"/>
                <w:lang w:val="en-US" w:eastAsia="zh-CN"/>
              </w:rPr>
              <w:t>再</w:t>
            </w:r>
            <w:r>
              <w:rPr>
                <w:rFonts w:hint="eastAsia" w:cs="Times New Roman"/>
                <w:color w:val="auto"/>
                <w:sz w:val="24"/>
                <w:szCs w:val="24"/>
                <w:lang w:val="en-US" w:eastAsia="zh-CN"/>
              </w:rPr>
              <w:t>和</w:t>
            </w:r>
            <w:r>
              <w:rPr>
                <w:rFonts w:hint="default" w:ascii="Times New Roman" w:hAnsi="Times New Roman" w:cs="Times New Roman"/>
                <w:color w:val="auto"/>
                <w:sz w:val="24"/>
                <w:szCs w:val="24"/>
                <w:lang w:val="en-US" w:eastAsia="zh-CN"/>
              </w:rPr>
              <w:t>晾干</w:t>
            </w:r>
            <w:r>
              <w:rPr>
                <w:rFonts w:hint="eastAsia" w:cs="Times New Roman"/>
                <w:color w:val="auto"/>
                <w:sz w:val="24"/>
                <w:szCs w:val="24"/>
                <w:lang w:val="en-US" w:eastAsia="zh-CN"/>
              </w:rPr>
              <w:t>产生的</w:t>
            </w:r>
            <w:r>
              <w:rPr>
                <w:rFonts w:hint="default" w:ascii="Times New Roman" w:hAnsi="Times New Roman" w:cs="Times New Roman"/>
                <w:color w:val="auto"/>
                <w:sz w:val="24"/>
                <w:szCs w:val="24"/>
                <w:lang w:val="en-US" w:eastAsia="zh-CN"/>
              </w:rPr>
              <w:t>有机废气</w:t>
            </w:r>
            <w:r>
              <w:rPr>
                <w:rFonts w:hint="eastAsia" w:cs="Times New Roman"/>
                <w:color w:val="auto"/>
                <w:sz w:val="24"/>
                <w:szCs w:val="24"/>
                <w:lang w:val="en-US" w:eastAsia="zh-CN"/>
              </w:rPr>
              <w:t>经</w:t>
            </w:r>
            <w:r>
              <w:rPr>
                <w:rFonts w:hint="eastAsia"/>
                <w:color w:val="auto"/>
                <w:lang w:val="en-US" w:eastAsia="zh-CN"/>
              </w:rPr>
              <w:t>两级活性炭吸附装置合并处理后由一根</w:t>
            </w:r>
            <w:r>
              <w:rPr>
                <w:color w:val="auto"/>
              </w:rPr>
              <w:t>15m</w:t>
            </w:r>
            <w:r>
              <w:rPr>
                <w:rFonts w:hint="eastAsia"/>
                <w:color w:val="auto"/>
                <w:lang w:val="en-US" w:eastAsia="zh-CN"/>
              </w:rPr>
              <w:t>高</w:t>
            </w:r>
            <w:r>
              <w:rPr>
                <w:color w:val="auto"/>
              </w:rPr>
              <w:t>排气筒（DA00</w:t>
            </w:r>
            <w:r>
              <w:rPr>
                <w:rFonts w:hint="eastAsia"/>
                <w:color w:val="auto"/>
                <w:lang w:val="en-US" w:eastAsia="zh-CN"/>
              </w:rPr>
              <w:t>2</w:t>
            </w:r>
            <w:r>
              <w:rPr>
                <w:color w:val="auto"/>
              </w:rPr>
              <w:t>）排放</w:t>
            </w:r>
            <w:r>
              <w:rPr>
                <w:rFonts w:hint="eastAsia"/>
                <w:color w:val="auto"/>
                <w:lang w:eastAsia="zh-CN"/>
              </w:rPr>
              <w:t>；</w:t>
            </w:r>
          </w:p>
          <w:p w14:paraId="5F69DF42">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根据表4-2核算结果，上述废气</w:t>
            </w:r>
            <w:r>
              <w:rPr>
                <w:rFonts w:hint="eastAsia" w:cs="Times New Roman"/>
                <w:color w:val="auto"/>
                <w:sz w:val="24"/>
                <w:szCs w:val="24"/>
                <w:lang w:val="en-US" w:eastAsia="zh-CN"/>
              </w:rPr>
              <w:t>中非甲烷总烃</w:t>
            </w:r>
            <w:r>
              <w:rPr>
                <w:rFonts w:hint="default" w:ascii="Times New Roman" w:hAnsi="Times New Roman" w:cs="Times New Roman"/>
                <w:color w:val="auto"/>
                <w:sz w:val="24"/>
                <w:szCs w:val="24"/>
                <w:lang w:val="en-US" w:eastAsia="zh-CN"/>
              </w:rPr>
              <w:t>排放浓度为</w:t>
            </w:r>
            <w:r>
              <w:rPr>
                <w:rFonts w:hint="eastAsia" w:cs="Times New Roman"/>
                <w:color w:val="auto"/>
                <w:sz w:val="24"/>
                <w:szCs w:val="24"/>
                <w:lang w:val="en-US" w:eastAsia="zh-CN"/>
              </w:rPr>
              <w:t>2.895</w:t>
            </w:r>
            <w:r>
              <w:rPr>
                <w:rFonts w:hint="default" w:ascii="Times New Roman" w:hAnsi="Times New Roman" w:cs="Times New Roman"/>
                <w:color w:val="auto"/>
                <w:sz w:val="24"/>
                <w:szCs w:val="24"/>
                <w:lang w:val="en-US" w:eastAsia="zh-CN"/>
              </w:rPr>
              <w:t>mg/m</w:t>
            </w:r>
            <w:r>
              <w:rPr>
                <w:rFonts w:hint="default"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lang w:val="en-US" w:eastAsia="zh-CN"/>
              </w:rPr>
              <w:t>，满足</w:t>
            </w:r>
            <w:r>
              <w:rPr>
                <w:rFonts w:hint="default" w:ascii="Times New Roman" w:hAnsi="Times New Roman" w:cs="Times New Roman"/>
                <w:color w:val="auto"/>
                <w:sz w:val="24"/>
                <w:szCs w:val="24"/>
                <w:lang w:val="en-US" w:eastAsia="zh-CN"/>
              </w:rPr>
              <w:t>安徽省《固定源挥发性有机物综合排放标准 第6部分：其他行业》（DB34/ 4812.6—2024）表1</w:t>
            </w:r>
            <w:r>
              <w:rPr>
                <w:rFonts w:hint="eastAsia" w:ascii="Times New Roman" w:hAnsi="Times New Roman" w:cs="Times New Roman"/>
                <w:color w:val="auto"/>
                <w:sz w:val="24"/>
                <w:szCs w:val="24"/>
                <w:lang w:val="en-US" w:eastAsia="zh-CN"/>
              </w:rPr>
              <w:t>排放限值；</w:t>
            </w:r>
            <w:r>
              <w:rPr>
                <w:rFonts w:hint="default" w:ascii="Times New Roman" w:hAnsi="Times New Roman" w:cs="Times New Roman"/>
                <w:color w:val="auto"/>
                <w:sz w:val="24"/>
                <w:szCs w:val="24"/>
                <w:lang w:val="en-US" w:eastAsia="zh-CN"/>
              </w:rPr>
              <w:t>颗粒物（</w:t>
            </w:r>
            <w:r>
              <w:rPr>
                <w:rFonts w:hint="eastAsia" w:cs="Times New Roman"/>
                <w:color w:val="auto"/>
                <w:sz w:val="24"/>
                <w:szCs w:val="24"/>
                <w:lang w:val="en-US" w:eastAsia="zh-CN"/>
              </w:rPr>
              <w:t>漆雾</w:t>
            </w:r>
            <w:r>
              <w:rPr>
                <w:rFonts w:hint="default" w:ascii="Times New Roman" w:hAnsi="Times New Roman" w:cs="Times New Roman"/>
                <w:color w:val="auto"/>
                <w:sz w:val="24"/>
                <w:szCs w:val="24"/>
                <w:lang w:val="en-US" w:eastAsia="zh-CN"/>
              </w:rPr>
              <w:t>）排放浓度为</w:t>
            </w:r>
            <w:r>
              <w:rPr>
                <w:rFonts w:hint="eastAsia" w:cs="Times New Roman"/>
                <w:color w:val="auto"/>
                <w:sz w:val="24"/>
                <w:szCs w:val="24"/>
                <w:lang w:val="en-US" w:eastAsia="zh-CN"/>
              </w:rPr>
              <w:t>13.542</w:t>
            </w:r>
            <w:r>
              <w:rPr>
                <w:rFonts w:hint="default" w:ascii="Times New Roman" w:hAnsi="Times New Roman" w:cs="Times New Roman"/>
                <w:color w:val="auto"/>
                <w:sz w:val="24"/>
                <w:szCs w:val="24"/>
                <w:lang w:val="en-US" w:eastAsia="zh-CN"/>
              </w:rPr>
              <w:t>mg/m</w:t>
            </w:r>
            <w:r>
              <w:rPr>
                <w:rFonts w:hint="default" w:ascii="Times New Roman" w:hAnsi="Times New Roman" w:cs="Times New Roman"/>
                <w:color w:val="auto"/>
                <w:sz w:val="24"/>
                <w:szCs w:val="24"/>
                <w:vertAlign w:val="superscript"/>
                <w:lang w:val="en-US" w:eastAsia="zh-CN"/>
              </w:rPr>
              <w:t>3</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满足《大气污染物综合排放标准》（GB16297-1996）表2中污染物排放限值（颗粒物</w:t>
            </w:r>
            <w:r>
              <w:rPr>
                <w:rFonts w:hint="eastAsia" w:cs="Times New Roman"/>
                <w:color w:val="auto"/>
                <w:sz w:val="24"/>
                <w:szCs w:val="24"/>
                <w:lang w:val="en-US" w:eastAsia="zh-CN"/>
              </w:rPr>
              <w:t>12</w:t>
            </w:r>
            <w:r>
              <w:rPr>
                <w:rFonts w:hint="default" w:ascii="Times New Roman" w:hAnsi="Times New Roman" w:cs="Times New Roman"/>
                <w:color w:val="auto"/>
                <w:sz w:val="24"/>
                <w:szCs w:val="24"/>
                <w:lang w:val="en-US" w:eastAsia="zh-CN"/>
              </w:rPr>
              <w:t>0mg/m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），因此废气处理措施可行，可达标排放。</w:t>
            </w:r>
          </w:p>
          <w:p w14:paraId="34DA107C">
            <w:pPr>
              <w:bidi w:val="0"/>
              <w:ind w:left="0" w:leftChars="0" w:firstLine="0" w:firstLineChars="0"/>
              <w:rPr>
                <w:rFonts w:hint="default"/>
                <w:b/>
                <w:bCs/>
                <w:color w:val="auto"/>
              </w:rPr>
            </w:pPr>
            <w:r>
              <w:rPr>
                <w:rFonts w:hint="eastAsia"/>
                <w:b/>
                <w:bCs/>
                <w:color w:val="auto"/>
                <w:lang w:val="en-US" w:eastAsia="zh-CN"/>
              </w:rPr>
              <w:t>4.</w:t>
            </w:r>
            <w:r>
              <w:rPr>
                <w:rFonts w:hint="default"/>
                <w:b/>
                <w:bCs/>
                <w:color w:val="auto"/>
              </w:rPr>
              <w:t>1.3</w:t>
            </w:r>
            <w:r>
              <w:rPr>
                <w:rFonts w:hint="eastAsia"/>
                <w:b/>
                <w:bCs/>
                <w:color w:val="auto"/>
                <w:lang w:val="en-US" w:eastAsia="zh-CN"/>
              </w:rPr>
              <w:t xml:space="preserve"> </w:t>
            </w:r>
            <w:r>
              <w:rPr>
                <w:rFonts w:hint="default"/>
                <w:b/>
                <w:bCs/>
                <w:color w:val="auto"/>
              </w:rPr>
              <w:t>无组织排放气体综合防治措施</w:t>
            </w:r>
          </w:p>
          <w:p w14:paraId="21090F5E">
            <w:pPr>
              <w:widowControl/>
              <w:spacing w:line="360" w:lineRule="auto"/>
              <w:ind w:firstLine="480" w:firstLineChars="20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建设项目无组织排放废气主要为</w:t>
            </w:r>
            <w:r>
              <w:rPr>
                <w:rFonts w:hint="eastAsia" w:cs="Times New Roman"/>
                <w:color w:val="auto"/>
                <w:sz w:val="24"/>
                <w:szCs w:val="24"/>
                <w:lang w:eastAsia="zh-CN"/>
              </w:rPr>
              <w:t>未收集的激光、锯床切割粉尘，焊接粉尘等</w:t>
            </w:r>
            <w:r>
              <w:rPr>
                <w:rFonts w:hint="default" w:ascii="Times New Roman" w:hAnsi="Times New Roman" w:cs="Times New Roman"/>
                <w:color w:val="auto"/>
                <w:sz w:val="24"/>
                <w:szCs w:val="24"/>
              </w:rPr>
              <w:t>。建设单位拟采取如下措施，以减少无组织排放量与排放浓度：</w:t>
            </w:r>
          </w:p>
          <w:p w14:paraId="18A5B6B2">
            <w:pPr>
              <w:pStyle w:val="19"/>
              <w:snapToGrid/>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（1）合理布置车间，将产生无组织废气的产生源布置在远离厂界的地方，以减少无组织废气对厂界周围环境的影响；</w:t>
            </w:r>
          </w:p>
          <w:p w14:paraId="2814B013">
            <w:pPr>
              <w:pStyle w:val="19"/>
              <w:snapToGrid/>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（2）生产操作除必要的物流和人流进出外，尽量在封闭环境下进行，以减少废气的无组织排放途径；</w:t>
            </w:r>
          </w:p>
          <w:p w14:paraId="4ED70E0D">
            <w:pPr>
              <w:pStyle w:val="19"/>
              <w:snapToGrid/>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（3）加强设备的维修和保养，加强对员工的培训和管理，以减少人为操作不当造成的废气无组织排放；</w:t>
            </w:r>
          </w:p>
          <w:p w14:paraId="31229BF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cs="Times New Roman"/>
                <w:b/>
                <w:color w:val="auto"/>
                <w:sz w:val="24"/>
                <w:szCs w:val="24"/>
              </w:rPr>
            </w:pPr>
            <w:r>
              <w:rPr>
                <w:rFonts w:hint="default" w:ascii="Times New Roman" w:hAnsi="Times New Roman" w:cs="Times New Roman"/>
                <w:color w:val="auto"/>
                <w:sz w:val="24"/>
                <w:szCs w:val="24"/>
              </w:rPr>
              <w:t>通过以上措施，可以减少无组织废气的排放，无组织排放的废气能够满足相应的排放标准要求，对周围大气环境的影响。</w:t>
            </w:r>
          </w:p>
          <w:p w14:paraId="03821947">
            <w:pPr>
              <w:bidi w:val="0"/>
              <w:ind w:left="0" w:leftChars="0" w:firstLine="0" w:firstLineChars="0"/>
              <w:rPr>
                <w:rFonts w:hint="default"/>
                <w:b/>
                <w:bCs/>
                <w:color w:val="auto"/>
              </w:rPr>
            </w:pPr>
            <w:r>
              <w:rPr>
                <w:rFonts w:hint="eastAsia"/>
                <w:b/>
                <w:bCs/>
                <w:color w:val="auto"/>
                <w:lang w:val="en-US" w:eastAsia="zh-CN"/>
              </w:rPr>
              <w:t>4.</w:t>
            </w:r>
            <w:r>
              <w:rPr>
                <w:rFonts w:hint="default"/>
                <w:b/>
                <w:bCs/>
                <w:color w:val="auto"/>
                <w:lang w:val="en-US" w:eastAsia="zh-CN"/>
              </w:rPr>
              <w:t>1.4</w:t>
            </w:r>
            <w:r>
              <w:rPr>
                <w:rFonts w:hint="default"/>
                <w:b/>
                <w:bCs/>
                <w:color w:val="auto"/>
              </w:rPr>
              <w:t>废气处理达标分析</w:t>
            </w:r>
          </w:p>
          <w:p w14:paraId="18B14A65">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①有组织排放量核算</w:t>
            </w:r>
          </w:p>
          <w:p w14:paraId="710796E8">
            <w:pPr>
              <w:pStyle w:val="38"/>
              <w:bidi w:val="0"/>
              <w:rPr>
                <w:rFonts w:hint="default"/>
                <w:color w:val="auto"/>
              </w:rPr>
            </w:pPr>
          </w:p>
          <w:p w14:paraId="6A389BC7">
            <w:pPr>
              <w:pStyle w:val="38"/>
              <w:bidi w:val="0"/>
              <w:rPr>
                <w:rFonts w:hint="default"/>
                <w:color w:val="auto"/>
              </w:rPr>
            </w:pPr>
            <w:r>
              <w:rPr>
                <w:rFonts w:hint="default"/>
                <w:color w:val="auto"/>
              </w:rPr>
              <w:t>表4-</w:t>
            </w:r>
            <w:r>
              <w:rPr>
                <w:rFonts w:hint="eastAsia"/>
                <w:color w:val="auto"/>
                <w:lang w:val="en-US" w:eastAsia="zh-CN"/>
              </w:rPr>
              <w:t>5</w:t>
            </w:r>
            <w:r>
              <w:rPr>
                <w:rFonts w:hint="default"/>
                <w:color w:val="auto"/>
              </w:rPr>
              <w:t xml:space="preserve">  大气污染物有组织排放量核算</w:t>
            </w:r>
          </w:p>
          <w:tbl>
            <w:tblPr>
              <w:tblStyle w:val="32"/>
              <w:tblW w:w="885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87"/>
              <w:gridCol w:w="1322"/>
              <w:gridCol w:w="1198"/>
              <w:gridCol w:w="1198"/>
              <w:gridCol w:w="1532"/>
              <w:gridCol w:w="1620"/>
              <w:gridCol w:w="1499"/>
            </w:tblGrid>
            <w:tr w14:paraId="48826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74" w:type="pct"/>
                  <w:tcBorders>
                    <w:tl2br w:val="nil"/>
                    <w:tr2bl w:val="nil"/>
                  </w:tcBorders>
                  <w:vAlign w:val="center"/>
                </w:tcPr>
                <w:p w14:paraId="6B6EA6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序号</w:t>
                  </w:r>
                </w:p>
              </w:tc>
              <w:tc>
                <w:tcPr>
                  <w:tcW w:w="746" w:type="pct"/>
                  <w:tcBorders>
                    <w:tl2br w:val="nil"/>
                    <w:tr2bl w:val="nil"/>
                  </w:tcBorders>
                  <w:vAlign w:val="center"/>
                </w:tcPr>
                <w:p w14:paraId="2A72A5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排放口编号</w:t>
                  </w:r>
                </w:p>
              </w:tc>
              <w:tc>
                <w:tcPr>
                  <w:tcW w:w="676" w:type="pct"/>
                  <w:tcBorders>
                    <w:tl2br w:val="nil"/>
                    <w:tr2bl w:val="nil"/>
                  </w:tcBorders>
                  <w:vAlign w:val="center"/>
                </w:tcPr>
                <w:p w14:paraId="28C59E7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污染物</w:t>
                  </w:r>
                </w:p>
              </w:tc>
              <w:tc>
                <w:tcPr>
                  <w:tcW w:w="676" w:type="pct"/>
                  <w:tcBorders>
                    <w:tl2br w:val="nil"/>
                    <w:tr2bl w:val="nil"/>
                  </w:tcBorders>
                  <w:vAlign w:val="center"/>
                </w:tcPr>
                <w:p w14:paraId="714B37F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标准浓度/（mg/m</w:t>
                  </w:r>
                  <w:r>
                    <w:rPr>
                      <w:rFonts w:hint="default" w:ascii="Times New Roman" w:hAnsi="Times New Roman" w:cs="Times New Roman"/>
                      <w:b/>
                      <w:bCs/>
                      <w:color w:val="auto"/>
                      <w:sz w:val="21"/>
                      <w:szCs w:val="21"/>
                      <w:vertAlign w:val="superscript"/>
                    </w:rPr>
                    <w:t>3</w:t>
                  </w:r>
                  <w:r>
                    <w:rPr>
                      <w:rFonts w:hint="default" w:ascii="Times New Roman" w:hAnsi="Times New Roman" w:cs="Times New Roman"/>
                      <w:b/>
                      <w:bCs/>
                      <w:color w:val="auto"/>
                      <w:sz w:val="21"/>
                      <w:szCs w:val="21"/>
                    </w:rPr>
                    <w:t>）</w:t>
                  </w:r>
                </w:p>
              </w:tc>
              <w:tc>
                <w:tcPr>
                  <w:tcW w:w="864" w:type="pct"/>
                  <w:tcBorders>
                    <w:tl2br w:val="nil"/>
                    <w:tr2bl w:val="nil"/>
                  </w:tcBorders>
                  <w:vAlign w:val="center"/>
                </w:tcPr>
                <w:p w14:paraId="3EFEE4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核算排放浓度（mg/m</w:t>
                  </w:r>
                  <w:r>
                    <w:rPr>
                      <w:rFonts w:hint="default" w:ascii="Times New Roman" w:hAnsi="Times New Roman" w:cs="Times New Roman"/>
                      <w:b/>
                      <w:bCs/>
                      <w:color w:val="auto"/>
                      <w:sz w:val="21"/>
                      <w:szCs w:val="21"/>
                      <w:vertAlign w:val="superscript"/>
                    </w:rPr>
                    <w:t>3</w:t>
                  </w:r>
                  <w:r>
                    <w:rPr>
                      <w:rFonts w:hint="default" w:ascii="Times New Roman" w:hAnsi="Times New Roman" w:cs="Times New Roman"/>
                      <w:b/>
                      <w:bCs/>
                      <w:color w:val="auto"/>
                      <w:sz w:val="21"/>
                      <w:szCs w:val="21"/>
                    </w:rPr>
                    <w:t>）</w:t>
                  </w:r>
                </w:p>
              </w:tc>
              <w:tc>
                <w:tcPr>
                  <w:tcW w:w="914" w:type="pct"/>
                  <w:tcBorders>
                    <w:tl2br w:val="nil"/>
                    <w:tr2bl w:val="nil"/>
                  </w:tcBorders>
                  <w:vAlign w:val="center"/>
                </w:tcPr>
                <w:p w14:paraId="27FF103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核算排放速率（kg/h）</w:t>
                  </w:r>
                </w:p>
              </w:tc>
              <w:tc>
                <w:tcPr>
                  <w:tcW w:w="846" w:type="pct"/>
                  <w:tcBorders>
                    <w:tl2br w:val="nil"/>
                    <w:tr2bl w:val="nil"/>
                  </w:tcBorders>
                  <w:vAlign w:val="center"/>
                </w:tcPr>
                <w:p w14:paraId="3439B04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核算年排放量（t/a）</w:t>
                  </w:r>
                </w:p>
              </w:tc>
            </w:tr>
            <w:tr w14:paraId="4E9EF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8" w:hRule="atLeast"/>
                <w:jc w:val="center"/>
              </w:trPr>
              <w:tc>
                <w:tcPr>
                  <w:tcW w:w="274" w:type="pct"/>
                  <w:tcBorders>
                    <w:tl2br w:val="nil"/>
                    <w:tr2bl w:val="nil"/>
                  </w:tcBorders>
                  <w:vAlign w:val="center"/>
                </w:tcPr>
                <w:p w14:paraId="79186D9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w:t>
                  </w:r>
                </w:p>
              </w:tc>
              <w:tc>
                <w:tcPr>
                  <w:tcW w:w="746" w:type="pct"/>
                  <w:tcBorders>
                    <w:tl2br w:val="nil"/>
                    <w:tr2bl w:val="nil"/>
                  </w:tcBorders>
                  <w:vAlign w:val="center"/>
                </w:tcPr>
                <w:p w14:paraId="3863A7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DA00</w:t>
                  </w:r>
                  <w:r>
                    <w:rPr>
                      <w:rFonts w:hint="eastAsia" w:ascii="Times New Roman" w:hAnsi="Times New Roman" w:cs="Times New Roman"/>
                      <w:b w:val="0"/>
                      <w:bCs/>
                      <w:color w:val="auto"/>
                      <w:sz w:val="21"/>
                      <w:szCs w:val="21"/>
                      <w:lang w:val="en-US" w:eastAsia="zh-CN"/>
                    </w:rPr>
                    <w:t>1</w:t>
                  </w:r>
                </w:p>
              </w:tc>
              <w:tc>
                <w:tcPr>
                  <w:tcW w:w="676" w:type="pct"/>
                  <w:tcBorders>
                    <w:tl2br w:val="nil"/>
                    <w:tr2bl w:val="nil"/>
                  </w:tcBorders>
                  <w:vAlign w:val="center"/>
                </w:tcPr>
                <w:p w14:paraId="5532290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eastAsia="zh-CN"/>
                    </w:rPr>
                  </w:pPr>
                  <w:r>
                    <w:rPr>
                      <w:rFonts w:hint="eastAsia" w:ascii="Times New Roman" w:hAnsi="Times New Roman" w:cs="Times New Roman"/>
                      <w:b w:val="0"/>
                      <w:bCs/>
                      <w:color w:val="auto"/>
                      <w:sz w:val="21"/>
                      <w:szCs w:val="21"/>
                      <w:lang w:val="en-US" w:eastAsia="zh-CN"/>
                    </w:rPr>
                    <w:t>颗粒物</w:t>
                  </w:r>
                </w:p>
              </w:tc>
              <w:tc>
                <w:tcPr>
                  <w:tcW w:w="676" w:type="pct"/>
                  <w:tcBorders>
                    <w:tl2br w:val="nil"/>
                    <w:tr2bl w:val="nil"/>
                  </w:tcBorders>
                  <w:vAlign w:val="center"/>
                </w:tcPr>
                <w:p w14:paraId="218DF7D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120</w:t>
                  </w:r>
                </w:p>
              </w:tc>
              <w:tc>
                <w:tcPr>
                  <w:tcW w:w="864" w:type="pct"/>
                  <w:tcBorders>
                    <w:tl2br w:val="nil"/>
                    <w:tr2bl w:val="nil"/>
                  </w:tcBorders>
                  <w:vAlign w:val="center"/>
                </w:tcPr>
                <w:p w14:paraId="73DE51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7.197</w:t>
                  </w:r>
                </w:p>
              </w:tc>
              <w:tc>
                <w:tcPr>
                  <w:tcW w:w="914" w:type="pct"/>
                  <w:tcBorders>
                    <w:tl2br w:val="nil"/>
                    <w:tr2bl w:val="nil"/>
                  </w:tcBorders>
                  <w:vAlign w:val="center"/>
                </w:tcPr>
                <w:p w14:paraId="733E39A6">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0.288</w:t>
                  </w:r>
                </w:p>
              </w:tc>
              <w:tc>
                <w:tcPr>
                  <w:tcW w:w="846" w:type="pct"/>
                  <w:tcBorders>
                    <w:tl2br w:val="nil"/>
                    <w:tr2bl w:val="nil"/>
                  </w:tcBorders>
                  <w:vAlign w:val="center"/>
                </w:tcPr>
                <w:p w14:paraId="384C6B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0.038</w:t>
                  </w:r>
                </w:p>
              </w:tc>
            </w:tr>
            <w:tr w14:paraId="17058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8" w:hRule="atLeast"/>
                <w:jc w:val="center"/>
              </w:trPr>
              <w:tc>
                <w:tcPr>
                  <w:tcW w:w="274" w:type="pct"/>
                  <w:vMerge w:val="restart"/>
                  <w:tcBorders>
                    <w:tl2br w:val="nil"/>
                    <w:tr2bl w:val="nil"/>
                  </w:tcBorders>
                  <w:vAlign w:val="center"/>
                </w:tcPr>
                <w:p w14:paraId="3A97976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w:t>
                  </w:r>
                </w:p>
              </w:tc>
              <w:tc>
                <w:tcPr>
                  <w:tcW w:w="746" w:type="pct"/>
                  <w:vMerge w:val="restart"/>
                  <w:tcBorders>
                    <w:tl2br w:val="nil"/>
                    <w:tr2bl w:val="nil"/>
                  </w:tcBorders>
                  <w:vAlign w:val="center"/>
                </w:tcPr>
                <w:p w14:paraId="288AE90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rPr>
                    <w:t>DA00</w:t>
                  </w:r>
                  <w:r>
                    <w:rPr>
                      <w:rFonts w:hint="eastAsia" w:ascii="Times New Roman" w:hAnsi="Times New Roman" w:cs="Times New Roman"/>
                      <w:b w:val="0"/>
                      <w:bCs/>
                      <w:color w:val="auto"/>
                      <w:sz w:val="21"/>
                      <w:szCs w:val="21"/>
                      <w:lang w:val="en-US" w:eastAsia="zh-CN"/>
                    </w:rPr>
                    <w:t>2</w:t>
                  </w:r>
                </w:p>
              </w:tc>
              <w:tc>
                <w:tcPr>
                  <w:tcW w:w="676" w:type="pct"/>
                  <w:tcBorders>
                    <w:tl2br w:val="nil"/>
                    <w:tr2bl w:val="nil"/>
                  </w:tcBorders>
                  <w:vAlign w:val="center"/>
                </w:tcPr>
                <w:p w14:paraId="243D1D9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sz w:val="21"/>
                      <w:szCs w:val="21"/>
                      <w:lang w:val="en-US" w:eastAsia="zh-CN"/>
                    </w:rPr>
                    <w:t>NMHC</w:t>
                  </w:r>
                </w:p>
              </w:tc>
              <w:tc>
                <w:tcPr>
                  <w:tcW w:w="676" w:type="pct"/>
                  <w:tcBorders>
                    <w:tl2br w:val="nil"/>
                    <w:tr2bl w:val="nil"/>
                  </w:tcBorders>
                  <w:vAlign w:val="center"/>
                </w:tcPr>
                <w:p w14:paraId="29DE196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70</w:t>
                  </w:r>
                </w:p>
              </w:tc>
              <w:tc>
                <w:tcPr>
                  <w:tcW w:w="864" w:type="pct"/>
                  <w:tcBorders>
                    <w:tl2br w:val="nil"/>
                    <w:tr2bl w:val="nil"/>
                  </w:tcBorders>
                  <w:vAlign w:val="center"/>
                </w:tcPr>
                <w:p w14:paraId="774CB4E6">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b w:val="0"/>
                      <w:bCs/>
                      <w:color w:val="auto"/>
                      <w:sz w:val="21"/>
                      <w:szCs w:val="21"/>
                      <w:lang w:val="en-US" w:eastAsia="zh-CN"/>
                    </w:rPr>
                    <w:t>2.895</w:t>
                  </w:r>
                </w:p>
              </w:tc>
              <w:tc>
                <w:tcPr>
                  <w:tcW w:w="1620" w:type="dxa"/>
                  <w:tcBorders>
                    <w:tl2br w:val="nil"/>
                    <w:tr2bl w:val="nil"/>
                  </w:tcBorders>
                  <w:vAlign w:val="center"/>
                </w:tcPr>
                <w:p w14:paraId="11DDC238">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b w:val="0"/>
                      <w:bCs/>
                      <w:color w:val="auto"/>
                      <w:sz w:val="21"/>
                      <w:szCs w:val="21"/>
                      <w:lang w:val="en-US" w:eastAsia="zh-CN"/>
                    </w:rPr>
                    <w:t>0.0417</w:t>
                  </w:r>
                </w:p>
              </w:tc>
              <w:tc>
                <w:tcPr>
                  <w:tcW w:w="1499" w:type="dxa"/>
                  <w:tcBorders>
                    <w:tl2br w:val="nil"/>
                    <w:tr2bl w:val="nil"/>
                  </w:tcBorders>
                  <w:vAlign w:val="center"/>
                </w:tcPr>
                <w:p w14:paraId="69619CE7">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b w:val="0"/>
                      <w:bCs/>
                      <w:color w:val="auto"/>
                      <w:sz w:val="21"/>
                      <w:szCs w:val="21"/>
                      <w:lang w:val="en-US" w:eastAsia="zh-CN"/>
                    </w:rPr>
                    <w:t>0.0667</w:t>
                  </w:r>
                </w:p>
              </w:tc>
            </w:tr>
            <w:tr w14:paraId="1B89A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8" w:hRule="atLeast"/>
                <w:jc w:val="center"/>
              </w:trPr>
              <w:tc>
                <w:tcPr>
                  <w:tcW w:w="274" w:type="pct"/>
                  <w:vMerge w:val="continue"/>
                  <w:tcBorders>
                    <w:tl2br w:val="nil"/>
                    <w:tr2bl w:val="nil"/>
                  </w:tcBorders>
                  <w:vAlign w:val="center"/>
                </w:tcPr>
                <w:p w14:paraId="6BD17A3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c>
                <w:tcPr>
                  <w:tcW w:w="746" w:type="pct"/>
                  <w:vMerge w:val="continue"/>
                  <w:tcBorders>
                    <w:tl2br w:val="nil"/>
                    <w:tr2bl w:val="nil"/>
                  </w:tcBorders>
                  <w:vAlign w:val="center"/>
                </w:tcPr>
                <w:p w14:paraId="4DD81AA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676" w:type="pct"/>
                  <w:tcBorders>
                    <w:tl2br w:val="nil"/>
                    <w:tr2bl w:val="nil"/>
                  </w:tcBorders>
                  <w:vAlign w:val="center"/>
                </w:tcPr>
                <w:p w14:paraId="19AA8B2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676" w:type="pct"/>
                  <w:tcBorders>
                    <w:tl2br w:val="nil"/>
                    <w:tr2bl w:val="nil"/>
                  </w:tcBorders>
                  <w:vAlign w:val="center"/>
                </w:tcPr>
                <w:p w14:paraId="67D9FC5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120</w:t>
                  </w:r>
                </w:p>
              </w:tc>
              <w:tc>
                <w:tcPr>
                  <w:tcW w:w="864" w:type="pct"/>
                  <w:tcBorders>
                    <w:tl2br w:val="nil"/>
                    <w:tr2bl w:val="nil"/>
                  </w:tcBorders>
                  <w:vAlign w:val="center"/>
                </w:tcPr>
                <w:p w14:paraId="6DEE0923">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s="Times New Roman"/>
                      <w:b w:val="0"/>
                      <w:bCs/>
                      <w:color w:val="auto"/>
                      <w:sz w:val="21"/>
                      <w:szCs w:val="21"/>
                      <w:lang w:val="en-US" w:eastAsia="zh-CN"/>
                    </w:rPr>
                  </w:pPr>
                  <w:r>
                    <w:rPr>
                      <w:rFonts w:hint="eastAsia" w:cs="Times New Roman"/>
                      <w:b w:val="0"/>
                      <w:bCs/>
                      <w:color w:val="auto"/>
                      <w:lang w:val="en-US" w:eastAsia="zh-CN"/>
                    </w:rPr>
                    <w:t>13.542</w:t>
                  </w:r>
                </w:p>
              </w:tc>
              <w:tc>
                <w:tcPr>
                  <w:tcW w:w="1620" w:type="dxa"/>
                  <w:tcBorders>
                    <w:tl2br w:val="nil"/>
                    <w:tr2bl w:val="nil"/>
                  </w:tcBorders>
                  <w:vAlign w:val="center"/>
                </w:tcPr>
                <w:p w14:paraId="55DA03D6">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0.195</w:t>
                  </w:r>
                </w:p>
              </w:tc>
              <w:tc>
                <w:tcPr>
                  <w:tcW w:w="1499" w:type="dxa"/>
                  <w:tcBorders>
                    <w:tl2br w:val="nil"/>
                    <w:tr2bl w:val="nil"/>
                  </w:tcBorders>
                  <w:vAlign w:val="center"/>
                </w:tcPr>
                <w:p w14:paraId="705DF03E">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0.234</w:t>
                  </w:r>
                </w:p>
              </w:tc>
            </w:tr>
            <w:tr w14:paraId="190C77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8" w:hRule="atLeast"/>
                <w:jc w:val="center"/>
              </w:trPr>
              <w:tc>
                <w:tcPr>
                  <w:tcW w:w="1021" w:type="pct"/>
                  <w:gridSpan w:val="2"/>
                  <w:vMerge w:val="restart"/>
                  <w:tcBorders>
                    <w:tl2br w:val="nil"/>
                    <w:tr2bl w:val="nil"/>
                  </w:tcBorders>
                  <w:vAlign w:val="center"/>
                </w:tcPr>
                <w:p w14:paraId="5C2FE8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auto"/>
                      <w:sz w:val="21"/>
                      <w:szCs w:val="21"/>
                      <w:lang w:eastAsia="zh-CN"/>
                    </w:rPr>
                  </w:pPr>
                  <w:r>
                    <w:rPr>
                      <w:rFonts w:hint="default" w:ascii="Times New Roman" w:hAnsi="Times New Roman" w:cs="Times New Roman"/>
                      <w:b w:val="0"/>
                      <w:bCs/>
                      <w:color w:val="auto"/>
                      <w:sz w:val="21"/>
                      <w:szCs w:val="21"/>
                    </w:rPr>
                    <w:t>有组织排放总计</w:t>
                  </w:r>
                </w:p>
              </w:tc>
              <w:tc>
                <w:tcPr>
                  <w:tcW w:w="5548" w:type="dxa"/>
                  <w:gridSpan w:val="4"/>
                  <w:tcBorders>
                    <w:tl2br w:val="nil"/>
                    <w:tr2bl w:val="nil"/>
                  </w:tcBorders>
                  <w:vAlign w:val="center"/>
                </w:tcPr>
                <w:p w14:paraId="74EFA2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sz w:val="21"/>
                      <w:szCs w:val="21"/>
                      <w:lang w:val="en-US" w:eastAsia="zh-CN"/>
                    </w:rPr>
                    <w:t>颗粒物</w:t>
                  </w:r>
                </w:p>
              </w:tc>
              <w:tc>
                <w:tcPr>
                  <w:tcW w:w="846" w:type="pct"/>
                  <w:tcBorders>
                    <w:tl2br w:val="nil"/>
                    <w:tr2bl w:val="nil"/>
                  </w:tcBorders>
                  <w:vAlign w:val="center"/>
                </w:tcPr>
                <w:p w14:paraId="002591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0.272</w:t>
                  </w:r>
                </w:p>
              </w:tc>
            </w:tr>
            <w:tr w14:paraId="3DA64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8" w:hRule="atLeast"/>
                <w:jc w:val="center"/>
              </w:trPr>
              <w:tc>
                <w:tcPr>
                  <w:tcW w:w="1021" w:type="pct"/>
                  <w:gridSpan w:val="2"/>
                  <w:vMerge w:val="continue"/>
                  <w:tcBorders>
                    <w:tl2br w:val="nil"/>
                    <w:tr2bl w:val="nil"/>
                  </w:tcBorders>
                  <w:vAlign w:val="center"/>
                </w:tcPr>
                <w:p w14:paraId="7BD58DE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5548" w:type="dxa"/>
                  <w:gridSpan w:val="4"/>
                  <w:tcBorders>
                    <w:tl2br w:val="nil"/>
                    <w:tr2bl w:val="nil"/>
                  </w:tcBorders>
                  <w:vAlign w:val="center"/>
                </w:tcPr>
                <w:p w14:paraId="3A1754D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NMHC</w:t>
                  </w:r>
                </w:p>
              </w:tc>
              <w:tc>
                <w:tcPr>
                  <w:tcW w:w="846" w:type="pct"/>
                  <w:tcBorders>
                    <w:tl2br w:val="nil"/>
                    <w:tr2bl w:val="nil"/>
                  </w:tcBorders>
                  <w:vAlign w:val="center"/>
                </w:tcPr>
                <w:p w14:paraId="796437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0.0667</w:t>
                  </w:r>
                </w:p>
              </w:tc>
            </w:tr>
          </w:tbl>
          <w:p w14:paraId="66D596ED">
            <w:pPr>
              <w:bidi w:val="0"/>
              <w:spacing w:line="240" w:lineRule="auto"/>
              <w:rPr>
                <w:rFonts w:hint="default" w:ascii="Times New Roman" w:hAnsi="Times New Roman" w:cs="Times New Roman"/>
                <w:color w:val="auto"/>
                <w:sz w:val="24"/>
                <w:szCs w:val="24"/>
              </w:rPr>
            </w:pPr>
          </w:p>
          <w:p w14:paraId="66363767">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②无组织排放量核算</w:t>
            </w:r>
          </w:p>
          <w:p w14:paraId="4DB70F10">
            <w:pPr>
              <w:pStyle w:val="38"/>
              <w:bidi w:val="0"/>
              <w:rPr>
                <w:rFonts w:hint="default" w:ascii="Times New Roman" w:hAnsi="Times New Roman" w:cs="Times New Roman"/>
                <w:b/>
                <w:bCs/>
                <w:color w:val="auto"/>
              </w:rPr>
            </w:pPr>
            <w:r>
              <w:rPr>
                <w:rFonts w:hint="default"/>
                <w:color w:val="auto"/>
              </w:rPr>
              <w:t>表4-</w:t>
            </w:r>
            <w:r>
              <w:rPr>
                <w:rFonts w:hint="eastAsia"/>
                <w:color w:val="auto"/>
                <w:lang w:val="en-US" w:eastAsia="zh-CN"/>
              </w:rPr>
              <w:t>6</w:t>
            </w:r>
            <w:r>
              <w:rPr>
                <w:rFonts w:hint="default"/>
                <w:color w:val="auto"/>
              </w:rPr>
              <w:t xml:space="preserve">  大气污染物无组织排放量核算表</w:t>
            </w:r>
          </w:p>
          <w:tbl>
            <w:tblPr>
              <w:tblStyle w:val="31"/>
              <w:tblW w:w="883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
            <w:tblGrid>
              <w:gridCol w:w="381"/>
              <w:gridCol w:w="858"/>
              <w:gridCol w:w="1155"/>
              <w:gridCol w:w="1314"/>
              <w:gridCol w:w="934"/>
              <w:gridCol w:w="1620"/>
              <w:gridCol w:w="1221"/>
              <w:gridCol w:w="1352"/>
            </w:tblGrid>
            <w:tr w14:paraId="35F1A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83" w:hRule="atLeast"/>
                <w:jc w:val="center"/>
              </w:trPr>
              <w:tc>
                <w:tcPr>
                  <w:tcW w:w="215" w:type="pct"/>
                  <w:vMerge w:val="restart"/>
                  <w:tcBorders>
                    <w:tl2br w:val="nil"/>
                    <w:tr2bl w:val="nil"/>
                  </w:tcBorders>
                  <w:vAlign w:val="center"/>
                </w:tcPr>
                <w:p w14:paraId="126C22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序号</w:t>
                  </w:r>
                </w:p>
              </w:tc>
              <w:tc>
                <w:tcPr>
                  <w:tcW w:w="485" w:type="pct"/>
                  <w:vMerge w:val="restart"/>
                  <w:tcBorders>
                    <w:tl2br w:val="nil"/>
                    <w:tr2bl w:val="nil"/>
                  </w:tcBorders>
                  <w:vAlign w:val="center"/>
                </w:tcPr>
                <w:p w14:paraId="5BEF9D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排放口编号</w:t>
                  </w:r>
                </w:p>
              </w:tc>
              <w:tc>
                <w:tcPr>
                  <w:tcW w:w="653" w:type="pct"/>
                  <w:vMerge w:val="restart"/>
                  <w:tcBorders>
                    <w:tl2br w:val="nil"/>
                    <w:tr2bl w:val="nil"/>
                  </w:tcBorders>
                  <w:vAlign w:val="center"/>
                </w:tcPr>
                <w:p w14:paraId="0AC5F35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产污环节</w:t>
                  </w:r>
                </w:p>
              </w:tc>
              <w:tc>
                <w:tcPr>
                  <w:tcW w:w="743" w:type="pct"/>
                  <w:vMerge w:val="restart"/>
                  <w:tcBorders>
                    <w:tl2br w:val="nil"/>
                    <w:tr2bl w:val="nil"/>
                  </w:tcBorders>
                  <w:vAlign w:val="center"/>
                </w:tcPr>
                <w:p w14:paraId="5D15C99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污染物种类</w:t>
                  </w:r>
                </w:p>
              </w:tc>
              <w:tc>
                <w:tcPr>
                  <w:tcW w:w="528" w:type="pct"/>
                  <w:vMerge w:val="restart"/>
                  <w:tcBorders>
                    <w:tl2br w:val="nil"/>
                    <w:tr2bl w:val="nil"/>
                  </w:tcBorders>
                  <w:vAlign w:val="center"/>
                </w:tcPr>
                <w:p w14:paraId="6E8770A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主要污染防治措施</w:t>
                  </w:r>
                </w:p>
              </w:tc>
              <w:tc>
                <w:tcPr>
                  <w:tcW w:w="1607" w:type="pct"/>
                  <w:gridSpan w:val="2"/>
                  <w:tcBorders>
                    <w:tl2br w:val="nil"/>
                    <w:tr2bl w:val="nil"/>
                  </w:tcBorders>
                  <w:vAlign w:val="center"/>
                </w:tcPr>
                <w:p w14:paraId="161A368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国家或地方污染物排放标准</w:t>
                  </w:r>
                </w:p>
              </w:tc>
              <w:tc>
                <w:tcPr>
                  <w:tcW w:w="765" w:type="pct"/>
                  <w:vMerge w:val="restart"/>
                  <w:tcBorders>
                    <w:tl2br w:val="nil"/>
                    <w:tr2bl w:val="nil"/>
                  </w:tcBorders>
                  <w:vAlign w:val="center"/>
                </w:tcPr>
                <w:p w14:paraId="6CF1A6A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年排放量/（t/a）</w:t>
                  </w:r>
                </w:p>
              </w:tc>
            </w:tr>
            <w:tr w14:paraId="53411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515" w:hRule="atLeast"/>
                <w:jc w:val="center"/>
              </w:trPr>
              <w:tc>
                <w:tcPr>
                  <w:tcW w:w="215" w:type="pct"/>
                  <w:vMerge w:val="continue"/>
                  <w:tcBorders>
                    <w:tl2br w:val="nil"/>
                    <w:tr2bl w:val="nil"/>
                  </w:tcBorders>
                  <w:vAlign w:val="center"/>
                </w:tcPr>
                <w:p w14:paraId="2A5240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p>
              </w:tc>
              <w:tc>
                <w:tcPr>
                  <w:tcW w:w="485" w:type="pct"/>
                  <w:vMerge w:val="continue"/>
                  <w:tcBorders>
                    <w:tl2br w:val="nil"/>
                    <w:tr2bl w:val="nil"/>
                  </w:tcBorders>
                  <w:vAlign w:val="center"/>
                </w:tcPr>
                <w:p w14:paraId="387345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p>
              </w:tc>
              <w:tc>
                <w:tcPr>
                  <w:tcW w:w="653" w:type="pct"/>
                  <w:vMerge w:val="continue"/>
                  <w:tcBorders>
                    <w:tl2br w:val="nil"/>
                    <w:tr2bl w:val="nil"/>
                  </w:tcBorders>
                  <w:vAlign w:val="center"/>
                </w:tcPr>
                <w:p w14:paraId="707E23A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p>
              </w:tc>
              <w:tc>
                <w:tcPr>
                  <w:tcW w:w="743" w:type="pct"/>
                  <w:vMerge w:val="continue"/>
                  <w:tcBorders>
                    <w:tl2br w:val="nil"/>
                    <w:tr2bl w:val="nil"/>
                  </w:tcBorders>
                  <w:vAlign w:val="center"/>
                </w:tcPr>
                <w:p w14:paraId="0D1AAE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p>
              </w:tc>
              <w:tc>
                <w:tcPr>
                  <w:tcW w:w="528" w:type="pct"/>
                  <w:vMerge w:val="continue"/>
                  <w:tcBorders>
                    <w:tl2br w:val="nil"/>
                    <w:tr2bl w:val="nil"/>
                  </w:tcBorders>
                  <w:vAlign w:val="center"/>
                </w:tcPr>
                <w:p w14:paraId="6AA117B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p>
              </w:tc>
              <w:tc>
                <w:tcPr>
                  <w:tcW w:w="916" w:type="pct"/>
                  <w:tcBorders>
                    <w:tl2br w:val="nil"/>
                    <w:tr2bl w:val="nil"/>
                  </w:tcBorders>
                  <w:vAlign w:val="center"/>
                </w:tcPr>
                <w:p w14:paraId="182C472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标准名称</w:t>
                  </w:r>
                </w:p>
              </w:tc>
              <w:tc>
                <w:tcPr>
                  <w:tcW w:w="691" w:type="pct"/>
                  <w:tcBorders>
                    <w:tl2br w:val="nil"/>
                    <w:tr2bl w:val="nil"/>
                  </w:tcBorders>
                  <w:vAlign w:val="center"/>
                </w:tcPr>
                <w:p w14:paraId="7D9BEFB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浓度限值/（mg/m</w:t>
                  </w:r>
                  <w:r>
                    <w:rPr>
                      <w:rFonts w:hint="default" w:ascii="Times New Roman" w:hAnsi="Times New Roman" w:cs="Times New Roman"/>
                      <w:b/>
                      <w:bCs/>
                      <w:color w:val="auto"/>
                      <w:sz w:val="21"/>
                      <w:szCs w:val="21"/>
                      <w:vertAlign w:val="superscript"/>
                    </w:rPr>
                    <w:t>3</w:t>
                  </w:r>
                  <w:r>
                    <w:rPr>
                      <w:rFonts w:hint="default" w:ascii="Times New Roman" w:hAnsi="Times New Roman" w:cs="Times New Roman"/>
                      <w:b/>
                      <w:bCs/>
                      <w:color w:val="auto"/>
                      <w:sz w:val="21"/>
                      <w:szCs w:val="21"/>
                    </w:rPr>
                    <w:t>）</w:t>
                  </w:r>
                </w:p>
              </w:tc>
              <w:tc>
                <w:tcPr>
                  <w:tcW w:w="765" w:type="pct"/>
                  <w:vMerge w:val="continue"/>
                  <w:tcBorders>
                    <w:tl2br w:val="nil"/>
                    <w:tr2bl w:val="nil"/>
                  </w:tcBorders>
                  <w:vAlign w:val="center"/>
                </w:tcPr>
                <w:p w14:paraId="4670F3F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p>
              </w:tc>
            </w:tr>
            <w:tr w14:paraId="27A7D5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83" w:hRule="atLeast"/>
                <w:jc w:val="center"/>
              </w:trPr>
              <w:tc>
                <w:tcPr>
                  <w:tcW w:w="215" w:type="pct"/>
                  <w:tcBorders>
                    <w:tl2br w:val="nil"/>
                    <w:tr2bl w:val="nil"/>
                  </w:tcBorders>
                  <w:shd w:val="clear" w:color="auto" w:fill="auto"/>
                  <w:vAlign w:val="center"/>
                </w:tcPr>
                <w:p w14:paraId="513ADB7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w:t>
                  </w:r>
                </w:p>
              </w:tc>
              <w:tc>
                <w:tcPr>
                  <w:tcW w:w="485" w:type="pct"/>
                  <w:tcBorders>
                    <w:tl2br w:val="nil"/>
                    <w:tr2bl w:val="nil"/>
                  </w:tcBorders>
                  <w:shd w:val="clear" w:color="auto" w:fill="auto"/>
                  <w:vAlign w:val="center"/>
                </w:tcPr>
                <w:p w14:paraId="60AC5F9B">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b w:val="0"/>
                      <w:bCs/>
                      <w:color w:val="auto"/>
                      <w:sz w:val="21"/>
                      <w:szCs w:val="21"/>
                      <w:lang w:val="en-US" w:eastAsia="zh-CN"/>
                    </w:rPr>
                  </w:pPr>
                  <w:r>
                    <w:rPr>
                      <w:rFonts w:hint="eastAsia"/>
                      <w:b w:val="0"/>
                      <w:bCs/>
                      <w:color w:val="auto"/>
                      <w:sz w:val="21"/>
                      <w:szCs w:val="21"/>
                      <w:lang w:val="en-US" w:eastAsia="zh-CN"/>
                    </w:rPr>
                    <w:t>下料</w:t>
                  </w:r>
                </w:p>
              </w:tc>
              <w:tc>
                <w:tcPr>
                  <w:tcW w:w="653" w:type="pct"/>
                  <w:tcBorders>
                    <w:tl2br w:val="nil"/>
                    <w:tr2bl w:val="nil"/>
                  </w:tcBorders>
                  <w:shd w:val="clear" w:color="auto" w:fill="auto"/>
                  <w:vAlign w:val="center"/>
                </w:tcPr>
                <w:p w14:paraId="5688B3C9">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b w:val="0"/>
                      <w:bCs/>
                      <w:color w:val="auto"/>
                      <w:sz w:val="21"/>
                      <w:szCs w:val="21"/>
                      <w:lang w:val="en-US" w:eastAsia="zh-CN"/>
                    </w:rPr>
                    <w:t>激光切割</w:t>
                  </w:r>
                </w:p>
              </w:tc>
              <w:tc>
                <w:tcPr>
                  <w:tcW w:w="743" w:type="pct"/>
                  <w:vMerge w:val="restart"/>
                  <w:tcBorders>
                    <w:tl2br w:val="nil"/>
                    <w:tr2bl w:val="nil"/>
                  </w:tcBorders>
                  <w:shd w:val="clear" w:color="auto" w:fill="auto"/>
                  <w:vAlign w:val="center"/>
                </w:tcPr>
                <w:p w14:paraId="2AF84F6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528" w:type="pct"/>
                  <w:vMerge w:val="restart"/>
                  <w:tcBorders>
                    <w:tl2br w:val="nil"/>
                    <w:tr2bl w:val="nil"/>
                  </w:tcBorders>
                  <w:shd w:val="clear" w:color="auto" w:fill="auto"/>
                  <w:vAlign w:val="center"/>
                </w:tcPr>
                <w:p w14:paraId="58F7A54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eastAsia="zh-CN"/>
                    </w:rPr>
                  </w:pPr>
                  <w:r>
                    <w:rPr>
                      <w:rFonts w:hint="default" w:ascii="Times New Roman" w:hAnsi="Times New Roman" w:cs="Times New Roman"/>
                      <w:b w:val="0"/>
                      <w:bCs/>
                      <w:color w:val="auto"/>
                      <w:sz w:val="21"/>
                      <w:szCs w:val="21"/>
                      <w:lang w:eastAsia="zh-CN"/>
                    </w:rPr>
                    <w:t>加强车间通风</w:t>
                  </w:r>
                </w:p>
              </w:tc>
              <w:tc>
                <w:tcPr>
                  <w:tcW w:w="916" w:type="pct"/>
                  <w:vMerge w:val="restart"/>
                  <w:tcBorders>
                    <w:tl2br w:val="nil"/>
                    <w:tr2bl w:val="nil"/>
                  </w:tcBorders>
                  <w:shd w:val="clear" w:color="auto" w:fill="auto"/>
                  <w:vAlign w:val="center"/>
                </w:tcPr>
                <w:p w14:paraId="7FFC225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《大气污染物综合排放标准》（GB16297-1996）表2</w:t>
                  </w:r>
                </w:p>
              </w:tc>
              <w:tc>
                <w:tcPr>
                  <w:tcW w:w="691" w:type="pct"/>
                  <w:vMerge w:val="restart"/>
                  <w:tcBorders>
                    <w:tl2br w:val="nil"/>
                    <w:tr2bl w:val="nil"/>
                  </w:tcBorders>
                  <w:shd w:val="clear" w:color="auto" w:fill="auto"/>
                  <w:vAlign w:val="center"/>
                </w:tcPr>
                <w:p w14:paraId="0F08E7A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w:t>
                  </w:r>
                </w:p>
              </w:tc>
              <w:tc>
                <w:tcPr>
                  <w:tcW w:w="765" w:type="pct"/>
                  <w:tcBorders>
                    <w:tl2br w:val="nil"/>
                    <w:tr2bl w:val="nil"/>
                  </w:tcBorders>
                  <w:shd w:val="clear" w:color="auto" w:fill="auto"/>
                  <w:vAlign w:val="center"/>
                </w:tcPr>
                <w:p w14:paraId="286E7195">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sz w:val="21"/>
                      <w:szCs w:val="21"/>
                      <w:lang w:val="en-US" w:eastAsia="zh-CN"/>
                    </w:rPr>
                  </w:pPr>
                  <w:r>
                    <w:rPr>
                      <w:rFonts w:hint="eastAsia"/>
                      <w:b w:val="0"/>
                      <w:bCs/>
                      <w:color w:val="auto"/>
                      <w:sz w:val="21"/>
                      <w:szCs w:val="21"/>
                      <w:lang w:val="en-US" w:eastAsia="zh-CN"/>
                    </w:rPr>
                    <w:t>0.19</w:t>
                  </w:r>
                </w:p>
              </w:tc>
            </w:tr>
            <w:tr w14:paraId="18A8D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83" w:hRule="atLeast"/>
                <w:jc w:val="center"/>
              </w:trPr>
              <w:tc>
                <w:tcPr>
                  <w:tcW w:w="215" w:type="pct"/>
                  <w:tcBorders>
                    <w:tl2br w:val="nil"/>
                    <w:tr2bl w:val="nil"/>
                  </w:tcBorders>
                  <w:shd w:val="clear" w:color="auto" w:fill="auto"/>
                  <w:vAlign w:val="center"/>
                </w:tcPr>
                <w:p w14:paraId="32717A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w:t>
                  </w:r>
                </w:p>
              </w:tc>
              <w:tc>
                <w:tcPr>
                  <w:tcW w:w="485" w:type="pct"/>
                  <w:tcBorders>
                    <w:tl2br w:val="nil"/>
                    <w:tr2bl w:val="nil"/>
                  </w:tcBorders>
                  <w:shd w:val="clear" w:color="auto" w:fill="auto"/>
                  <w:vAlign w:val="center"/>
                </w:tcPr>
                <w:p w14:paraId="158ED76B">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b w:val="0"/>
                      <w:bCs/>
                      <w:color w:val="auto"/>
                      <w:sz w:val="21"/>
                      <w:szCs w:val="21"/>
                      <w:lang w:val="en-US" w:eastAsia="zh-CN"/>
                    </w:rPr>
                  </w:pPr>
                  <w:r>
                    <w:rPr>
                      <w:rFonts w:hint="eastAsia"/>
                      <w:b w:val="0"/>
                      <w:bCs/>
                      <w:color w:val="auto"/>
                      <w:sz w:val="21"/>
                      <w:szCs w:val="21"/>
                      <w:lang w:val="en-US" w:eastAsia="zh-CN"/>
                    </w:rPr>
                    <w:t>下料</w:t>
                  </w:r>
                </w:p>
              </w:tc>
              <w:tc>
                <w:tcPr>
                  <w:tcW w:w="653" w:type="pct"/>
                  <w:tcBorders>
                    <w:tl2br w:val="nil"/>
                    <w:tr2bl w:val="nil"/>
                  </w:tcBorders>
                  <w:shd w:val="clear" w:color="auto" w:fill="auto"/>
                  <w:vAlign w:val="center"/>
                </w:tcPr>
                <w:p w14:paraId="7D6D15BA">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b w:val="0"/>
                      <w:bCs/>
                      <w:color w:val="auto"/>
                      <w:sz w:val="21"/>
                      <w:szCs w:val="21"/>
                      <w:lang w:val="en-US" w:eastAsia="zh-CN"/>
                    </w:rPr>
                    <w:t>锯床切割</w:t>
                  </w:r>
                </w:p>
              </w:tc>
              <w:tc>
                <w:tcPr>
                  <w:tcW w:w="743" w:type="pct"/>
                  <w:vMerge w:val="continue"/>
                  <w:tcBorders>
                    <w:tl2br w:val="nil"/>
                    <w:tr2bl w:val="nil"/>
                  </w:tcBorders>
                  <w:shd w:val="clear" w:color="auto" w:fill="auto"/>
                  <w:vAlign w:val="center"/>
                </w:tcPr>
                <w:p w14:paraId="0994D39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p>
              </w:tc>
              <w:tc>
                <w:tcPr>
                  <w:tcW w:w="528" w:type="pct"/>
                  <w:vMerge w:val="continue"/>
                  <w:tcBorders>
                    <w:tl2br w:val="nil"/>
                    <w:tr2bl w:val="nil"/>
                  </w:tcBorders>
                  <w:shd w:val="clear" w:color="auto" w:fill="auto"/>
                  <w:vAlign w:val="center"/>
                </w:tcPr>
                <w:p w14:paraId="7CAF0FE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eastAsia="zh-CN"/>
                    </w:rPr>
                  </w:pPr>
                </w:p>
              </w:tc>
              <w:tc>
                <w:tcPr>
                  <w:tcW w:w="916" w:type="pct"/>
                  <w:vMerge w:val="continue"/>
                  <w:tcBorders>
                    <w:tl2br w:val="nil"/>
                    <w:tr2bl w:val="nil"/>
                  </w:tcBorders>
                  <w:shd w:val="clear" w:color="auto" w:fill="auto"/>
                  <w:vAlign w:val="center"/>
                </w:tcPr>
                <w:p w14:paraId="01C59AA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691" w:type="pct"/>
                  <w:vMerge w:val="continue"/>
                  <w:tcBorders>
                    <w:tl2br w:val="nil"/>
                    <w:tr2bl w:val="nil"/>
                  </w:tcBorders>
                  <w:shd w:val="clear" w:color="auto" w:fill="auto"/>
                  <w:vAlign w:val="center"/>
                </w:tcPr>
                <w:p w14:paraId="4F2A233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c>
                <w:tcPr>
                  <w:tcW w:w="765" w:type="pct"/>
                  <w:tcBorders>
                    <w:tl2br w:val="nil"/>
                    <w:tr2bl w:val="nil"/>
                  </w:tcBorders>
                  <w:shd w:val="clear" w:color="auto" w:fill="auto"/>
                  <w:vAlign w:val="center"/>
                </w:tcPr>
                <w:p w14:paraId="15E12C1B">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sz w:val="21"/>
                      <w:szCs w:val="21"/>
                      <w:lang w:val="en-US" w:eastAsia="zh-CN"/>
                    </w:rPr>
                  </w:pPr>
                  <w:r>
                    <w:rPr>
                      <w:rFonts w:hint="eastAsia"/>
                      <w:b w:val="0"/>
                      <w:bCs/>
                      <w:color w:val="auto"/>
                      <w:sz w:val="21"/>
                      <w:szCs w:val="21"/>
                      <w:lang w:val="en-US" w:eastAsia="zh-CN"/>
                    </w:rPr>
                    <w:t>2.5224</w:t>
                  </w:r>
                </w:p>
              </w:tc>
            </w:tr>
            <w:tr w14:paraId="0CA1F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83" w:hRule="atLeast"/>
                <w:jc w:val="center"/>
              </w:trPr>
              <w:tc>
                <w:tcPr>
                  <w:tcW w:w="215" w:type="pct"/>
                  <w:vMerge w:val="restart"/>
                  <w:tcBorders>
                    <w:tl2br w:val="nil"/>
                    <w:tr2bl w:val="nil"/>
                  </w:tcBorders>
                  <w:shd w:val="clear" w:color="auto" w:fill="auto"/>
                  <w:vAlign w:val="center"/>
                </w:tcPr>
                <w:p w14:paraId="65492F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auto"/>
                      <w:sz w:val="21"/>
                      <w:szCs w:val="21"/>
                      <w:lang w:eastAsia="zh-CN"/>
                    </w:rPr>
                  </w:pPr>
                  <w:r>
                    <w:rPr>
                      <w:rFonts w:hint="eastAsia" w:ascii="Times New Roman" w:hAnsi="Times New Roman" w:cs="Times New Roman"/>
                      <w:b w:val="0"/>
                      <w:bCs/>
                      <w:color w:val="auto"/>
                      <w:sz w:val="21"/>
                      <w:szCs w:val="21"/>
                      <w:lang w:val="en-US" w:eastAsia="zh-CN"/>
                    </w:rPr>
                    <w:t>3</w:t>
                  </w:r>
                </w:p>
              </w:tc>
              <w:tc>
                <w:tcPr>
                  <w:tcW w:w="485" w:type="pct"/>
                  <w:vMerge w:val="restart"/>
                  <w:tcBorders>
                    <w:tl2br w:val="nil"/>
                    <w:tr2bl w:val="nil"/>
                  </w:tcBorders>
                  <w:shd w:val="clear" w:color="auto" w:fill="auto"/>
                  <w:vAlign w:val="center"/>
                </w:tcPr>
                <w:p w14:paraId="0024FD1F">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b w:val="0"/>
                      <w:bCs/>
                      <w:color w:val="auto"/>
                      <w:sz w:val="21"/>
                      <w:szCs w:val="21"/>
                      <w:lang w:val="en-US" w:eastAsia="zh-CN"/>
                    </w:rPr>
                  </w:pPr>
                  <w:r>
                    <w:rPr>
                      <w:rFonts w:hint="eastAsia"/>
                      <w:b w:val="0"/>
                      <w:bCs/>
                      <w:color w:val="auto"/>
                      <w:sz w:val="21"/>
                      <w:szCs w:val="21"/>
                      <w:lang w:val="en-US" w:eastAsia="zh-CN"/>
                    </w:rPr>
                    <w:t>焊接</w:t>
                  </w:r>
                </w:p>
              </w:tc>
              <w:tc>
                <w:tcPr>
                  <w:tcW w:w="653" w:type="pct"/>
                  <w:vMerge w:val="restart"/>
                  <w:tcBorders>
                    <w:tl2br w:val="nil"/>
                    <w:tr2bl w:val="nil"/>
                  </w:tcBorders>
                  <w:shd w:val="clear" w:color="auto" w:fill="auto"/>
                  <w:vAlign w:val="center"/>
                </w:tcPr>
                <w:p w14:paraId="3560361C">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b w:val="0"/>
                      <w:bCs/>
                      <w:color w:val="auto"/>
                      <w:sz w:val="21"/>
                      <w:szCs w:val="21"/>
                      <w:lang w:val="en-US" w:eastAsia="zh-CN"/>
                    </w:rPr>
                    <w:t>焊接</w:t>
                  </w:r>
                </w:p>
              </w:tc>
              <w:tc>
                <w:tcPr>
                  <w:tcW w:w="743" w:type="pct"/>
                  <w:vMerge w:val="continue"/>
                  <w:tcBorders>
                    <w:tl2br w:val="nil"/>
                    <w:tr2bl w:val="nil"/>
                  </w:tcBorders>
                  <w:shd w:val="clear" w:color="auto" w:fill="auto"/>
                  <w:vAlign w:val="center"/>
                </w:tcPr>
                <w:p w14:paraId="0B941CE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p>
              </w:tc>
              <w:tc>
                <w:tcPr>
                  <w:tcW w:w="528" w:type="pct"/>
                  <w:vMerge w:val="continue"/>
                  <w:tcBorders>
                    <w:tl2br w:val="nil"/>
                    <w:tr2bl w:val="nil"/>
                  </w:tcBorders>
                  <w:shd w:val="clear" w:color="auto" w:fill="auto"/>
                  <w:vAlign w:val="center"/>
                </w:tcPr>
                <w:p w14:paraId="1DDCDFE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eastAsia="zh-CN"/>
                    </w:rPr>
                  </w:pPr>
                </w:p>
              </w:tc>
              <w:tc>
                <w:tcPr>
                  <w:tcW w:w="916" w:type="pct"/>
                  <w:vMerge w:val="continue"/>
                  <w:tcBorders>
                    <w:tl2br w:val="nil"/>
                    <w:tr2bl w:val="nil"/>
                  </w:tcBorders>
                  <w:shd w:val="clear" w:color="auto" w:fill="auto"/>
                  <w:vAlign w:val="center"/>
                </w:tcPr>
                <w:p w14:paraId="75E1CE8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691" w:type="pct"/>
                  <w:vMerge w:val="continue"/>
                  <w:tcBorders>
                    <w:tl2br w:val="nil"/>
                    <w:tr2bl w:val="nil"/>
                  </w:tcBorders>
                  <w:shd w:val="clear" w:color="auto" w:fill="auto"/>
                  <w:vAlign w:val="center"/>
                </w:tcPr>
                <w:p w14:paraId="1AD5C90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p>
              </w:tc>
              <w:tc>
                <w:tcPr>
                  <w:tcW w:w="765" w:type="pct"/>
                  <w:tcBorders>
                    <w:tl2br w:val="nil"/>
                    <w:tr2bl w:val="nil"/>
                  </w:tcBorders>
                  <w:shd w:val="clear" w:color="auto" w:fill="auto"/>
                  <w:vAlign w:val="center"/>
                </w:tcPr>
                <w:p w14:paraId="1FE12007">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b w:val="0"/>
                      <w:bCs/>
                      <w:color w:val="auto"/>
                      <w:sz w:val="21"/>
                      <w:szCs w:val="21"/>
                      <w:lang w:val="en-US"/>
                    </w:rPr>
                  </w:pPr>
                  <w:r>
                    <w:rPr>
                      <w:rFonts w:hint="eastAsia"/>
                      <w:b w:val="0"/>
                      <w:bCs/>
                      <w:color w:val="auto"/>
                      <w:sz w:val="21"/>
                      <w:szCs w:val="21"/>
                      <w:lang w:val="en-US" w:eastAsia="zh-CN"/>
                    </w:rPr>
                    <w:t>0.1147</w:t>
                  </w:r>
                </w:p>
              </w:tc>
            </w:tr>
            <w:tr w14:paraId="22EE1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83" w:hRule="atLeast"/>
                <w:jc w:val="center"/>
              </w:trPr>
              <w:tc>
                <w:tcPr>
                  <w:tcW w:w="215" w:type="pct"/>
                  <w:vMerge w:val="continue"/>
                  <w:tcBorders>
                    <w:tl2br w:val="nil"/>
                    <w:tr2bl w:val="nil"/>
                  </w:tcBorders>
                  <w:shd w:val="clear" w:color="auto" w:fill="auto"/>
                  <w:vAlign w:val="center"/>
                </w:tcPr>
                <w:p w14:paraId="7EF749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c>
                <w:tcPr>
                  <w:tcW w:w="485" w:type="pct"/>
                  <w:vMerge w:val="continue"/>
                  <w:tcBorders>
                    <w:tl2br w:val="nil"/>
                    <w:tr2bl w:val="nil"/>
                  </w:tcBorders>
                  <w:shd w:val="clear" w:color="auto" w:fill="auto"/>
                  <w:vAlign w:val="center"/>
                </w:tcPr>
                <w:p w14:paraId="0A461988">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p>
              </w:tc>
              <w:tc>
                <w:tcPr>
                  <w:tcW w:w="653" w:type="pct"/>
                  <w:vMerge w:val="continue"/>
                  <w:tcBorders>
                    <w:tl2br w:val="nil"/>
                    <w:tr2bl w:val="nil"/>
                  </w:tcBorders>
                  <w:shd w:val="clear" w:color="auto" w:fill="auto"/>
                  <w:vAlign w:val="center"/>
                </w:tcPr>
                <w:p w14:paraId="7F7F66E1">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p>
              </w:tc>
              <w:tc>
                <w:tcPr>
                  <w:tcW w:w="743" w:type="pct"/>
                  <w:tcBorders>
                    <w:tl2br w:val="nil"/>
                    <w:tr2bl w:val="nil"/>
                  </w:tcBorders>
                  <w:shd w:val="clear" w:color="auto" w:fill="auto"/>
                  <w:vAlign w:val="center"/>
                </w:tcPr>
                <w:p w14:paraId="177FECC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锡及其化合物</w:t>
                  </w:r>
                </w:p>
              </w:tc>
              <w:tc>
                <w:tcPr>
                  <w:tcW w:w="528" w:type="pct"/>
                  <w:vMerge w:val="continue"/>
                  <w:tcBorders>
                    <w:tl2br w:val="nil"/>
                    <w:tr2bl w:val="nil"/>
                  </w:tcBorders>
                  <w:shd w:val="clear" w:color="auto" w:fill="auto"/>
                  <w:vAlign w:val="center"/>
                </w:tcPr>
                <w:p w14:paraId="5ADEEA9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eastAsia="zh-CN"/>
                    </w:rPr>
                  </w:pPr>
                </w:p>
              </w:tc>
              <w:tc>
                <w:tcPr>
                  <w:tcW w:w="916" w:type="pct"/>
                  <w:vMerge w:val="continue"/>
                  <w:tcBorders>
                    <w:tl2br w:val="nil"/>
                    <w:tr2bl w:val="nil"/>
                  </w:tcBorders>
                  <w:shd w:val="clear" w:color="auto" w:fill="auto"/>
                  <w:vAlign w:val="center"/>
                </w:tcPr>
                <w:p w14:paraId="1CC2605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691" w:type="pct"/>
                  <w:tcBorders>
                    <w:tl2br w:val="nil"/>
                    <w:tr2bl w:val="nil"/>
                  </w:tcBorders>
                  <w:shd w:val="clear" w:color="auto" w:fill="auto"/>
                  <w:vAlign w:val="center"/>
                </w:tcPr>
                <w:p w14:paraId="32E487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0.24</w:t>
                  </w:r>
                </w:p>
              </w:tc>
              <w:tc>
                <w:tcPr>
                  <w:tcW w:w="765" w:type="pct"/>
                  <w:tcBorders>
                    <w:tl2br w:val="nil"/>
                    <w:tr2bl w:val="nil"/>
                  </w:tcBorders>
                  <w:shd w:val="clear" w:color="auto" w:fill="auto"/>
                  <w:vAlign w:val="center"/>
                </w:tcPr>
                <w:p w14:paraId="524C56E5">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0.1139</w:t>
                  </w:r>
                </w:p>
              </w:tc>
            </w:tr>
            <w:tr w14:paraId="4AF23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83" w:hRule="atLeast"/>
                <w:jc w:val="center"/>
              </w:trPr>
              <w:tc>
                <w:tcPr>
                  <w:tcW w:w="215" w:type="pct"/>
                  <w:vMerge w:val="continue"/>
                  <w:tcBorders>
                    <w:tl2br w:val="nil"/>
                    <w:tr2bl w:val="nil"/>
                  </w:tcBorders>
                  <w:shd w:val="clear" w:color="auto" w:fill="auto"/>
                  <w:vAlign w:val="center"/>
                </w:tcPr>
                <w:p w14:paraId="1CF5E78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c>
                <w:tcPr>
                  <w:tcW w:w="485" w:type="pct"/>
                  <w:vMerge w:val="continue"/>
                  <w:tcBorders>
                    <w:tl2br w:val="nil"/>
                    <w:tr2bl w:val="nil"/>
                  </w:tcBorders>
                  <w:shd w:val="clear" w:color="auto" w:fill="auto"/>
                  <w:vAlign w:val="center"/>
                </w:tcPr>
                <w:p w14:paraId="20FD2F0F">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p>
              </w:tc>
              <w:tc>
                <w:tcPr>
                  <w:tcW w:w="653" w:type="pct"/>
                  <w:vMerge w:val="continue"/>
                  <w:tcBorders>
                    <w:tl2br w:val="nil"/>
                    <w:tr2bl w:val="nil"/>
                  </w:tcBorders>
                  <w:shd w:val="clear" w:color="auto" w:fill="auto"/>
                  <w:vAlign w:val="center"/>
                </w:tcPr>
                <w:p w14:paraId="06152032">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p>
              </w:tc>
              <w:tc>
                <w:tcPr>
                  <w:tcW w:w="743" w:type="pct"/>
                  <w:tcBorders>
                    <w:tl2br w:val="nil"/>
                    <w:tr2bl w:val="nil"/>
                  </w:tcBorders>
                  <w:shd w:val="clear" w:color="auto" w:fill="auto"/>
                  <w:vAlign w:val="center"/>
                </w:tcPr>
                <w:p w14:paraId="4104D12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铜及其化合物</w:t>
                  </w:r>
                </w:p>
              </w:tc>
              <w:tc>
                <w:tcPr>
                  <w:tcW w:w="528" w:type="pct"/>
                  <w:vMerge w:val="continue"/>
                  <w:tcBorders>
                    <w:tl2br w:val="nil"/>
                    <w:tr2bl w:val="nil"/>
                  </w:tcBorders>
                  <w:shd w:val="clear" w:color="auto" w:fill="auto"/>
                  <w:vAlign w:val="center"/>
                </w:tcPr>
                <w:p w14:paraId="7EBB6AD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eastAsia="zh-CN"/>
                    </w:rPr>
                  </w:pPr>
                </w:p>
              </w:tc>
              <w:tc>
                <w:tcPr>
                  <w:tcW w:w="916" w:type="pct"/>
                  <w:vMerge w:val="continue"/>
                  <w:tcBorders>
                    <w:tl2br w:val="nil"/>
                    <w:tr2bl w:val="nil"/>
                  </w:tcBorders>
                  <w:shd w:val="clear" w:color="auto" w:fill="auto"/>
                  <w:vAlign w:val="center"/>
                </w:tcPr>
                <w:p w14:paraId="47A139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691" w:type="pct"/>
                  <w:tcBorders>
                    <w:tl2br w:val="nil"/>
                    <w:tr2bl w:val="nil"/>
                  </w:tcBorders>
                  <w:shd w:val="clear" w:color="auto" w:fill="auto"/>
                  <w:vAlign w:val="center"/>
                </w:tcPr>
                <w:p w14:paraId="55D205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765" w:type="pct"/>
                  <w:tcBorders>
                    <w:tl2br w:val="nil"/>
                    <w:tr2bl w:val="nil"/>
                  </w:tcBorders>
                  <w:shd w:val="clear" w:color="auto" w:fill="auto"/>
                  <w:vAlign w:val="center"/>
                </w:tcPr>
                <w:p w14:paraId="1FA6111C">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0.0008</w:t>
                  </w:r>
                </w:p>
              </w:tc>
            </w:tr>
            <w:tr w14:paraId="692BC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83" w:hRule="atLeast"/>
                <w:jc w:val="center"/>
              </w:trPr>
              <w:tc>
                <w:tcPr>
                  <w:tcW w:w="215" w:type="pct"/>
                  <w:tcBorders>
                    <w:tl2br w:val="nil"/>
                    <w:tr2bl w:val="nil"/>
                  </w:tcBorders>
                  <w:shd w:val="clear" w:color="auto" w:fill="auto"/>
                  <w:vAlign w:val="center"/>
                </w:tcPr>
                <w:p w14:paraId="5104424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w:t>
                  </w:r>
                </w:p>
              </w:tc>
              <w:tc>
                <w:tcPr>
                  <w:tcW w:w="485" w:type="pct"/>
                  <w:tcBorders>
                    <w:tl2br w:val="nil"/>
                    <w:tr2bl w:val="nil"/>
                  </w:tcBorders>
                  <w:shd w:val="clear" w:color="auto" w:fill="auto"/>
                  <w:vAlign w:val="center"/>
                </w:tcPr>
                <w:p w14:paraId="43B71F5D">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val="0"/>
                      <w:bCs/>
                      <w:color w:val="auto"/>
                      <w:sz w:val="21"/>
                      <w:szCs w:val="21"/>
                      <w:lang w:val="en-US" w:eastAsia="zh-CN"/>
                    </w:rPr>
                  </w:pPr>
                  <w:r>
                    <w:rPr>
                      <w:rFonts w:hint="eastAsia"/>
                      <w:b w:val="0"/>
                      <w:bCs/>
                      <w:color w:val="auto"/>
                      <w:sz w:val="21"/>
                      <w:szCs w:val="21"/>
                      <w:lang w:val="en-US" w:eastAsia="zh-CN"/>
                    </w:rPr>
                    <w:t>喷漆、晾干</w:t>
                  </w:r>
                </w:p>
              </w:tc>
              <w:tc>
                <w:tcPr>
                  <w:tcW w:w="653" w:type="pct"/>
                  <w:tcBorders>
                    <w:tl2br w:val="nil"/>
                    <w:tr2bl w:val="nil"/>
                  </w:tcBorders>
                  <w:shd w:val="clear" w:color="auto" w:fill="auto"/>
                  <w:vAlign w:val="center"/>
                </w:tcPr>
                <w:p w14:paraId="0396ACEA">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b w:val="0"/>
                      <w:bCs/>
                      <w:color w:val="auto"/>
                      <w:sz w:val="21"/>
                      <w:szCs w:val="21"/>
                      <w:lang w:val="en-US" w:eastAsia="zh-CN"/>
                    </w:rPr>
                    <w:t>喷漆、晾干</w:t>
                  </w:r>
                </w:p>
              </w:tc>
              <w:tc>
                <w:tcPr>
                  <w:tcW w:w="743" w:type="pct"/>
                  <w:tcBorders>
                    <w:tl2br w:val="nil"/>
                    <w:tr2bl w:val="nil"/>
                  </w:tcBorders>
                  <w:shd w:val="clear" w:color="auto" w:fill="auto"/>
                  <w:vAlign w:val="center"/>
                </w:tcPr>
                <w:p w14:paraId="2AAA4A9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NMHC</w:t>
                  </w:r>
                </w:p>
              </w:tc>
              <w:tc>
                <w:tcPr>
                  <w:tcW w:w="528" w:type="pct"/>
                  <w:vMerge w:val="continue"/>
                  <w:tcBorders>
                    <w:tl2br w:val="nil"/>
                    <w:tr2bl w:val="nil"/>
                  </w:tcBorders>
                  <w:shd w:val="clear" w:color="auto" w:fill="auto"/>
                  <w:vAlign w:val="center"/>
                </w:tcPr>
                <w:p w14:paraId="53274C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eastAsia="zh-CN"/>
                    </w:rPr>
                  </w:pPr>
                </w:p>
              </w:tc>
              <w:tc>
                <w:tcPr>
                  <w:tcW w:w="916" w:type="pct"/>
                  <w:vMerge w:val="continue"/>
                  <w:tcBorders>
                    <w:tl2br w:val="nil"/>
                    <w:tr2bl w:val="nil"/>
                  </w:tcBorders>
                  <w:shd w:val="clear" w:color="auto" w:fill="auto"/>
                  <w:vAlign w:val="center"/>
                </w:tcPr>
                <w:p w14:paraId="51CA49E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691" w:type="pct"/>
                  <w:tcBorders>
                    <w:tl2br w:val="nil"/>
                    <w:tr2bl w:val="nil"/>
                  </w:tcBorders>
                  <w:shd w:val="clear" w:color="auto" w:fill="auto"/>
                  <w:vAlign w:val="center"/>
                </w:tcPr>
                <w:p w14:paraId="64661A7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4.0</w:t>
                  </w:r>
                </w:p>
              </w:tc>
              <w:tc>
                <w:tcPr>
                  <w:tcW w:w="765" w:type="pct"/>
                  <w:tcBorders>
                    <w:tl2br w:val="nil"/>
                    <w:tr2bl w:val="nil"/>
                  </w:tcBorders>
                  <w:shd w:val="clear" w:color="auto" w:fill="auto"/>
                  <w:vAlign w:val="center"/>
                </w:tcPr>
                <w:p w14:paraId="2FA84358">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sz w:val="21"/>
                      <w:szCs w:val="21"/>
                      <w:lang w:val="en-US" w:eastAsia="zh-CN"/>
                    </w:rPr>
                  </w:pPr>
                  <w:r>
                    <w:rPr>
                      <w:rFonts w:hint="eastAsia"/>
                      <w:b w:val="0"/>
                      <w:bCs/>
                      <w:color w:val="auto"/>
                      <w:sz w:val="21"/>
                      <w:szCs w:val="21"/>
                      <w:lang w:val="en-US" w:eastAsia="zh-CN"/>
                    </w:rPr>
                    <w:t>0.0067</w:t>
                  </w:r>
                </w:p>
              </w:tc>
            </w:tr>
            <w:tr w14:paraId="2D161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83" w:hRule="atLeast"/>
                <w:jc w:val="center"/>
              </w:trPr>
              <w:tc>
                <w:tcPr>
                  <w:tcW w:w="5000" w:type="pct"/>
                  <w:gridSpan w:val="8"/>
                  <w:tcBorders>
                    <w:tl2br w:val="nil"/>
                    <w:tr2bl w:val="nil"/>
                  </w:tcBorders>
                  <w:shd w:val="clear" w:color="auto" w:fill="auto"/>
                  <w:vAlign w:val="center"/>
                </w:tcPr>
                <w:p w14:paraId="1CD0E53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无组织排放统计</w:t>
                  </w:r>
                </w:p>
              </w:tc>
            </w:tr>
            <w:tr w14:paraId="6F8A4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90" w:hRule="atLeast"/>
                <w:jc w:val="center"/>
              </w:trPr>
              <w:tc>
                <w:tcPr>
                  <w:tcW w:w="2098" w:type="pct"/>
                  <w:gridSpan w:val="4"/>
                  <w:vMerge w:val="restart"/>
                  <w:tcBorders>
                    <w:tl2br w:val="nil"/>
                    <w:tr2bl w:val="nil"/>
                  </w:tcBorders>
                  <w:shd w:val="clear" w:color="auto" w:fill="auto"/>
                  <w:vAlign w:val="center"/>
                </w:tcPr>
                <w:p w14:paraId="504769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无组织排放总计</w:t>
                  </w:r>
                </w:p>
              </w:tc>
              <w:tc>
                <w:tcPr>
                  <w:tcW w:w="2136" w:type="pct"/>
                  <w:gridSpan w:val="3"/>
                  <w:tcBorders>
                    <w:tl2br w:val="nil"/>
                    <w:tr2bl w:val="nil"/>
                  </w:tcBorders>
                  <w:shd w:val="clear" w:color="auto" w:fill="auto"/>
                  <w:vAlign w:val="center"/>
                </w:tcPr>
                <w:p w14:paraId="272F545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765" w:type="pct"/>
                  <w:tcBorders>
                    <w:tl2br w:val="nil"/>
                    <w:tr2bl w:val="nil"/>
                  </w:tcBorders>
                  <w:shd w:val="clear" w:color="auto" w:fill="auto"/>
                  <w:vAlign w:val="center"/>
                </w:tcPr>
                <w:p w14:paraId="46F0D6D6">
                  <w:pPr>
                    <w:adjustRightInd/>
                    <w:snapToGrid/>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2.8271</w:t>
                  </w:r>
                </w:p>
              </w:tc>
            </w:tr>
            <w:tr w14:paraId="4EFA4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90" w:hRule="atLeast"/>
                <w:jc w:val="center"/>
              </w:trPr>
              <w:tc>
                <w:tcPr>
                  <w:tcW w:w="2098" w:type="pct"/>
                  <w:gridSpan w:val="4"/>
                  <w:vMerge w:val="continue"/>
                  <w:tcBorders>
                    <w:tl2br w:val="nil"/>
                    <w:tr2bl w:val="nil"/>
                  </w:tcBorders>
                  <w:shd w:val="clear" w:color="auto" w:fill="auto"/>
                  <w:vAlign w:val="center"/>
                </w:tcPr>
                <w:p w14:paraId="3E9A12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3775" w:type="dxa"/>
                  <w:gridSpan w:val="3"/>
                  <w:tcBorders>
                    <w:tl2br w:val="nil"/>
                    <w:tr2bl w:val="nil"/>
                  </w:tcBorders>
                  <w:shd w:val="clear" w:color="auto" w:fill="auto"/>
                  <w:vAlign w:val="center"/>
                </w:tcPr>
                <w:p w14:paraId="4B589F0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锡及其化合物</w:t>
                  </w:r>
                </w:p>
              </w:tc>
              <w:tc>
                <w:tcPr>
                  <w:tcW w:w="1352" w:type="dxa"/>
                  <w:tcBorders>
                    <w:tl2br w:val="nil"/>
                    <w:tr2bl w:val="nil"/>
                  </w:tcBorders>
                  <w:shd w:val="clear" w:color="auto" w:fill="auto"/>
                  <w:vAlign w:val="center"/>
                </w:tcPr>
                <w:p w14:paraId="1194C18E">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0.1139</w:t>
                  </w:r>
                </w:p>
              </w:tc>
            </w:tr>
            <w:tr w14:paraId="00AD0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90" w:hRule="atLeast"/>
                <w:jc w:val="center"/>
              </w:trPr>
              <w:tc>
                <w:tcPr>
                  <w:tcW w:w="2098" w:type="pct"/>
                  <w:gridSpan w:val="4"/>
                  <w:vMerge w:val="continue"/>
                  <w:tcBorders>
                    <w:tl2br w:val="nil"/>
                    <w:tr2bl w:val="nil"/>
                  </w:tcBorders>
                  <w:shd w:val="clear" w:color="auto" w:fill="auto"/>
                  <w:vAlign w:val="center"/>
                </w:tcPr>
                <w:p w14:paraId="52DD2FB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3775" w:type="dxa"/>
                  <w:gridSpan w:val="3"/>
                  <w:tcBorders>
                    <w:tl2br w:val="nil"/>
                    <w:tr2bl w:val="nil"/>
                  </w:tcBorders>
                  <w:shd w:val="clear" w:color="auto" w:fill="auto"/>
                  <w:vAlign w:val="center"/>
                </w:tcPr>
                <w:p w14:paraId="610E5AD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铜及其化合物</w:t>
                  </w:r>
                </w:p>
              </w:tc>
              <w:tc>
                <w:tcPr>
                  <w:tcW w:w="1352" w:type="dxa"/>
                  <w:tcBorders>
                    <w:tl2br w:val="nil"/>
                    <w:tr2bl w:val="nil"/>
                  </w:tcBorders>
                  <w:shd w:val="clear" w:color="auto" w:fill="auto"/>
                  <w:vAlign w:val="center"/>
                </w:tcPr>
                <w:p w14:paraId="75A82BAE">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0.0008</w:t>
                  </w:r>
                </w:p>
              </w:tc>
            </w:tr>
            <w:tr w14:paraId="162EF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90" w:hRule="atLeast"/>
                <w:jc w:val="center"/>
              </w:trPr>
              <w:tc>
                <w:tcPr>
                  <w:tcW w:w="2098" w:type="pct"/>
                  <w:gridSpan w:val="4"/>
                  <w:vMerge w:val="continue"/>
                  <w:tcBorders>
                    <w:tl2br w:val="nil"/>
                    <w:tr2bl w:val="nil"/>
                  </w:tcBorders>
                  <w:shd w:val="clear" w:color="auto" w:fill="auto"/>
                  <w:vAlign w:val="center"/>
                </w:tcPr>
                <w:p w14:paraId="586663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p>
              </w:tc>
              <w:tc>
                <w:tcPr>
                  <w:tcW w:w="2136" w:type="pct"/>
                  <w:gridSpan w:val="3"/>
                  <w:tcBorders>
                    <w:tl2br w:val="nil"/>
                    <w:tr2bl w:val="nil"/>
                  </w:tcBorders>
                  <w:shd w:val="clear" w:color="auto" w:fill="auto"/>
                  <w:vAlign w:val="center"/>
                </w:tcPr>
                <w:p w14:paraId="73A2E4B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NMHC</w:t>
                  </w:r>
                </w:p>
              </w:tc>
              <w:tc>
                <w:tcPr>
                  <w:tcW w:w="765" w:type="pct"/>
                  <w:tcBorders>
                    <w:tl2br w:val="nil"/>
                    <w:tr2bl w:val="nil"/>
                  </w:tcBorders>
                  <w:shd w:val="clear" w:color="auto" w:fill="auto"/>
                  <w:vAlign w:val="center"/>
                </w:tcPr>
                <w:p w14:paraId="0FEE3FFF">
                  <w:pPr>
                    <w:adjustRightInd/>
                    <w:snapToGrid/>
                    <w:spacing w:line="240" w:lineRule="auto"/>
                    <w:ind w:firstLine="0" w:firstLineChars="0"/>
                    <w:jc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0.0067</w:t>
                  </w:r>
                </w:p>
              </w:tc>
            </w:tr>
          </w:tbl>
          <w:p w14:paraId="7C0A1DF5">
            <w:pPr>
              <w:bidi w:val="0"/>
              <w:spacing w:line="240" w:lineRule="auto"/>
              <w:rPr>
                <w:rFonts w:hint="default" w:ascii="Times New Roman" w:hAnsi="Times New Roman" w:cs="Times New Roman"/>
                <w:color w:val="auto"/>
              </w:rPr>
            </w:pPr>
          </w:p>
          <w:p w14:paraId="3C18A092">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③项目大气污染物年排放量核算</w:t>
            </w:r>
          </w:p>
          <w:p w14:paraId="58BF55D5">
            <w:pPr>
              <w:pStyle w:val="38"/>
              <w:bidi w:val="0"/>
              <w:rPr>
                <w:rFonts w:hint="default"/>
                <w:color w:val="auto"/>
              </w:rPr>
            </w:pPr>
            <w:r>
              <w:rPr>
                <w:rFonts w:hint="default"/>
                <w:color w:val="auto"/>
              </w:rPr>
              <w:t>表4-</w:t>
            </w:r>
            <w:r>
              <w:rPr>
                <w:rFonts w:hint="eastAsia"/>
                <w:color w:val="auto"/>
                <w:lang w:val="en-US" w:eastAsia="zh-CN"/>
              </w:rPr>
              <w:t>7</w:t>
            </w:r>
            <w:r>
              <w:rPr>
                <w:rFonts w:hint="default"/>
                <w:color w:val="auto"/>
              </w:rPr>
              <w:t xml:space="preserve">  大气污染物年排放量核算表</w:t>
            </w:r>
          </w:p>
          <w:tbl>
            <w:tblPr>
              <w:tblStyle w:val="31"/>
              <w:tblW w:w="887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08"/>
              <w:gridCol w:w="1568"/>
              <w:gridCol w:w="2348"/>
              <w:gridCol w:w="2280"/>
              <w:gridCol w:w="1871"/>
            </w:tblGrid>
            <w:tr w14:paraId="537A3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455" w:type="pct"/>
                  <w:tcBorders>
                    <w:tl2br w:val="nil"/>
                    <w:tr2bl w:val="nil"/>
                  </w:tcBorders>
                  <w:vAlign w:val="center"/>
                </w:tcPr>
                <w:p w14:paraId="1CE8D0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序号</w:t>
                  </w:r>
                </w:p>
              </w:tc>
              <w:tc>
                <w:tcPr>
                  <w:tcW w:w="883" w:type="pct"/>
                  <w:tcBorders>
                    <w:tl2br w:val="nil"/>
                    <w:tr2bl w:val="nil"/>
                  </w:tcBorders>
                  <w:vAlign w:val="center"/>
                </w:tcPr>
                <w:p w14:paraId="757ECBF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污染物</w:t>
                  </w:r>
                </w:p>
              </w:tc>
              <w:tc>
                <w:tcPr>
                  <w:tcW w:w="1322" w:type="pct"/>
                  <w:tcBorders>
                    <w:tl2br w:val="nil"/>
                    <w:tr2bl w:val="nil"/>
                  </w:tcBorders>
                  <w:vAlign w:val="center"/>
                </w:tcPr>
                <w:p w14:paraId="00C9BFD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有组织年排放量/（t/a）</w:t>
                  </w:r>
                </w:p>
              </w:tc>
              <w:tc>
                <w:tcPr>
                  <w:tcW w:w="1284" w:type="pct"/>
                  <w:tcBorders>
                    <w:tl2br w:val="nil"/>
                    <w:tr2bl w:val="nil"/>
                  </w:tcBorders>
                  <w:vAlign w:val="center"/>
                </w:tcPr>
                <w:p w14:paraId="30DE91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无组织年排放量/（t/a）</w:t>
                  </w:r>
                </w:p>
              </w:tc>
              <w:tc>
                <w:tcPr>
                  <w:tcW w:w="1054" w:type="pct"/>
                  <w:tcBorders>
                    <w:tl2br w:val="nil"/>
                    <w:tr2bl w:val="nil"/>
                  </w:tcBorders>
                  <w:vAlign w:val="center"/>
                </w:tcPr>
                <w:p w14:paraId="17F779D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年排放量/（t/a）</w:t>
                  </w:r>
                </w:p>
              </w:tc>
            </w:tr>
            <w:tr w14:paraId="48BBA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55" w:type="pct"/>
                  <w:tcBorders>
                    <w:tl2br w:val="nil"/>
                    <w:tr2bl w:val="nil"/>
                  </w:tcBorders>
                  <w:vAlign w:val="center"/>
                </w:tcPr>
                <w:p w14:paraId="13DBE5B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1</w:t>
                  </w:r>
                </w:p>
              </w:tc>
              <w:tc>
                <w:tcPr>
                  <w:tcW w:w="883" w:type="pct"/>
                  <w:tcBorders>
                    <w:tl2br w:val="nil"/>
                    <w:tr2bl w:val="nil"/>
                  </w:tcBorders>
                  <w:vAlign w:val="center"/>
                </w:tcPr>
                <w:p w14:paraId="004FD13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sz w:val="21"/>
                      <w:szCs w:val="21"/>
                      <w:lang w:val="en-US" w:eastAsia="zh-CN"/>
                    </w:rPr>
                    <w:t>颗粒物</w:t>
                  </w:r>
                </w:p>
              </w:tc>
              <w:tc>
                <w:tcPr>
                  <w:tcW w:w="1322" w:type="pct"/>
                  <w:tcBorders>
                    <w:tl2br w:val="nil"/>
                    <w:tr2bl w:val="nil"/>
                  </w:tcBorders>
                  <w:vAlign w:val="center"/>
                </w:tcPr>
                <w:p w14:paraId="48FC2F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lang w:val="en-US" w:eastAsia="zh-CN"/>
                    </w:rPr>
                  </w:pPr>
                  <w:r>
                    <w:rPr>
                      <w:rFonts w:hint="eastAsia" w:cs="Times New Roman"/>
                      <w:b w:val="0"/>
                      <w:bCs/>
                      <w:color w:val="auto"/>
                      <w:sz w:val="21"/>
                      <w:szCs w:val="21"/>
                      <w:lang w:val="en-US" w:eastAsia="zh-CN"/>
                    </w:rPr>
                    <w:t>0.272</w:t>
                  </w:r>
                </w:p>
              </w:tc>
              <w:tc>
                <w:tcPr>
                  <w:tcW w:w="1284" w:type="pct"/>
                  <w:tcBorders>
                    <w:tl2br w:val="nil"/>
                    <w:tr2bl w:val="nil"/>
                  </w:tcBorders>
                  <w:vAlign w:val="center"/>
                </w:tcPr>
                <w:p w14:paraId="6AA5657F">
                  <w:pPr>
                    <w:adjustRightInd/>
                    <w:snapToGrid/>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2.8271</w:t>
                  </w:r>
                </w:p>
              </w:tc>
              <w:tc>
                <w:tcPr>
                  <w:tcW w:w="1054" w:type="pct"/>
                  <w:tcBorders>
                    <w:tl2br w:val="nil"/>
                    <w:tr2bl w:val="nil"/>
                  </w:tcBorders>
                  <w:vAlign w:val="center"/>
                </w:tcPr>
                <w:p w14:paraId="5A87A7F5">
                  <w:pPr>
                    <w:adjustRightInd/>
                    <w:snapToGrid/>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3.0991</w:t>
                  </w:r>
                </w:p>
              </w:tc>
            </w:tr>
            <w:tr w14:paraId="29B55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55" w:type="pct"/>
                  <w:tcBorders>
                    <w:tl2br w:val="nil"/>
                    <w:tr2bl w:val="nil"/>
                  </w:tcBorders>
                  <w:vAlign w:val="center"/>
                </w:tcPr>
                <w:p w14:paraId="6E8C981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w:t>
                  </w:r>
                </w:p>
              </w:tc>
              <w:tc>
                <w:tcPr>
                  <w:tcW w:w="883" w:type="pct"/>
                  <w:tcBorders>
                    <w:tl2br w:val="nil"/>
                    <w:tr2bl w:val="nil"/>
                  </w:tcBorders>
                  <w:vAlign w:val="center"/>
                </w:tcPr>
                <w:p w14:paraId="32E0E1D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锡及其化合物</w:t>
                  </w:r>
                </w:p>
              </w:tc>
              <w:tc>
                <w:tcPr>
                  <w:tcW w:w="1322" w:type="pct"/>
                  <w:tcBorders>
                    <w:tl2br w:val="nil"/>
                    <w:tr2bl w:val="nil"/>
                  </w:tcBorders>
                  <w:vAlign w:val="center"/>
                </w:tcPr>
                <w:p w14:paraId="3BDB5798">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w:t>
                  </w:r>
                </w:p>
              </w:tc>
              <w:tc>
                <w:tcPr>
                  <w:tcW w:w="1284" w:type="pct"/>
                  <w:tcBorders>
                    <w:tl2br w:val="nil"/>
                    <w:tr2bl w:val="nil"/>
                  </w:tcBorders>
                  <w:vAlign w:val="center"/>
                </w:tcPr>
                <w:p w14:paraId="470F02B0">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0.1139</w:t>
                  </w:r>
                </w:p>
              </w:tc>
              <w:tc>
                <w:tcPr>
                  <w:tcW w:w="1054" w:type="pct"/>
                  <w:tcBorders>
                    <w:tl2br w:val="nil"/>
                    <w:tr2bl w:val="nil"/>
                  </w:tcBorders>
                  <w:vAlign w:val="center"/>
                </w:tcPr>
                <w:p w14:paraId="3E4A3368">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0.1139</w:t>
                  </w:r>
                </w:p>
              </w:tc>
            </w:tr>
            <w:tr w14:paraId="7979C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55" w:type="pct"/>
                  <w:tcBorders>
                    <w:tl2br w:val="nil"/>
                    <w:tr2bl w:val="nil"/>
                  </w:tcBorders>
                  <w:vAlign w:val="center"/>
                </w:tcPr>
                <w:p w14:paraId="3D27D1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w:t>
                  </w:r>
                </w:p>
              </w:tc>
              <w:tc>
                <w:tcPr>
                  <w:tcW w:w="883" w:type="pct"/>
                  <w:tcBorders>
                    <w:tl2br w:val="nil"/>
                    <w:tr2bl w:val="nil"/>
                  </w:tcBorders>
                  <w:vAlign w:val="center"/>
                </w:tcPr>
                <w:p w14:paraId="77D10E9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铜及其化合物</w:t>
                  </w:r>
                </w:p>
              </w:tc>
              <w:tc>
                <w:tcPr>
                  <w:tcW w:w="1322" w:type="pct"/>
                  <w:tcBorders>
                    <w:tl2br w:val="nil"/>
                    <w:tr2bl w:val="nil"/>
                  </w:tcBorders>
                  <w:vAlign w:val="center"/>
                </w:tcPr>
                <w:p w14:paraId="5E913AE2">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w:t>
                  </w:r>
                </w:p>
              </w:tc>
              <w:tc>
                <w:tcPr>
                  <w:tcW w:w="1284" w:type="pct"/>
                  <w:tcBorders>
                    <w:tl2br w:val="nil"/>
                    <w:tr2bl w:val="nil"/>
                  </w:tcBorders>
                  <w:vAlign w:val="center"/>
                </w:tcPr>
                <w:p w14:paraId="29562F86">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0.0008</w:t>
                  </w:r>
                </w:p>
              </w:tc>
              <w:tc>
                <w:tcPr>
                  <w:tcW w:w="1054" w:type="pct"/>
                  <w:tcBorders>
                    <w:tl2br w:val="nil"/>
                    <w:tr2bl w:val="nil"/>
                  </w:tcBorders>
                  <w:vAlign w:val="center"/>
                </w:tcPr>
                <w:p w14:paraId="7E91F742">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b w:val="0"/>
                      <w:bCs/>
                      <w:color w:val="auto"/>
                      <w:sz w:val="21"/>
                      <w:szCs w:val="21"/>
                      <w:lang w:val="en-US" w:eastAsia="zh-CN"/>
                    </w:rPr>
                  </w:pPr>
                  <w:r>
                    <w:rPr>
                      <w:rFonts w:hint="eastAsia"/>
                      <w:b w:val="0"/>
                      <w:bCs/>
                      <w:color w:val="auto"/>
                      <w:sz w:val="21"/>
                      <w:szCs w:val="21"/>
                      <w:lang w:val="en-US" w:eastAsia="zh-CN"/>
                    </w:rPr>
                    <w:t>0.0008</w:t>
                  </w:r>
                </w:p>
              </w:tc>
            </w:tr>
            <w:tr w14:paraId="71263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55" w:type="pct"/>
                  <w:tcBorders>
                    <w:tl2br w:val="nil"/>
                    <w:tr2bl w:val="nil"/>
                  </w:tcBorders>
                  <w:vAlign w:val="center"/>
                </w:tcPr>
                <w:p w14:paraId="45BC1FC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w:t>
                  </w:r>
                </w:p>
              </w:tc>
              <w:tc>
                <w:tcPr>
                  <w:tcW w:w="883" w:type="pct"/>
                  <w:tcBorders>
                    <w:tl2br w:val="nil"/>
                    <w:tr2bl w:val="nil"/>
                  </w:tcBorders>
                  <w:vAlign w:val="center"/>
                </w:tcPr>
                <w:p w14:paraId="55F4DC2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NMHC</w:t>
                  </w:r>
                </w:p>
              </w:tc>
              <w:tc>
                <w:tcPr>
                  <w:tcW w:w="1322" w:type="pct"/>
                  <w:tcBorders>
                    <w:tl2br w:val="nil"/>
                    <w:tr2bl w:val="nil"/>
                  </w:tcBorders>
                  <w:vAlign w:val="center"/>
                </w:tcPr>
                <w:p w14:paraId="26D0EF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0.0667</w:t>
                  </w:r>
                </w:p>
              </w:tc>
              <w:tc>
                <w:tcPr>
                  <w:tcW w:w="1284" w:type="pct"/>
                  <w:tcBorders>
                    <w:tl2br w:val="nil"/>
                    <w:tr2bl w:val="nil"/>
                  </w:tcBorders>
                  <w:vAlign w:val="center"/>
                </w:tcPr>
                <w:p w14:paraId="1184AAD2">
                  <w:pPr>
                    <w:adjustRightInd/>
                    <w:snapToGrid/>
                    <w:spacing w:line="240" w:lineRule="auto"/>
                    <w:ind w:firstLine="0" w:firstLineChars="0"/>
                    <w:jc w:val="center"/>
                    <w:rPr>
                      <w:rFonts w:hint="eastAsia" w:cs="Times New Roman"/>
                      <w:b w:val="0"/>
                      <w:bCs/>
                      <w:color w:val="auto"/>
                      <w:sz w:val="21"/>
                      <w:szCs w:val="21"/>
                      <w:lang w:val="en-US" w:eastAsia="zh-CN"/>
                    </w:rPr>
                  </w:pPr>
                  <w:r>
                    <w:rPr>
                      <w:rFonts w:hint="eastAsia" w:cs="Times New Roman"/>
                      <w:b w:val="0"/>
                      <w:bCs/>
                      <w:color w:val="auto"/>
                      <w:sz w:val="21"/>
                      <w:szCs w:val="21"/>
                      <w:lang w:val="en-US" w:eastAsia="zh-CN"/>
                    </w:rPr>
                    <w:t>0.0067</w:t>
                  </w:r>
                </w:p>
              </w:tc>
              <w:tc>
                <w:tcPr>
                  <w:tcW w:w="1054" w:type="pct"/>
                  <w:tcBorders>
                    <w:tl2br w:val="nil"/>
                    <w:tr2bl w:val="nil"/>
                  </w:tcBorders>
                  <w:vAlign w:val="center"/>
                </w:tcPr>
                <w:p w14:paraId="500D8302">
                  <w:pPr>
                    <w:adjustRightInd/>
                    <w:snapToGrid/>
                    <w:spacing w:line="240" w:lineRule="auto"/>
                    <w:ind w:firstLine="0" w:firstLineChars="0"/>
                    <w:jc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0.0734</w:t>
                  </w:r>
                </w:p>
              </w:tc>
            </w:tr>
          </w:tbl>
          <w:p w14:paraId="07EA6753">
            <w:pPr>
              <w:bidi w:val="0"/>
              <w:ind w:left="0" w:leftChars="0" w:firstLine="0" w:firstLineChars="0"/>
              <w:rPr>
                <w:rFonts w:hint="default"/>
                <w:b/>
                <w:bCs/>
                <w:color w:val="auto"/>
                <w:lang w:val="en-US" w:eastAsia="zh-CN"/>
              </w:rPr>
            </w:pPr>
            <w:r>
              <w:rPr>
                <w:rFonts w:hint="eastAsia"/>
                <w:b/>
                <w:bCs/>
                <w:color w:val="auto"/>
                <w:lang w:val="en-US" w:eastAsia="zh-CN"/>
              </w:rPr>
              <w:t>4.1.5 非正常工况</w:t>
            </w:r>
          </w:p>
          <w:p w14:paraId="5297E3CD">
            <w:pPr>
              <w:ind w:firstLine="420"/>
              <w:rPr>
                <w:color w:val="auto"/>
                <w:sz w:val="24"/>
                <w:szCs w:val="24"/>
              </w:rPr>
            </w:pPr>
            <w:r>
              <w:rPr>
                <w:color w:val="auto"/>
                <w:sz w:val="24"/>
                <w:szCs w:val="24"/>
              </w:rPr>
              <w:t>非正常工况排放定义：</w:t>
            </w:r>
            <w:r>
              <w:rPr>
                <w:rFonts w:hint="eastAsia"/>
                <w:color w:val="auto"/>
                <w:sz w:val="24"/>
                <w:szCs w:val="24"/>
                <w:lang w:eastAsia="zh-CN"/>
              </w:rPr>
              <w:t>其一，</w:t>
            </w:r>
            <w:r>
              <w:rPr>
                <w:color w:val="auto"/>
                <w:sz w:val="24"/>
                <w:szCs w:val="24"/>
              </w:rPr>
              <w:t>是指设备开、停车或者设备检修时污染物的排放；其二：是指设计的环保设施在达不到设计规定的指标运行时的污染物排放。</w:t>
            </w:r>
          </w:p>
          <w:p w14:paraId="280B1454">
            <w:pPr>
              <w:ind w:firstLine="420"/>
              <w:rPr>
                <w:color w:val="auto"/>
                <w:sz w:val="24"/>
                <w:szCs w:val="24"/>
              </w:rPr>
            </w:pPr>
            <w:r>
              <w:rPr>
                <w:rFonts w:hint="eastAsia"/>
                <w:color w:val="auto"/>
                <w:sz w:val="24"/>
                <w:szCs w:val="24"/>
                <w:lang w:eastAsia="zh-CN"/>
              </w:rPr>
              <w:t>本项目</w:t>
            </w:r>
            <w:r>
              <w:rPr>
                <w:color w:val="auto"/>
                <w:sz w:val="24"/>
                <w:szCs w:val="24"/>
              </w:rPr>
              <w:t>非正常工况主要考虑废气处理系统异常，导致</w:t>
            </w:r>
            <w:r>
              <w:rPr>
                <w:rFonts w:hint="eastAsia"/>
                <w:color w:val="auto"/>
                <w:sz w:val="24"/>
                <w:szCs w:val="24"/>
                <w:lang w:val="en-US" w:eastAsia="zh-CN"/>
              </w:rPr>
              <w:t>DA001、DA002</w:t>
            </w:r>
            <w:r>
              <w:rPr>
                <w:color w:val="auto"/>
                <w:sz w:val="24"/>
                <w:szCs w:val="24"/>
              </w:rPr>
              <w:t>排气筒排放废气处理效率降低为</w:t>
            </w:r>
            <w:r>
              <w:rPr>
                <w:rFonts w:hint="eastAsia"/>
                <w:color w:val="auto"/>
                <w:sz w:val="24"/>
                <w:szCs w:val="24"/>
                <w:lang w:val="en-US" w:eastAsia="zh-CN"/>
              </w:rPr>
              <w:t>5</w:t>
            </w:r>
            <w:r>
              <w:rPr>
                <w:color w:val="auto"/>
                <w:sz w:val="24"/>
                <w:szCs w:val="24"/>
              </w:rPr>
              <w:t>0%，造成</w:t>
            </w:r>
            <w:r>
              <w:rPr>
                <w:rFonts w:hint="eastAsia"/>
                <w:color w:val="auto"/>
                <w:sz w:val="24"/>
                <w:szCs w:val="24"/>
                <w:lang w:val="en-US" w:eastAsia="zh-CN"/>
              </w:rPr>
              <w:t>颗粒物和</w:t>
            </w:r>
            <w:r>
              <w:rPr>
                <w:color w:val="auto"/>
                <w:sz w:val="24"/>
                <w:szCs w:val="24"/>
              </w:rPr>
              <w:t>有机废气（以非甲烷总烃表示）非正常排放。</w:t>
            </w:r>
          </w:p>
          <w:p w14:paraId="667878A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eastAsia" w:cs="Times New Roman"/>
                <w:color w:val="auto"/>
                <w:sz w:val="24"/>
                <w:szCs w:val="24"/>
                <w:lang w:eastAsia="zh-CN"/>
              </w:rPr>
              <w:t>本项目</w:t>
            </w:r>
            <w:r>
              <w:rPr>
                <w:rFonts w:hint="default" w:ascii="Times New Roman" w:hAnsi="Times New Roman" w:eastAsia="宋体" w:cs="Times New Roman"/>
                <w:color w:val="auto"/>
                <w:sz w:val="24"/>
                <w:szCs w:val="24"/>
              </w:rPr>
              <w:t>非正常大气污染物排放量核算结果见下表。</w:t>
            </w:r>
          </w:p>
          <w:p w14:paraId="29D2241D">
            <w:pPr>
              <w:pStyle w:val="38"/>
              <w:keepNext w:val="0"/>
              <w:keepLines w:val="0"/>
              <w:pageBreakBefore w:val="0"/>
              <w:widowControl w:val="0"/>
              <w:kinsoku/>
              <w:wordWrap/>
              <w:overflowPunct/>
              <w:topLinePunct w:val="0"/>
              <w:autoSpaceDE/>
              <w:autoSpaceDN/>
              <w:bidi w:val="0"/>
              <w:textAlignment w:val="auto"/>
              <w:rPr>
                <w:rFonts w:hint="default" w:ascii="Times New Roman" w:hAnsi="Times New Roman" w:cs="Times New Roman"/>
                <w:color w:val="auto"/>
              </w:rPr>
            </w:pPr>
            <w:r>
              <w:rPr>
                <w:rFonts w:hint="default" w:ascii="Times New Roman" w:hAnsi="Times New Roman" w:cs="Times New Roman"/>
                <w:color w:val="auto"/>
              </w:rPr>
              <w:t>表4-</w:t>
            </w:r>
            <w:r>
              <w:rPr>
                <w:rFonts w:hint="eastAsia" w:cs="Times New Roman"/>
                <w:color w:val="auto"/>
                <w:lang w:val="en-US" w:eastAsia="zh-CN"/>
              </w:rPr>
              <w:t>8</w:t>
            </w:r>
            <w:r>
              <w:rPr>
                <w:rFonts w:hint="default" w:ascii="Times New Roman" w:hAnsi="Times New Roman" w:cs="Times New Roman"/>
                <w:color w:val="auto"/>
              </w:rPr>
              <w:t xml:space="preserve">  非正常</w:t>
            </w:r>
            <w:r>
              <w:rPr>
                <w:rFonts w:hint="default" w:ascii="Times New Roman" w:hAnsi="Times New Roman" w:cs="Times New Roman"/>
                <w:color w:val="auto"/>
                <w:lang w:eastAsia="zh-CN"/>
              </w:rPr>
              <w:t>工</w:t>
            </w:r>
            <w:r>
              <w:rPr>
                <w:rFonts w:hint="default" w:ascii="Times New Roman" w:hAnsi="Times New Roman" w:cs="Times New Roman"/>
                <w:color w:val="auto"/>
              </w:rPr>
              <w:t>况分析一览表</w:t>
            </w:r>
          </w:p>
          <w:tbl>
            <w:tblPr>
              <w:tblStyle w:val="31"/>
              <w:tblW w:w="885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48"/>
              <w:gridCol w:w="886"/>
              <w:gridCol w:w="928"/>
              <w:gridCol w:w="661"/>
              <w:gridCol w:w="1036"/>
              <w:gridCol w:w="662"/>
              <w:gridCol w:w="907"/>
              <w:gridCol w:w="3129"/>
            </w:tblGrid>
            <w:tr w14:paraId="458BF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43" w:hRule="atLeast"/>
                <w:jc w:val="center"/>
              </w:trPr>
              <w:tc>
                <w:tcPr>
                  <w:tcW w:w="648" w:type="dxa"/>
                  <w:tcBorders>
                    <w:tl2br w:val="nil"/>
                    <w:tr2bl w:val="nil"/>
                  </w:tcBorders>
                  <w:noWrap w:val="0"/>
                  <w:vAlign w:val="center"/>
                </w:tcPr>
                <w:p w14:paraId="40D0AF6F">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类型</w:t>
                  </w:r>
                </w:p>
              </w:tc>
              <w:tc>
                <w:tcPr>
                  <w:tcW w:w="886" w:type="dxa"/>
                  <w:tcBorders>
                    <w:tl2br w:val="nil"/>
                    <w:tr2bl w:val="nil"/>
                  </w:tcBorders>
                  <w:noWrap w:val="0"/>
                  <w:vAlign w:val="center"/>
                </w:tcPr>
                <w:p w14:paraId="4FE52C38">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排放源</w:t>
                  </w:r>
                </w:p>
              </w:tc>
              <w:tc>
                <w:tcPr>
                  <w:tcW w:w="928" w:type="dxa"/>
                  <w:tcBorders>
                    <w:tl2br w:val="nil"/>
                    <w:tr2bl w:val="nil"/>
                  </w:tcBorders>
                  <w:noWrap w:val="0"/>
                  <w:vAlign w:val="center"/>
                </w:tcPr>
                <w:p w14:paraId="127A5569">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污染物</w:t>
                  </w:r>
                </w:p>
              </w:tc>
              <w:tc>
                <w:tcPr>
                  <w:tcW w:w="661" w:type="dxa"/>
                  <w:tcBorders>
                    <w:tl2br w:val="nil"/>
                    <w:tr2bl w:val="nil"/>
                  </w:tcBorders>
                  <w:noWrap w:val="0"/>
                  <w:vAlign w:val="center"/>
                </w:tcPr>
                <w:p w14:paraId="7EE0F07E">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频次</w:t>
                  </w:r>
                </w:p>
              </w:tc>
              <w:tc>
                <w:tcPr>
                  <w:tcW w:w="1036" w:type="dxa"/>
                  <w:tcBorders>
                    <w:tl2br w:val="nil"/>
                    <w:tr2bl w:val="nil"/>
                  </w:tcBorders>
                  <w:noWrap w:val="0"/>
                  <w:vAlign w:val="center"/>
                </w:tcPr>
                <w:p w14:paraId="64A78AD4">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排放浓度mg/m</w:t>
                  </w:r>
                  <w:r>
                    <w:rPr>
                      <w:rFonts w:hint="default" w:ascii="Times New Roman" w:hAnsi="Times New Roman" w:cs="Times New Roman"/>
                      <w:b/>
                      <w:bCs w:val="0"/>
                      <w:color w:val="auto"/>
                      <w:sz w:val="21"/>
                      <w:szCs w:val="21"/>
                      <w:vertAlign w:val="superscript"/>
                    </w:rPr>
                    <w:t>3</w:t>
                  </w:r>
                </w:p>
              </w:tc>
              <w:tc>
                <w:tcPr>
                  <w:tcW w:w="662" w:type="dxa"/>
                  <w:tcBorders>
                    <w:tl2br w:val="nil"/>
                    <w:tr2bl w:val="nil"/>
                  </w:tcBorders>
                  <w:noWrap w:val="0"/>
                  <w:vAlign w:val="center"/>
                </w:tcPr>
                <w:p w14:paraId="20894138">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持续时间</w:t>
                  </w:r>
                </w:p>
              </w:tc>
              <w:tc>
                <w:tcPr>
                  <w:tcW w:w="907" w:type="dxa"/>
                  <w:tcBorders>
                    <w:tl2br w:val="nil"/>
                    <w:tr2bl w:val="nil"/>
                  </w:tcBorders>
                  <w:noWrap w:val="0"/>
                  <w:vAlign w:val="center"/>
                </w:tcPr>
                <w:p w14:paraId="36853DA3">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排放量kg/a</w:t>
                  </w:r>
                </w:p>
              </w:tc>
              <w:tc>
                <w:tcPr>
                  <w:tcW w:w="3129" w:type="dxa"/>
                  <w:tcBorders>
                    <w:tl2br w:val="nil"/>
                    <w:tr2bl w:val="nil"/>
                  </w:tcBorders>
                  <w:noWrap w:val="0"/>
                  <w:vAlign w:val="center"/>
                </w:tcPr>
                <w:p w14:paraId="378973BC">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措施</w:t>
                  </w:r>
                </w:p>
              </w:tc>
            </w:tr>
            <w:tr w14:paraId="6DFAB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648" w:type="dxa"/>
                  <w:vMerge w:val="restart"/>
                  <w:tcBorders>
                    <w:tl2br w:val="nil"/>
                    <w:tr2bl w:val="nil"/>
                  </w:tcBorders>
                  <w:noWrap w:val="0"/>
                  <w:vAlign w:val="center"/>
                </w:tcPr>
                <w:p w14:paraId="54E5A08B">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废气处理系统异常</w:t>
                  </w:r>
                </w:p>
              </w:tc>
              <w:tc>
                <w:tcPr>
                  <w:tcW w:w="886" w:type="dxa"/>
                  <w:tcBorders>
                    <w:tl2br w:val="nil"/>
                    <w:tr2bl w:val="nil"/>
                  </w:tcBorders>
                  <w:noWrap w:val="0"/>
                  <w:vAlign w:val="center"/>
                </w:tcPr>
                <w:p w14:paraId="61560713">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eastAsia"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rPr>
                    <w:t>排气筒DA00</w:t>
                  </w:r>
                  <w:r>
                    <w:rPr>
                      <w:rFonts w:hint="eastAsia" w:ascii="Times New Roman" w:hAnsi="Times New Roman" w:cs="Times New Roman"/>
                      <w:b w:val="0"/>
                      <w:bCs/>
                      <w:color w:val="auto"/>
                      <w:sz w:val="21"/>
                      <w:szCs w:val="21"/>
                      <w:lang w:val="en-US" w:eastAsia="zh-CN"/>
                    </w:rPr>
                    <w:t>1</w:t>
                  </w:r>
                </w:p>
              </w:tc>
              <w:tc>
                <w:tcPr>
                  <w:tcW w:w="928" w:type="dxa"/>
                  <w:tcBorders>
                    <w:tl2br w:val="nil"/>
                    <w:tr2bl w:val="nil"/>
                  </w:tcBorders>
                  <w:noWrap w:val="0"/>
                  <w:vAlign w:val="center"/>
                </w:tcPr>
                <w:p w14:paraId="4CDF2D5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eastAsia="zh-CN"/>
                    </w:rPr>
                  </w:pPr>
                  <w:r>
                    <w:rPr>
                      <w:rFonts w:hint="eastAsia" w:ascii="Times New Roman" w:hAnsi="Times New Roman" w:cs="Times New Roman"/>
                      <w:b w:val="0"/>
                      <w:bCs/>
                      <w:color w:val="auto"/>
                      <w:sz w:val="21"/>
                      <w:szCs w:val="21"/>
                      <w:lang w:val="en-US" w:eastAsia="zh-CN"/>
                    </w:rPr>
                    <w:t>颗粒物</w:t>
                  </w:r>
                </w:p>
              </w:tc>
              <w:tc>
                <w:tcPr>
                  <w:tcW w:w="661" w:type="dxa"/>
                  <w:tcBorders>
                    <w:tl2br w:val="nil"/>
                    <w:tr2bl w:val="nil"/>
                  </w:tcBorders>
                  <w:noWrap w:val="0"/>
                  <w:vAlign w:val="center"/>
                </w:tcPr>
                <w:p w14:paraId="4A1B1D06">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sz w:val="21"/>
                      <w:szCs w:val="21"/>
                      <w:lang w:val="en-US" w:eastAsia="zh-CN"/>
                    </w:rPr>
                    <w:t>1</w:t>
                  </w:r>
                  <w:r>
                    <w:rPr>
                      <w:rFonts w:hint="default" w:ascii="Times New Roman" w:hAnsi="Times New Roman" w:cs="Times New Roman"/>
                      <w:b w:val="0"/>
                      <w:bCs/>
                      <w:color w:val="auto"/>
                      <w:sz w:val="21"/>
                      <w:szCs w:val="21"/>
                    </w:rPr>
                    <w:t>次/年</w:t>
                  </w:r>
                </w:p>
              </w:tc>
              <w:tc>
                <w:tcPr>
                  <w:tcW w:w="1036" w:type="dxa"/>
                  <w:tcBorders>
                    <w:tl2br w:val="nil"/>
                    <w:tr2bl w:val="nil"/>
                  </w:tcBorders>
                  <w:noWrap w:val="0"/>
                  <w:vAlign w:val="center"/>
                </w:tcPr>
                <w:p w14:paraId="2D1B7167">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71.97</w:t>
                  </w:r>
                </w:p>
              </w:tc>
              <w:tc>
                <w:tcPr>
                  <w:tcW w:w="662" w:type="dxa"/>
                  <w:tcBorders>
                    <w:tl2br w:val="nil"/>
                    <w:tr2bl w:val="nil"/>
                  </w:tcBorders>
                  <w:noWrap w:val="0"/>
                  <w:vAlign w:val="center"/>
                </w:tcPr>
                <w:p w14:paraId="645E94E8">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sz w:val="21"/>
                      <w:szCs w:val="21"/>
                      <w:lang w:val="en-US" w:eastAsia="zh-CN"/>
                    </w:rPr>
                    <w:t>2</w:t>
                  </w:r>
                  <w:r>
                    <w:rPr>
                      <w:rFonts w:hint="default" w:ascii="Times New Roman" w:hAnsi="Times New Roman" w:cs="Times New Roman"/>
                      <w:b w:val="0"/>
                      <w:bCs/>
                      <w:color w:val="auto"/>
                      <w:sz w:val="21"/>
                      <w:szCs w:val="21"/>
                    </w:rPr>
                    <w:t>h</w:t>
                  </w:r>
                </w:p>
              </w:tc>
              <w:tc>
                <w:tcPr>
                  <w:tcW w:w="907" w:type="dxa"/>
                  <w:tcBorders>
                    <w:tl2br w:val="nil"/>
                    <w:tr2bl w:val="nil"/>
                  </w:tcBorders>
                  <w:noWrap w:val="0"/>
                  <w:vAlign w:val="center"/>
                </w:tcPr>
                <w:p w14:paraId="2A6B04D8">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0.5758</w:t>
                  </w:r>
                </w:p>
              </w:tc>
              <w:tc>
                <w:tcPr>
                  <w:tcW w:w="3129" w:type="dxa"/>
                  <w:vMerge w:val="restart"/>
                  <w:tcBorders>
                    <w:tl2br w:val="nil"/>
                    <w:tr2bl w:val="nil"/>
                  </w:tcBorders>
                  <w:noWrap w:val="0"/>
                  <w:vAlign w:val="center"/>
                </w:tcPr>
                <w:p w14:paraId="48A99A31">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定期对设备进行维修和保养，确保废气处理系统在正常工况下运行；为避免非正常工况的发生，要在非生产时间段对相关设施进行彻底检修，力争将非正常工况污染物排放量降低到最低限度，从而把非正常工况污染物对环境产生的影响控制到最小。</w:t>
                  </w:r>
                </w:p>
              </w:tc>
            </w:tr>
            <w:tr w14:paraId="08912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648" w:type="dxa"/>
                  <w:vMerge w:val="continue"/>
                  <w:tcBorders>
                    <w:tl2br w:val="nil"/>
                    <w:tr2bl w:val="nil"/>
                  </w:tcBorders>
                  <w:noWrap w:val="0"/>
                  <w:vAlign w:val="center"/>
                </w:tcPr>
                <w:p w14:paraId="505C60EE">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val="0"/>
                      <w:bCs/>
                      <w:color w:val="auto"/>
                      <w:sz w:val="21"/>
                      <w:szCs w:val="21"/>
                    </w:rPr>
                  </w:pPr>
                </w:p>
              </w:tc>
              <w:tc>
                <w:tcPr>
                  <w:tcW w:w="886" w:type="dxa"/>
                  <w:vMerge w:val="restart"/>
                  <w:tcBorders>
                    <w:tl2br w:val="nil"/>
                    <w:tr2bl w:val="nil"/>
                  </w:tcBorders>
                  <w:noWrap w:val="0"/>
                  <w:vAlign w:val="center"/>
                </w:tcPr>
                <w:p w14:paraId="26048076">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排气筒DA00</w:t>
                  </w:r>
                  <w:r>
                    <w:rPr>
                      <w:rFonts w:hint="eastAsia" w:ascii="Times New Roman" w:hAnsi="Times New Roman" w:cs="Times New Roman"/>
                      <w:b w:val="0"/>
                      <w:bCs/>
                      <w:color w:val="auto"/>
                      <w:sz w:val="21"/>
                      <w:szCs w:val="21"/>
                      <w:lang w:val="en-US" w:eastAsia="zh-CN"/>
                    </w:rPr>
                    <w:t>2</w:t>
                  </w:r>
                </w:p>
              </w:tc>
              <w:tc>
                <w:tcPr>
                  <w:tcW w:w="928" w:type="dxa"/>
                  <w:tcBorders>
                    <w:tl2br w:val="nil"/>
                    <w:tr2bl w:val="nil"/>
                  </w:tcBorders>
                  <w:noWrap w:val="0"/>
                  <w:vAlign w:val="center"/>
                </w:tcPr>
                <w:p w14:paraId="3A73F4A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661" w:type="dxa"/>
                  <w:vMerge w:val="restart"/>
                  <w:tcBorders>
                    <w:tl2br w:val="nil"/>
                    <w:tr2bl w:val="nil"/>
                  </w:tcBorders>
                  <w:noWrap w:val="0"/>
                  <w:vAlign w:val="center"/>
                </w:tcPr>
                <w:p w14:paraId="371EECF2">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w:t>
                  </w:r>
                  <w:r>
                    <w:rPr>
                      <w:rFonts w:hint="default" w:ascii="Times New Roman" w:hAnsi="Times New Roman" w:cs="Times New Roman"/>
                      <w:b w:val="0"/>
                      <w:bCs/>
                      <w:color w:val="auto"/>
                      <w:sz w:val="21"/>
                      <w:szCs w:val="21"/>
                    </w:rPr>
                    <w:t>次/年</w:t>
                  </w:r>
                </w:p>
              </w:tc>
              <w:tc>
                <w:tcPr>
                  <w:tcW w:w="1036" w:type="dxa"/>
                  <w:tcBorders>
                    <w:tl2br w:val="nil"/>
                    <w:tr2bl w:val="nil"/>
                  </w:tcBorders>
                  <w:noWrap w:val="0"/>
                  <w:vAlign w:val="center"/>
                </w:tcPr>
                <w:p w14:paraId="585E91BF">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14.4688</w:t>
                  </w:r>
                </w:p>
              </w:tc>
              <w:tc>
                <w:tcPr>
                  <w:tcW w:w="662" w:type="dxa"/>
                  <w:tcBorders>
                    <w:tl2br w:val="nil"/>
                    <w:tr2bl w:val="nil"/>
                  </w:tcBorders>
                  <w:noWrap w:val="0"/>
                  <w:vAlign w:val="center"/>
                </w:tcPr>
                <w:p w14:paraId="2FF399CD">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w:t>
                  </w:r>
                  <w:r>
                    <w:rPr>
                      <w:rFonts w:hint="default" w:ascii="Times New Roman" w:hAnsi="Times New Roman" w:cs="Times New Roman"/>
                      <w:b w:val="0"/>
                      <w:bCs/>
                      <w:color w:val="auto"/>
                      <w:sz w:val="21"/>
                      <w:szCs w:val="21"/>
                    </w:rPr>
                    <w:t>h</w:t>
                  </w:r>
                </w:p>
              </w:tc>
              <w:tc>
                <w:tcPr>
                  <w:tcW w:w="907" w:type="dxa"/>
                  <w:tcBorders>
                    <w:tl2br w:val="nil"/>
                    <w:tr2bl w:val="nil"/>
                  </w:tcBorders>
                  <w:noWrap w:val="0"/>
                  <w:vAlign w:val="center"/>
                </w:tcPr>
                <w:p w14:paraId="1E352257">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0.4167</w:t>
                  </w:r>
                </w:p>
              </w:tc>
              <w:tc>
                <w:tcPr>
                  <w:tcW w:w="3129" w:type="dxa"/>
                  <w:vMerge w:val="continue"/>
                  <w:tcBorders>
                    <w:tl2br w:val="nil"/>
                    <w:tr2bl w:val="nil"/>
                  </w:tcBorders>
                  <w:noWrap w:val="0"/>
                  <w:vAlign w:val="center"/>
                </w:tcPr>
                <w:p w14:paraId="11D9C813">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val="0"/>
                      <w:bCs/>
                      <w:color w:val="auto"/>
                      <w:sz w:val="21"/>
                      <w:szCs w:val="21"/>
                    </w:rPr>
                  </w:pPr>
                </w:p>
              </w:tc>
            </w:tr>
            <w:tr w14:paraId="22D55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648" w:type="dxa"/>
                  <w:vMerge w:val="continue"/>
                  <w:tcBorders>
                    <w:tl2br w:val="nil"/>
                    <w:tr2bl w:val="nil"/>
                  </w:tcBorders>
                  <w:noWrap w:val="0"/>
                  <w:vAlign w:val="center"/>
                </w:tcPr>
                <w:p w14:paraId="7D04EFBB">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val="0"/>
                      <w:bCs/>
                      <w:color w:val="auto"/>
                      <w:sz w:val="21"/>
                      <w:szCs w:val="21"/>
                    </w:rPr>
                  </w:pPr>
                </w:p>
              </w:tc>
              <w:tc>
                <w:tcPr>
                  <w:tcW w:w="886" w:type="dxa"/>
                  <w:vMerge w:val="continue"/>
                  <w:tcBorders>
                    <w:tl2br w:val="nil"/>
                    <w:tr2bl w:val="nil"/>
                  </w:tcBorders>
                  <w:noWrap w:val="0"/>
                  <w:vAlign w:val="center"/>
                </w:tcPr>
                <w:p w14:paraId="487EF312">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default" w:ascii="Times New Roman" w:hAnsi="Times New Roman" w:cs="Times New Roman"/>
                      <w:b w:val="0"/>
                      <w:bCs/>
                      <w:color w:val="auto"/>
                      <w:sz w:val="21"/>
                      <w:szCs w:val="21"/>
                    </w:rPr>
                  </w:pPr>
                </w:p>
              </w:tc>
              <w:tc>
                <w:tcPr>
                  <w:tcW w:w="928" w:type="dxa"/>
                  <w:tcBorders>
                    <w:tl2br w:val="nil"/>
                    <w:tr2bl w:val="nil"/>
                  </w:tcBorders>
                  <w:noWrap w:val="0"/>
                  <w:vAlign w:val="center"/>
                </w:tcPr>
                <w:p w14:paraId="2986688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NMHC</w:t>
                  </w:r>
                </w:p>
              </w:tc>
              <w:tc>
                <w:tcPr>
                  <w:tcW w:w="661" w:type="dxa"/>
                  <w:vMerge w:val="continue"/>
                  <w:tcBorders>
                    <w:tl2br w:val="nil"/>
                    <w:tr2bl w:val="nil"/>
                  </w:tcBorders>
                  <w:noWrap w:val="0"/>
                  <w:vAlign w:val="center"/>
                </w:tcPr>
                <w:p w14:paraId="7E006643">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p>
              </w:tc>
              <w:tc>
                <w:tcPr>
                  <w:tcW w:w="1036" w:type="dxa"/>
                  <w:tcBorders>
                    <w:tl2br w:val="nil"/>
                    <w:tr2bl w:val="nil"/>
                  </w:tcBorders>
                  <w:noWrap w:val="0"/>
                  <w:vAlign w:val="center"/>
                </w:tcPr>
                <w:p w14:paraId="4498F01D">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135.615</w:t>
                  </w:r>
                </w:p>
              </w:tc>
              <w:tc>
                <w:tcPr>
                  <w:tcW w:w="662" w:type="dxa"/>
                  <w:tcBorders>
                    <w:tl2br w:val="nil"/>
                    <w:tr2bl w:val="nil"/>
                  </w:tcBorders>
                  <w:noWrap w:val="0"/>
                  <w:vAlign w:val="center"/>
                </w:tcPr>
                <w:p w14:paraId="7E1463A5">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w:t>
                  </w:r>
                  <w:r>
                    <w:rPr>
                      <w:rFonts w:hint="default" w:ascii="Times New Roman" w:hAnsi="Times New Roman" w:cs="Times New Roman"/>
                      <w:b w:val="0"/>
                      <w:bCs/>
                      <w:color w:val="auto"/>
                      <w:sz w:val="21"/>
                      <w:szCs w:val="21"/>
                    </w:rPr>
                    <w:t>h</w:t>
                  </w:r>
                </w:p>
              </w:tc>
              <w:tc>
                <w:tcPr>
                  <w:tcW w:w="907" w:type="dxa"/>
                  <w:tcBorders>
                    <w:tl2br w:val="nil"/>
                    <w:tr2bl w:val="nil"/>
                  </w:tcBorders>
                  <w:noWrap w:val="0"/>
                  <w:vAlign w:val="center"/>
                </w:tcPr>
                <w:p w14:paraId="0EA39B72">
                  <w:pPr>
                    <w:pStyle w:val="37"/>
                    <w:keepNext w:val="0"/>
                    <w:keepLines w:val="0"/>
                    <w:pageBreakBefore w:val="0"/>
                    <w:widowControl w:val="0"/>
                    <w:kinsoku/>
                    <w:wordWrap/>
                    <w:overflowPunct/>
                    <w:topLinePunct w:val="0"/>
                    <w:autoSpaceDE/>
                    <w:autoSpaceDN/>
                    <w:bidi w:val="0"/>
                    <w:adjustRightIn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3.9057</w:t>
                  </w:r>
                </w:p>
              </w:tc>
              <w:tc>
                <w:tcPr>
                  <w:tcW w:w="3129" w:type="dxa"/>
                  <w:vMerge w:val="continue"/>
                  <w:tcBorders>
                    <w:tl2br w:val="nil"/>
                    <w:tr2bl w:val="nil"/>
                  </w:tcBorders>
                  <w:noWrap w:val="0"/>
                  <w:vAlign w:val="center"/>
                </w:tcPr>
                <w:p w14:paraId="67F41492">
                  <w:pPr>
                    <w:pStyle w:val="37"/>
                    <w:keepNext w:val="0"/>
                    <w:keepLines w:val="0"/>
                    <w:pageBreakBefore w:val="0"/>
                    <w:widowControl w:val="0"/>
                    <w:kinsoku/>
                    <w:wordWrap/>
                    <w:overflowPunct/>
                    <w:topLinePunct w:val="0"/>
                    <w:autoSpaceDE/>
                    <w:autoSpaceDN/>
                    <w:bidi w:val="0"/>
                    <w:adjustRightInd w:val="0"/>
                    <w:spacing w:after="0"/>
                    <w:textAlignment w:val="auto"/>
                    <w:rPr>
                      <w:rFonts w:hint="default" w:ascii="Times New Roman" w:hAnsi="Times New Roman" w:cs="Times New Roman"/>
                      <w:b w:val="0"/>
                      <w:bCs/>
                      <w:color w:val="auto"/>
                      <w:sz w:val="21"/>
                      <w:szCs w:val="21"/>
                    </w:rPr>
                  </w:pPr>
                </w:p>
              </w:tc>
            </w:tr>
          </w:tbl>
          <w:p w14:paraId="0A159FE8">
            <w:pPr>
              <w:bidi w:val="0"/>
              <w:spacing w:line="240" w:lineRule="auto"/>
              <w:rPr>
                <w:rFonts w:hint="eastAsia"/>
                <w:color w:val="auto"/>
                <w:lang w:val="en-US" w:eastAsia="zh-CN"/>
              </w:rPr>
            </w:pPr>
          </w:p>
          <w:p w14:paraId="7DA10078">
            <w:pPr>
              <w:bidi w:val="0"/>
              <w:ind w:left="0" w:leftChars="0" w:firstLine="0" w:firstLineChars="0"/>
              <w:rPr>
                <w:b/>
                <w:bCs/>
                <w:color w:val="auto"/>
              </w:rPr>
            </w:pPr>
            <w:r>
              <w:rPr>
                <w:rFonts w:hint="eastAsia"/>
                <w:b/>
                <w:bCs/>
                <w:color w:val="auto"/>
                <w:lang w:val="en-US" w:eastAsia="zh-CN"/>
              </w:rPr>
              <w:t>4.</w:t>
            </w:r>
            <w:r>
              <w:rPr>
                <w:rFonts w:hint="eastAsia"/>
                <w:b/>
                <w:bCs/>
                <w:color w:val="auto"/>
              </w:rPr>
              <w:t>1.6 污染物监测计划</w:t>
            </w:r>
          </w:p>
          <w:p w14:paraId="6CBBACBB">
            <w:pPr>
              <w:bidi w:val="0"/>
              <w:rPr>
                <w:rFonts w:hint="default" w:ascii="Times New Roman" w:hAnsi="Times New Roman" w:cs="Times New Roman"/>
                <w:color w:val="auto"/>
                <w:sz w:val="24"/>
                <w:szCs w:val="24"/>
              </w:rPr>
            </w:pPr>
            <w:r>
              <w:rPr>
                <w:color w:val="auto"/>
              </w:rPr>
              <w:t>按照《排污单位自行监测技术指南 总则》（HJ819-2017）、《排污单位自行监测技术指南 涂装》（HJ1086-2020），</w:t>
            </w:r>
            <w:r>
              <w:rPr>
                <w:rFonts w:hint="default" w:ascii="Times New Roman" w:hAnsi="Times New Roman" w:cs="Times New Roman"/>
                <w:color w:val="auto"/>
                <w:sz w:val="24"/>
                <w:szCs w:val="24"/>
              </w:rPr>
              <w:t>本次报告建议制定如下</w:t>
            </w:r>
            <w:r>
              <w:rPr>
                <w:rFonts w:hint="default" w:ascii="Times New Roman" w:hAnsi="Times New Roman" w:cs="Times New Roman"/>
                <w:color w:val="auto"/>
                <w:sz w:val="24"/>
                <w:szCs w:val="24"/>
                <w:lang w:eastAsia="zh-CN"/>
              </w:rPr>
              <w:t>废气</w:t>
            </w:r>
            <w:r>
              <w:rPr>
                <w:rFonts w:hint="default" w:ascii="Times New Roman" w:hAnsi="Times New Roman" w:cs="Times New Roman"/>
                <w:color w:val="auto"/>
                <w:sz w:val="24"/>
                <w:szCs w:val="24"/>
              </w:rPr>
              <w:t>监测计划。</w:t>
            </w:r>
          </w:p>
          <w:p w14:paraId="133ADC8E">
            <w:pPr>
              <w:pStyle w:val="38"/>
              <w:bidi w:val="0"/>
              <w:rPr>
                <w:rFonts w:hint="default" w:ascii="Times New Roman" w:hAnsi="Times New Roman" w:cs="Times New Roman"/>
                <w:color w:val="auto"/>
                <w:lang w:eastAsia="zh-CN"/>
              </w:rPr>
            </w:pPr>
            <w:r>
              <w:rPr>
                <w:rFonts w:hint="default" w:ascii="Times New Roman" w:hAnsi="Times New Roman" w:cs="Times New Roman"/>
                <w:color w:val="auto"/>
                <w:lang w:eastAsia="zh-CN"/>
              </w:rPr>
              <w:t>表4-</w:t>
            </w:r>
            <w:r>
              <w:rPr>
                <w:rFonts w:hint="eastAsia" w:cs="Times New Roman"/>
                <w:color w:val="auto"/>
                <w:lang w:val="en-US" w:eastAsia="zh-CN"/>
              </w:rPr>
              <w:t>9</w:t>
            </w:r>
            <w:r>
              <w:rPr>
                <w:rFonts w:hint="default" w:ascii="Times New Roman" w:hAnsi="Times New Roman" w:cs="Times New Roman"/>
                <w:color w:val="auto"/>
                <w:lang w:eastAsia="zh-CN"/>
              </w:rPr>
              <w:t xml:space="preserve">  </w:t>
            </w:r>
            <w:r>
              <w:rPr>
                <w:rFonts w:hint="eastAsia" w:cs="Times New Roman"/>
                <w:color w:val="auto"/>
                <w:lang w:val="en-US" w:eastAsia="zh-CN"/>
              </w:rPr>
              <w:t>本项目</w:t>
            </w:r>
            <w:r>
              <w:rPr>
                <w:rFonts w:hint="default" w:ascii="Times New Roman" w:hAnsi="Times New Roman" w:cs="Times New Roman"/>
                <w:color w:val="auto"/>
                <w:lang w:eastAsia="zh-CN"/>
              </w:rPr>
              <w:t>废气监测要求一览表</w:t>
            </w:r>
          </w:p>
          <w:tbl>
            <w:tblPr>
              <w:tblStyle w:val="31"/>
              <w:tblW w:w="886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23"/>
              <w:gridCol w:w="739"/>
              <w:gridCol w:w="1178"/>
              <w:gridCol w:w="1208"/>
              <w:gridCol w:w="1302"/>
              <w:gridCol w:w="4016"/>
            </w:tblGrid>
            <w:tr w14:paraId="6A9F0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dxa"/>
                  <w:tcBorders>
                    <w:tl2br w:val="nil"/>
                    <w:tr2bl w:val="nil"/>
                  </w:tcBorders>
                  <w:noWrap w:val="0"/>
                  <w:vAlign w:val="center"/>
                </w:tcPr>
                <w:p w14:paraId="59B4AEC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类别</w:t>
                  </w:r>
                </w:p>
              </w:tc>
              <w:tc>
                <w:tcPr>
                  <w:tcW w:w="739" w:type="dxa"/>
                  <w:tcBorders>
                    <w:tl2br w:val="nil"/>
                    <w:tr2bl w:val="nil"/>
                  </w:tcBorders>
                  <w:noWrap w:val="0"/>
                  <w:vAlign w:val="center"/>
                </w:tcPr>
                <w:p w14:paraId="124B8D9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排放形式</w:t>
                  </w:r>
                </w:p>
              </w:tc>
              <w:tc>
                <w:tcPr>
                  <w:tcW w:w="1178" w:type="dxa"/>
                  <w:tcBorders>
                    <w:tl2br w:val="nil"/>
                    <w:tr2bl w:val="nil"/>
                  </w:tcBorders>
                  <w:noWrap w:val="0"/>
                  <w:vAlign w:val="center"/>
                </w:tcPr>
                <w:p w14:paraId="37625EA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监测点位</w:t>
                  </w:r>
                </w:p>
              </w:tc>
              <w:tc>
                <w:tcPr>
                  <w:tcW w:w="1208" w:type="dxa"/>
                  <w:tcBorders>
                    <w:tl2br w:val="nil"/>
                    <w:tr2bl w:val="nil"/>
                  </w:tcBorders>
                  <w:noWrap w:val="0"/>
                  <w:vAlign w:val="center"/>
                </w:tcPr>
                <w:p w14:paraId="00FDD6B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监测因子</w:t>
                  </w:r>
                </w:p>
              </w:tc>
              <w:tc>
                <w:tcPr>
                  <w:tcW w:w="1302" w:type="dxa"/>
                  <w:tcBorders>
                    <w:tl2br w:val="nil"/>
                    <w:tr2bl w:val="nil"/>
                  </w:tcBorders>
                  <w:noWrap w:val="0"/>
                  <w:vAlign w:val="center"/>
                </w:tcPr>
                <w:p w14:paraId="74239BB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监测频次</w:t>
                  </w:r>
                </w:p>
              </w:tc>
              <w:tc>
                <w:tcPr>
                  <w:tcW w:w="4016" w:type="dxa"/>
                  <w:tcBorders>
                    <w:tl2br w:val="nil"/>
                    <w:tr2bl w:val="nil"/>
                  </w:tcBorders>
                  <w:noWrap w:val="0"/>
                  <w:vAlign w:val="center"/>
                </w:tcPr>
                <w:p w14:paraId="52F2053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执行标准</w:t>
                  </w:r>
                </w:p>
              </w:tc>
            </w:tr>
            <w:tr w14:paraId="5AE19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6" w:hRule="atLeast"/>
                <w:jc w:val="center"/>
              </w:trPr>
              <w:tc>
                <w:tcPr>
                  <w:tcW w:w="423" w:type="dxa"/>
                  <w:vMerge w:val="restart"/>
                  <w:tcBorders>
                    <w:tl2br w:val="nil"/>
                    <w:tr2bl w:val="nil"/>
                  </w:tcBorders>
                  <w:noWrap w:val="0"/>
                  <w:vAlign w:val="center"/>
                </w:tcPr>
                <w:p w14:paraId="146EFA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w:t>
                  </w:r>
                </w:p>
              </w:tc>
              <w:tc>
                <w:tcPr>
                  <w:tcW w:w="739" w:type="dxa"/>
                  <w:vMerge w:val="restart"/>
                  <w:tcBorders>
                    <w:tl2br w:val="nil"/>
                    <w:tr2bl w:val="nil"/>
                  </w:tcBorders>
                  <w:noWrap w:val="0"/>
                  <w:vAlign w:val="center"/>
                </w:tcPr>
                <w:p w14:paraId="0163A22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有组织</w:t>
                  </w:r>
                </w:p>
              </w:tc>
              <w:tc>
                <w:tcPr>
                  <w:tcW w:w="1178" w:type="dxa"/>
                  <w:tcBorders>
                    <w:tl2br w:val="nil"/>
                    <w:tr2bl w:val="nil"/>
                  </w:tcBorders>
                  <w:noWrap w:val="0"/>
                  <w:vAlign w:val="center"/>
                </w:tcPr>
                <w:p w14:paraId="738B3CE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DA00</w:t>
                  </w:r>
                  <w:r>
                    <w:rPr>
                      <w:rFonts w:hint="eastAsia" w:ascii="Times New Roman" w:hAnsi="Times New Roman" w:cs="Times New Roman"/>
                      <w:b w:val="0"/>
                      <w:bCs/>
                      <w:color w:val="auto"/>
                      <w:sz w:val="21"/>
                      <w:szCs w:val="21"/>
                      <w:lang w:val="en-US" w:eastAsia="zh-CN"/>
                    </w:rPr>
                    <w:t>1</w:t>
                  </w:r>
                  <w:r>
                    <w:rPr>
                      <w:rFonts w:hint="default" w:ascii="Times New Roman" w:hAnsi="Times New Roman" w:cs="Times New Roman"/>
                      <w:b w:val="0"/>
                      <w:bCs/>
                      <w:color w:val="auto"/>
                      <w:sz w:val="21"/>
                      <w:szCs w:val="21"/>
                    </w:rPr>
                    <w:t>排放口</w:t>
                  </w:r>
                </w:p>
              </w:tc>
              <w:tc>
                <w:tcPr>
                  <w:tcW w:w="1208" w:type="dxa"/>
                  <w:tcBorders>
                    <w:tl2br w:val="nil"/>
                    <w:tr2bl w:val="nil"/>
                  </w:tcBorders>
                  <w:noWrap w:val="0"/>
                  <w:vAlign w:val="center"/>
                </w:tcPr>
                <w:p w14:paraId="5CB8711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1302" w:type="dxa"/>
                  <w:tcBorders>
                    <w:tl2br w:val="nil"/>
                    <w:tr2bl w:val="nil"/>
                  </w:tcBorders>
                  <w:noWrap w:val="0"/>
                  <w:vAlign w:val="center"/>
                </w:tcPr>
                <w:p w14:paraId="6F94F92E">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rPr>
                  </w:pPr>
                  <w:r>
                    <w:rPr>
                      <w:rFonts w:ascii="Times New Roman" w:hAnsi="Times New Roman"/>
                      <w:b w:val="0"/>
                      <w:bCs/>
                      <w:color w:val="auto"/>
                      <w:szCs w:val="21"/>
                    </w:rPr>
                    <w:t>1次/年</w:t>
                  </w:r>
                </w:p>
              </w:tc>
              <w:tc>
                <w:tcPr>
                  <w:tcW w:w="4016" w:type="dxa"/>
                  <w:tcBorders>
                    <w:tl2br w:val="nil"/>
                    <w:tr2bl w:val="nil"/>
                  </w:tcBorders>
                  <w:noWrap w:val="0"/>
                  <w:vAlign w:val="center"/>
                </w:tcPr>
                <w:p w14:paraId="6AC1EAE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rPr>
                  </w:pPr>
                  <w:r>
                    <w:rPr>
                      <w:rFonts w:ascii="Times New Roman" w:hAnsi="Times New Roman" w:eastAsiaTheme="minorEastAsia"/>
                      <w:b w:val="0"/>
                      <w:bCs/>
                      <w:color w:val="auto"/>
                      <w:szCs w:val="21"/>
                    </w:rPr>
                    <w:t>《大气污染物综合排放标准》（GB16297-1996）表2中污染物排放限值</w:t>
                  </w:r>
                </w:p>
              </w:tc>
            </w:tr>
            <w:tr w14:paraId="3F196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dxa"/>
                  <w:vMerge w:val="continue"/>
                  <w:tcBorders>
                    <w:tl2br w:val="nil"/>
                    <w:tr2bl w:val="nil"/>
                  </w:tcBorders>
                  <w:noWrap w:val="0"/>
                  <w:vAlign w:val="center"/>
                </w:tcPr>
                <w:p w14:paraId="7834586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739" w:type="dxa"/>
                  <w:vMerge w:val="continue"/>
                  <w:tcBorders>
                    <w:tl2br w:val="nil"/>
                    <w:tr2bl w:val="nil"/>
                  </w:tcBorders>
                  <w:noWrap w:val="0"/>
                  <w:vAlign w:val="center"/>
                </w:tcPr>
                <w:p w14:paraId="0D9791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1178" w:type="dxa"/>
                  <w:vMerge w:val="restart"/>
                  <w:tcBorders>
                    <w:tl2br w:val="nil"/>
                    <w:tr2bl w:val="nil"/>
                  </w:tcBorders>
                  <w:noWrap w:val="0"/>
                  <w:vAlign w:val="center"/>
                </w:tcPr>
                <w:p w14:paraId="657B4CFA">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DA00</w:t>
                  </w:r>
                  <w:r>
                    <w:rPr>
                      <w:rFonts w:hint="eastAsia" w:ascii="Times New Roman" w:hAnsi="Times New Roman" w:cs="Times New Roman"/>
                      <w:b w:val="0"/>
                      <w:bCs/>
                      <w:color w:val="auto"/>
                      <w:sz w:val="21"/>
                      <w:szCs w:val="21"/>
                      <w:lang w:val="en-US" w:eastAsia="zh-CN"/>
                    </w:rPr>
                    <w:t>2</w:t>
                  </w:r>
                  <w:r>
                    <w:rPr>
                      <w:rFonts w:hint="default" w:ascii="Times New Roman" w:hAnsi="Times New Roman" w:cs="Times New Roman"/>
                      <w:b w:val="0"/>
                      <w:bCs/>
                      <w:color w:val="auto"/>
                      <w:sz w:val="21"/>
                      <w:szCs w:val="21"/>
                    </w:rPr>
                    <w:t>排放口</w:t>
                  </w:r>
                </w:p>
              </w:tc>
              <w:tc>
                <w:tcPr>
                  <w:tcW w:w="1208" w:type="dxa"/>
                  <w:tcBorders>
                    <w:tl2br w:val="nil"/>
                    <w:tr2bl w:val="nil"/>
                  </w:tcBorders>
                  <w:noWrap w:val="0"/>
                  <w:vAlign w:val="center"/>
                </w:tcPr>
                <w:p w14:paraId="4CB0D01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b w:val="0"/>
                      <w:bCs/>
                      <w:color w:val="auto"/>
                      <w:szCs w:val="21"/>
                      <w:lang w:val="en-US" w:eastAsia="zh-CN"/>
                    </w:rPr>
                    <w:t>NMHC</w:t>
                  </w:r>
                </w:p>
              </w:tc>
              <w:tc>
                <w:tcPr>
                  <w:tcW w:w="1302" w:type="dxa"/>
                  <w:tcBorders>
                    <w:tl2br w:val="nil"/>
                    <w:tr2bl w:val="nil"/>
                  </w:tcBorders>
                  <w:noWrap w:val="0"/>
                  <w:vAlign w:val="center"/>
                </w:tcPr>
                <w:p w14:paraId="6799054A">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rPr>
                  </w:pPr>
                  <w:r>
                    <w:rPr>
                      <w:rFonts w:ascii="Times New Roman" w:hAnsi="Times New Roman"/>
                      <w:b w:val="0"/>
                      <w:bCs/>
                      <w:color w:val="auto"/>
                      <w:szCs w:val="21"/>
                    </w:rPr>
                    <w:t>1次/年</w:t>
                  </w:r>
                </w:p>
              </w:tc>
              <w:tc>
                <w:tcPr>
                  <w:tcW w:w="4016" w:type="dxa"/>
                  <w:tcBorders>
                    <w:tl2br w:val="nil"/>
                    <w:tr2bl w:val="nil"/>
                  </w:tcBorders>
                  <w:noWrap w:val="0"/>
                  <w:vAlign w:val="center"/>
                </w:tcPr>
                <w:p w14:paraId="04A2E4E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rPr>
                  </w:pPr>
                  <w:r>
                    <w:rPr>
                      <w:rFonts w:ascii="Times New Roman" w:hAnsi="Times New Roman"/>
                      <w:b w:val="0"/>
                      <w:bCs/>
                      <w:color w:val="auto"/>
                      <w:szCs w:val="21"/>
                    </w:rPr>
                    <w:t>安徽省《固定源挥发性有机物综合排放标准 第6部分：其他行业》（DB34/ 4812.6—2024）表</w:t>
                  </w:r>
                  <w:r>
                    <w:rPr>
                      <w:rFonts w:hint="eastAsia" w:ascii="Times New Roman" w:hAnsi="Times New Roman"/>
                      <w:b w:val="0"/>
                      <w:bCs/>
                      <w:color w:val="auto"/>
                      <w:szCs w:val="21"/>
                      <w:lang w:val="en-US" w:eastAsia="zh-CN"/>
                    </w:rPr>
                    <w:t>1</w:t>
                  </w:r>
                  <w:r>
                    <w:rPr>
                      <w:rFonts w:ascii="Times New Roman" w:hAnsi="Times New Roman"/>
                      <w:b w:val="0"/>
                      <w:bCs/>
                      <w:color w:val="auto"/>
                      <w:szCs w:val="21"/>
                    </w:rPr>
                    <w:t>排放限值</w:t>
                  </w:r>
                </w:p>
              </w:tc>
            </w:tr>
            <w:tr w14:paraId="3A1FE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dxa"/>
                  <w:vMerge w:val="continue"/>
                  <w:tcBorders>
                    <w:tl2br w:val="nil"/>
                    <w:tr2bl w:val="nil"/>
                  </w:tcBorders>
                  <w:noWrap w:val="0"/>
                  <w:vAlign w:val="center"/>
                </w:tcPr>
                <w:p w14:paraId="58CDD97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739" w:type="dxa"/>
                  <w:vMerge w:val="continue"/>
                  <w:tcBorders>
                    <w:tl2br w:val="nil"/>
                    <w:tr2bl w:val="nil"/>
                  </w:tcBorders>
                  <w:noWrap w:val="0"/>
                  <w:vAlign w:val="center"/>
                </w:tcPr>
                <w:p w14:paraId="020A8EC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1178" w:type="dxa"/>
                  <w:vMerge w:val="continue"/>
                  <w:tcBorders>
                    <w:tl2br w:val="nil"/>
                    <w:tr2bl w:val="nil"/>
                  </w:tcBorders>
                  <w:noWrap w:val="0"/>
                  <w:vAlign w:val="center"/>
                </w:tcPr>
                <w:p w14:paraId="5219073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rPr>
                  </w:pPr>
                </w:p>
              </w:tc>
              <w:tc>
                <w:tcPr>
                  <w:tcW w:w="1208" w:type="dxa"/>
                  <w:tcBorders>
                    <w:tl2br w:val="nil"/>
                    <w:tr2bl w:val="nil"/>
                  </w:tcBorders>
                  <w:noWrap w:val="0"/>
                  <w:vAlign w:val="center"/>
                </w:tcPr>
                <w:p w14:paraId="372A9CA1">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ascii="Times New Roman" w:hAnsi="Times New Roman"/>
                      <w:b w:val="0"/>
                      <w:bCs/>
                      <w:color w:val="auto"/>
                      <w:szCs w:val="21"/>
                    </w:rPr>
                    <w:t>颗粒物</w:t>
                  </w:r>
                </w:p>
              </w:tc>
              <w:tc>
                <w:tcPr>
                  <w:tcW w:w="1302" w:type="dxa"/>
                  <w:tcBorders>
                    <w:tl2br w:val="nil"/>
                    <w:tr2bl w:val="nil"/>
                  </w:tcBorders>
                  <w:noWrap w:val="0"/>
                  <w:vAlign w:val="center"/>
                </w:tcPr>
                <w:p w14:paraId="12DB56AE">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color w:val="auto"/>
                      <w:sz w:val="21"/>
                      <w:szCs w:val="21"/>
                      <w:lang w:val="en-US" w:eastAsia="zh-CN"/>
                    </w:rPr>
                  </w:pPr>
                  <w:r>
                    <w:rPr>
                      <w:rFonts w:ascii="Times New Roman" w:hAnsi="Times New Roman"/>
                      <w:b w:val="0"/>
                      <w:bCs/>
                      <w:color w:val="auto"/>
                      <w:szCs w:val="21"/>
                    </w:rPr>
                    <w:t>1次/年</w:t>
                  </w:r>
                </w:p>
              </w:tc>
              <w:tc>
                <w:tcPr>
                  <w:tcW w:w="4016" w:type="dxa"/>
                  <w:tcBorders>
                    <w:tl2br w:val="nil"/>
                    <w:tr2bl w:val="nil"/>
                  </w:tcBorders>
                  <w:noWrap w:val="0"/>
                  <w:vAlign w:val="center"/>
                </w:tcPr>
                <w:p w14:paraId="173EA094">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ascii="Times New Roman" w:hAnsi="Times New Roman" w:eastAsiaTheme="minorEastAsia"/>
                      <w:b w:val="0"/>
                      <w:bCs/>
                      <w:color w:val="auto"/>
                      <w:szCs w:val="21"/>
                    </w:rPr>
                    <w:t>《大气污染物综合排放标准》（GB16297-1996）表2中污染物排放限值</w:t>
                  </w:r>
                </w:p>
              </w:tc>
            </w:tr>
            <w:tr w14:paraId="5541F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dxa"/>
                  <w:vMerge w:val="continue"/>
                  <w:tcBorders>
                    <w:tl2br w:val="nil"/>
                    <w:tr2bl w:val="nil"/>
                  </w:tcBorders>
                  <w:noWrap w:val="0"/>
                  <w:vAlign w:val="center"/>
                </w:tcPr>
                <w:p w14:paraId="4677A55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739" w:type="dxa"/>
                  <w:vMerge w:val="restart"/>
                  <w:tcBorders>
                    <w:tl2br w:val="nil"/>
                    <w:tr2bl w:val="nil"/>
                  </w:tcBorders>
                  <w:noWrap w:val="0"/>
                  <w:vAlign w:val="center"/>
                </w:tcPr>
                <w:p w14:paraId="402D9C4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无组织</w:t>
                  </w:r>
                </w:p>
              </w:tc>
              <w:tc>
                <w:tcPr>
                  <w:tcW w:w="1178" w:type="dxa"/>
                  <w:tcBorders>
                    <w:tl2br w:val="nil"/>
                    <w:tr2bl w:val="nil"/>
                  </w:tcBorders>
                  <w:noWrap w:val="0"/>
                  <w:vAlign w:val="center"/>
                </w:tcPr>
                <w:p w14:paraId="5ABDE47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lang w:eastAsia="zh-CN"/>
                    </w:rPr>
                  </w:pPr>
                  <w:r>
                    <w:rPr>
                      <w:rFonts w:hint="eastAsia" w:ascii="Times New Roman" w:hAnsi="Times New Roman"/>
                      <w:b w:val="0"/>
                      <w:bCs/>
                      <w:color w:val="auto"/>
                      <w:szCs w:val="21"/>
                    </w:rPr>
                    <w:t>厂区（</w:t>
                  </w:r>
                  <w:r>
                    <w:rPr>
                      <w:rFonts w:ascii="Times New Roman" w:hAnsi="Times New Roman"/>
                      <w:b w:val="0"/>
                      <w:bCs/>
                      <w:color w:val="auto"/>
                      <w:szCs w:val="21"/>
                    </w:rPr>
                    <w:t>在厂房外设置监控点</w:t>
                  </w:r>
                  <w:r>
                    <w:rPr>
                      <w:rFonts w:hint="eastAsia" w:ascii="Times New Roman" w:hAnsi="Times New Roman"/>
                      <w:b w:val="0"/>
                      <w:bCs/>
                      <w:color w:val="auto"/>
                      <w:szCs w:val="21"/>
                    </w:rPr>
                    <w:t>）</w:t>
                  </w:r>
                </w:p>
              </w:tc>
              <w:tc>
                <w:tcPr>
                  <w:tcW w:w="1208" w:type="dxa"/>
                  <w:tcBorders>
                    <w:tl2br w:val="nil"/>
                    <w:tr2bl w:val="nil"/>
                  </w:tcBorders>
                  <w:noWrap w:val="0"/>
                  <w:vAlign w:val="center"/>
                </w:tcPr>
                <w:p w14:paraId="190982B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b w:val="0"/>
                      <w:bCs/>
                      <w:color w:val="auto"/>
                      <w:szCs w:val="21"/>
                    </w:rPr>
                    <w:t>NMHC</w:t>
                  </w:r>
                </w:p>
              </w:tc>
              <w:tc>
                <w:tcPr>
                  <w:tcW w:w="1302" w:type="dxa"/>
                  <w:tcBorders>
                    <w:tl2br w:val="nil"/>
                    <w:tr2bl w:val="nil"/>
                  </w:tcBorders>
                  <w:noWrap w:val="0"/>
                  <w:vAlign w:val="center"/>
                </w:tcPr>
                <w:p w14:paraId="507A7928">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b w:val="0"/>
                      <w:bCs/>
                      <w:color w:val="auto"/>
                      <w:szCs w:val="21"/>
                    </w:rPr>
                    <w:t>1次/半年</w:t>
                  </w:r>
                </w:p>
              </w:tc>
              <w:tc>
                <w:tcPr>
                  <w:tcW w:w="4016" w:type="dxa"/>
                  <w:tcBorders>
                    <w:tl2br w:val="nil"/>
                    <w:tr2bl w:val="nil"/>
                  </w:tcBorders>
                  <w:noWrap w:val="0"/>
                  <w:vAlign w:val="center"/>
                </w:tcPr>
                <w:p w14:paraId="61D3CF1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b w:val="0"/>
                      <w:bCs/>
                      <w:color w:val="auto"/>
                      <w:szCs w:val="21"/>
                    </w:rPr>
                    <w:t>执行</w:t>
                  </w:r>
                  <w:r>
                    <w:rPr>
                      <w:rFonts w:ascii="Times New Roman" w:hAnsi="Times New Roman"/>
                      <w:b w:val="0"/>
                      <w:bCs/>
                      <w:color w:val="auto"/>
                      <w:szCs w:val="21"/>
                    </w:rPr>
                    <w:t>安徽省《固定源挥发性有机物综合排放标准 第6部分：其他行业》（DB34/ 4812.6—2024）表</w:t>
                  </w:r>
                  <w:r>
                    <w:rPr>
                      <w:rFonts w:hint="eastAsia" w:ascii="Times New Roman" w:hAnsi="Times New Roman"/>
                      <w:b w:val="0"/>
                      <w:bCs/>
                      <w:color w:val="auto"/>
                      <w:szCs w:val="21"/>
                    </w:rPr>
                    <w:t>4厂区内VOCs无组织排放限值</w:t>
                  </w:r>
                </w:p>
              </w:tc>
            </w:tr>
            <w:tr w14:paraId="508A4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 w:hRule="atLeast"/>
                <w:jc w:val="center"/>
              </w:trPr>
              <w:tc>
                <w:tcPr>
                  <w:tcW w:w="423" w:type="dxa"/>
                  <w:vMerge w:val="continue"/>
                  <w:tcBorders>
                    <w:tl2br w:val="nil"/>
                    <w:tr2bl w:val="nil"/>
                  </w:tcBorders>
                  <w:noWrap w:val="0"/>
                  <w:vAlign w:val="center"/>
                </w:tcPr>
                <w:p w14:paraId="4C742E3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739" w:type="dxa"/>
                  <w:vMerge w:val="continue"/>
                  <w:tcBorders>
                    <w:tl2br w:val="nil"/>
                    <w:tr2bl w:val="nil"/>
                  </w:tcBorders>
                  <w:noWrap w:val="0"/>
                  <w:vAlign w:val="center"/>
                </w:tcPr>
                <w:p w14:paraId="731BFFA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1178" w:type="dxa"/>
                  <w:vMerge w:val="restart"/>
                  <w:tcBorders>
                    <w:tl2br w:val="nil"/>
                    <w:tr2bl w:val="nil"/>
                  </w:tcBorders>
                  <w:noWrap w:val="0"/>
                  <w:vAlign w:val="center"/>
                </w:tcPr>
                <w:p w14:paraId="6FBDB69C">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color w:val="auto"/>
                      <w:sz w:val="21"/>
                      <w:szCs w:val="21"/>
                      <w:lang w:eastAsia="zh-CN"/>
                    </w:rPr>
                  </w:pPr>
                  <w:r>
                    <w:rPr>
                      <w:rFonts w:ascii="Times New Roman" w:hAnsi="Times New Roman"/>
                      <w:b w:val="0"/>
                      <w:bCs/>
                      <w:color w:val="auto"/>
                      <w:szCs w:val="21"/>
                    </w:rPr>
                    <w:t>厂界</w:t>
                  </w:r>
                </w:p>
              </w:tc>
              <w:tc>
                <w:tcPr>
                  <w:tcW w:w="1208" w:type="dxa"/>
                  <w:tcBorders>
                    <w:tl2br w:val="nil"/>
                    <w:tr2bl w:val="nil"/>
                  </w:tcBorders>
                  <w:noWrap w:val="0"/>
                  <w:vAlign w:val="center"/>
                </w:tcPr>
                <w:p w14:paraId="5141C3E0">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color w:val="auto"/>
                      <w:sz w:val="21"/>
                      <w:szCs w:val="21"/>
                      <w:lang w:val="en-US" w:eastAsia="zh-CN"/>
                    </w:rPr>
                  </w:pPr>
                  <w:r>
                    <w:rPr>
                      <w:rFonts w:ascii="Times New Roman" w:hAnsi="Times New Roman"/>
                      <w:b w:val="0"/>
                      <w:bCs/>
                      <w:color w:val="auto"/>
                      <w:szCs w:val="21"/>
                    </w:rPr>
                    <w:t>非甲烷总烃</w:t>
                  </w:r>
                </w:p>
              </w:tc>
              <w:tc>
                <w:tcPr>
                  <w:tcW w:w="1302" w:type="dxa"/>
                  <w:tcBorders>
                    <w:tl2br w:val="nil"/>
                    <w:tr2bl w:val="nil"/>
                  </w:tcBorders>
                  <w:noWrap w:val="0"/>
                  <w:vAlign w:val="center"/>
                </w:tcPr>
                <w:p w14:paraId="6664A8CC">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color w:val="auto"/>
                      <w:sz w:val="21"/>
                      <w:szCs w:val="21"/>
                    </w:rPr>
                  </w:pPr>
                  <w:r>
                    <w:rPr>
                      <w:rFonts w:ascii="Times New Roman" w:hAnsi="Times New Roman"/>
                      <w:b w:val="0"/>
                      <w:bCs/>
                      <w:color w:val="auto"/>
                      <w:szCs w:val="21"/>
                    </w:rPr>
                    <w:t>1次/</w:t>
                  </w:r>
                  <w:r>
                    <w:rPr>
                      <w:rFonts w:hint="eastAsia" w:ascii="Times New Roman" w:hAnsi="Times New Roman"/>
                      <w:b w:val="0"/>
                      <w:bCs/>
                      <w:color w:val="auto"/>
                      <w:szCs w:val="21"/>
                    </w:rPr>
                    <w:t>半</w:t>
                  </w:r>
                  <w:r>
                    <w:rPr>
                      <w:rFonts w:ascii="Times New Roman" w:hAnsi="Times New Roman"/>
                      <w:b w:val="0"/>
                      <w:bCs/>
                      <w:color w:val="auto"/>
                      <w:szCs w:val="21"/>
                    </w:rPr>
                    <w:t>年</w:t>
                  </w:r>
                </w:p>
              </w:tc>
              <w:tc>
                <w:tcPr>
                  <w:tcW w:w="4016" w:type="dxa"/>
                  <w:vMerge w:val="restart"/>
                  <w:tcBorders>
                    <w:tl2br w:val="nil"/>
                    <w:tr2bl w:val="nil"/>
                  </w:tcBorders>
                  <w:noWrap w:val="0"/>
                  <w:vAlign w:val="center"/>
                </w:tcPr>
                <w:p w14:paraId="0299842C">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color w:val="auto"/>
                      <w:sz w:val="21"/>
                      <w:szCs w:val="21"/>
                      <w:lang w:val="en-US" w:eastAsia="zh-CN"/>
                    </w:rPr>
                  </w:pPr>
                  <w:r>
                    <w:rPr>
                      <w:rFonts w:ascii="Times New Roman" w:hAnsi="Times New Roman"/>
                      <w:b w:val="0"/>
                      <w:bCs/>
                      <w:color w:val="auto"/>
                      <w:szCs w:val="21"/>
                    </w:rPr>
                    <w:t>执行《大气污染物综合排放标准》（GB16297-1996）表2中无组织排放监控浓度限值要求</w:t>
                  </w:r>
                </w:p>
              </w:tc>
            </w:tr>
            <w:tr w14:paraId="5E146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dxa"/>
                  <w:vMerge w:val="continue"/>
                  <w:tcBorders>
                    <w:tl2br w:val="nil"/>
                    <w:tr2bl w:val="nil"/>
                  </w:tcBorders>
                  <w:noWrap w:val="0"/>
                  <w:vAlign w:val="center"/>
                </w:tcPr>
                <w:p w14:paraId="1CA6447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739" w:type="dxa"/>
                  <w:vMerge w:val="continue"/>
                  <w:tcBorders>
                    <w:tl2br w:val="nil"/>
                    <w:tr2bl w:val="nil"/>
                  </w:tcBorders>
                  <w:noWrap w:val="0"/>
                  <w:vAlign w:val="center"/>
                </w:tcPr>
                <w:p w14:paraId="350BA37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1178" w:type="dxa"/>
                  <w:vMerge w:val="continue"/>
                  <w:tcBorders>
                    <w:tl2br w:val="nil"/>
                    <w:tr2bl w:val="nil"/>
                  </w:tcBorders>
                  <w:noWrap w:val="0"/>
                  <w:vAlign w:val="center"/>
                </w:tcPr>
                <w:p w14:paraId="04D1516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color w:val="auto"/>
                      <w:sz w:val="21"/>
                      <w:szCs w:val="21"/>
                      <w:lang w:eastAsia="zh-CN"/>
                    </w:rPr>
                  </w:pPr>
                </w:p>
              </w:tc>
              <w:tc>
                <w:tcPr>
                  <w:tcW w:w="1208" w:type="dxa"/>
                  <w:tcBorders>
                    <w:tl2br w:val="nil"/>
                    <w:tr2bl w:val="nil"/>
                  </w:tcBorders>
                  <w:noWrap w:val="0"/>
                  <w:vAlign w:val="center"/>
                </w:tcPr>
                <w:p w14:paraId="1687247A">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color w:val="auto"/>
                      <w:sz w:val="21"/>
                      <w:szCs w:val="21"/>
                      <w:lang w:val="en-US" w:eastAsia="zh-CN"/>
                    </w:rPr>
                  </w:pPr>
                  <w:r>
                    <w:rPr>
                      <w:rFonts w:ascii="Times New Roman" w:hAnsi="Times New Roman"/>
                      <w:b w:val="0"/>
                      <w:bCs/>
                      <w:color w:val="auto"/>
                      <w:szCs w:val="21"/>
                    </w:rPr>
                    <w:t>颗粒物</w:t>
                  </w:r>
                </w:p>
              </w:tc>
              <w:tc>
                <w:tcPr>
                  <w:tcW w:w="1302" w:type="dxa"/>
                  <w:tcBorders>
                    <w:tl2br w:val="nil"/>
                    <w:tr2bl w:val="nil"/>
                  </w:tcBorders>
                  <w:noWrap w:val="0"/>
                  <w:vAlign w:val="center"/>
                </w:tcPr>
                <w:p w14:paraId="3AFF6D69">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color w:val="auto"/>
                      <w:sz w:val="21"/>
                      <w:szCs w:val="21"/>
                    </w:rPr>
                  </w:pPr>
                  <w:r>
                    <w:rPr>
                      <w:rFonts w:ascii="Times New Roman" w:hAnsi="Times New Roman"/>
                      <w:b w:val="0"/>
                      <w:bCs/>
                      <w:color w:val="auto"/>
                      <w:szCs w:val="21"/>
                    </w:rPr>
                    <w:t>1次/</w:t>
                  </w:r>
                  <w:r>
                    <w:rPr>
                      <w:rFonts w:hint="eastAsia" w:ascii="Times New Roman" w:hAnsi="Times New Roman"/>
                      <w:b w:val="0"/>
                      <w:bCs/>
                      <w:color w:val="auto"/>
                      <w:szCs w:val="21"/>
                    </w:rPr>
                    <w:t>半</w:t>
                  </w:r>
                  <w:r>
                    <w:rPr>
                      <w:rFonts w:ascii="Times New Roman" w:hAnsi="Times New Roman"/>
                      <w:b w:val="0"/>
                      <w:bCs/>
                      <w:color w:val="auto"/>
                      <w:szCs w:val="21"/>
                    </w:rPr>
                    <w:t>年</w:t>
                  </w:r>
                </w:p>
              </w:tc>
              <w:tc>
                <w:tcPr>
                  <w:tcW w:w="4016" w:type="dxa"/>
                  <w:vMerge w:val="continue"/>
                  <w:tcBorders>
                    <w:tl2br w:val="nil"/>
                    <w:tr2bl w:val="nil"/>
                  </w:tcBorders>
                  <w:noWrap w:val="0"/>
                  <w:vAlign w:val="center"/>
                </w:tcPr>
                <w:p w14:paraId="49ABCE9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sz w:val="21"/>
                      <w:szCs w:val="21"/>
                      <w:lang w:val="en-US" w:eastAsia="zh-CN"/>
                    </w:rPr>
                  </w:pPr>
                </w:p>
              </w:tc>
            </w:tr>
            <w:tr w14:paraId="1DEF73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23" w:type="dxa"/>
                  <w:vMerge w:val="continue"/>
                  <w:tcBorders>
                    <w:tl2br w:val="nil"/>
                    <w:tr2bl w:val="nil"/>
                  </w:tcBorders>
                  <w:noWrap w:val="0"/>
                  <w:vAlign w:val="center"/>
                </w:tcPr>
                <w:p w14:paraId="50515EE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739" w:type="dxa"/>
                  <w:vMerge w:val="continue"/>
                  <w:tcBorders>
                    <w:tl2br w:val="nil"/>
                    <w:tr2bl w:val="nil"/>
                  </w:tcBorders>
                  <w:noWrap w:val="0"/>
                  <w:vAlign w:val="center"/>
                </w:tcPr>
                <w:p w14:paraId="7CFFF0A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sz w:val="21"/>
                      <w:szCs w:val="21"/>
                    </w:rPr>
                  </w:pPr>
                </w:p>
              </w:tc>
              <w:tc>
                <w:tcPr>
                  <w:tcW w:w="1178" w:type="dxa"/>
                  <w:vMerge w:val="continue"/>
                  <w:tcBorders>
                    <w:tl2br w:val="nil"/>
                    <w:tr2bl w:val="nil"/>
                  </w:tcBorders>
                  <w:noWrap w:val="0"/>
                  <w:vAlign w:val="center"/>
                </w:tcPr>
                <w:p w14:paraId="318E7D2F">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color w:val="auto"/>
                      <w:sz w:val="21"/>
                      <w:szCs w:val="21"/>
                      <w:lang w:eastAsia="zh-CN"/>
                    </w:rPr>
                  </w:pPr>
                </w:p>
              </w:tc>
              <w:tc>
                <w:tcPr>
                  <w:tcW w:w="1208" w:type="dxa"/>
                  <w:tcBorders>
                    <w:tl2br w:val="nil"/>
                    <w:tr2bl w:val="nil"/>
                  </w:tcBorders>
                  <w:noWrap w:val="0"/>
                  <w:vAlign w:val="center"/>
                </w:tcPr>
                <w:p w14:paraId="73100265">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b w:val="0"/>
                      <w:bCs/>
                      <w:color w:val="auto"/>
                      <w:szCs w:val="21"/>
                      <w:lang w:val="en-US" w:eastAsia="zh-CN"/>
                    </w:rPr>
                  </w:pPr>
                  <w:r>
                    <w:rPr>
                      <w:rFonts w:hint="eastAsia" w:ascii="Times New Roman" w:hAnsi="Times New Roman"/>
                      <w:b w:val="0"/>
                      <w:bCs/>
                      <w:color w:val="auto"/>
                      <w:szCs w:val="21"/>
                      <w:lang w:val="en-US" w:eastAsia="zh-CN"/>
                    </w:rPr>
                    <w:t>锡及其化合物</w:t>
                  </w:r>
                </w:p>
              </w:tc>
              <w:tc>
                <w:tcPr>
                  <w:tcW w:w="1302" w:type="dxa"/>
                  <w:tcBorders>
                    <w:tl2br w:val="nil"/>
                    <w:tr2bl w:val="nil"/>
                  </w:tcBorders>
                  <w:noWrap w:val="0"/>
                  <w:vAlign w:val="center"/>
                </w:tcPr>
                <w:p w14:paraId="6069580D">
                  <w:pPr>
                    <w:pStyle w:val="37"/>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ascii="Times New Roman" w:hAnsi="Times New Roman"/>
                      <w:b w:val="0"/>
                      <w:bCs/>
                      <w:color w:val="auto"/>
                      <w:szCs w:val="21"/>
                    </w:rPr>
                  </w:pPr>
                  <w:r>
                    <w:rPr>
                      <w:rFonts w:ascii="Times New Roman" w:hAnsi="Times New Roman"/>
                      <w:b w:val="0"/>
                      <w:bCs/>
                      <w:color w:val="auto"/>
                      <w:szCs w:val="21"/>
                    </w:rPr>
                    <w:t>1次/</w:t>
                  </w:r>
                  <w:r>
                    <w:rPr>
                      <w:rFonts w:hint="eastAsia" w:ascii="Times New Roman" w:hAnsi="Times New Roman"/>
                      <w:b w:val="0"/>
                      <w:bCs/>
                      <w:color w:val="auto"/>
                      <w:szCs w:val="21"/>
                    </w:rPr>
                    <w:t>半</w:t>
                  </w:r>
                  <w:r>
                    <w:rPr>
                      <w:rFonts w:ascii="Times New Roman" w:hAnsi="Times New Roman"/>
                      <w:b w:val="0"/>
                      <w:bCs/>
                      <w:color w:val="auto"/>
                      <w:szCs w:val="21"/>
                    </w:rPr>
                    <w:t>年</w:t>
                  </w:r>
                </w:p>
              </w:tc>
              <w:tc>
                <w:tcPr>
                  <w:tcW w:w="4016" w:type="dxa"/>
                  <w:vMerge w:val="continue"/>
                  <w:tcBorders>
                    <w:tl2br w:val="nil"/>
                    <w:tr2bl w:val="nil"/>
                  </w:tcBorders>
                  <w:noWrap w:val="0"/>
                  <w:vAlign w:val="center"/>
                </w:tcPr>
                <w:p w14:paraId="48D4D3A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sz w:val="21"/>
                      <w:szCs w:val="21"/>
                      <w:lang w:val="en-US" w:eastAsia="zh-CN"/>
                    </w:rPr>
                  </w:pPr>
                </w:p>
              </w:tc>
            </w:tr>
          </w:tbl>
          <w:p w14:paraId="0181744A">
            <w:pPr>
              <w:keepNext w:val="0"/>
              <w:keepLines w:val="0"/>
              <w:pageBreakBefore w:val="0"/>
              <w:widowControl w:val="0"/>
              <w:kinsoku/>
              <w:wordWrap/>
              <w:overflowPunct/>
              <w:topLinePunct w:val="0"/>
              <w:autoSpaceDE/>
              <w:autoSpaceDN/>
              <w:bidi w:val="0"/>
              <w:ind w:left="0" w:leftChars="0" w:firstLine="0" w:firstLineChars="0"/>
              <w:textAlignment w:val="auto"/>
              <w:rPr>
                <w:rFonts w:hint="default" w:ascii="Times New Roman" w:hAnsi="Times New Roman" w:cs="Times New Roman"/>
                <w:color w:val="auto"/>
                <w:lang w:val="en-US" w:eastAsia="zh-CN"/>
              </w:rPr>
            </w:pPr>
          </w:p>
        </w:tc>
      </w:tr>
      <w:tr w14:paraId="1CA99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840" w:hRule="atLeast"/>
          <w:jc w:val="center"/>
        </w:trPr>
        <w:tc>
          <w:tcPr>
            <w:tcW w:w="649" w:type="dxa"/>
            <w:tcBorders>
              <w:tl2br w:val="nil"/>
              <w:tr2bl w:val="nil"/>
            </w:tcBorders>
            <w:noWrap w:val="0"/>
            <w:tcMar>
              <w:left w:w="28" w:type="dxa"/>
              <w:right w:w="28" w:type="dxa"/>
            </w:tcMar>
            <w:vAlign w:val="center"/>
          </w:tcPr>
          <w:p w14:paraId="202EAB99">
            <w:pPr>
              <w:bidi w:val="0"/>
              <w:ind w:left="0" w:leftChars="0" w:firstLine="0" w:firstLineChars="0"/>
              <w:jc w:val="center"/>
              <w:rPr>
                <w:rFonts w:hint="default" w:ascii="Times New Roman" w:hAnsi="Times New Roman" w:cs="Times New Roman"/>
                <w:b w:val="0"/>
                <w:bCs w:val="0"/>
                <w:color w:val="auto"/>
                <w:spacing w:val="0"/>
                <w:w w:val="100"/>
                <w:position w:val="0"/>
                <w:sz w:val="21"/>
                <w:szCs w:val="21"/>
              </w:rPr>
            </w:pPr>
            <w:r>
              <w:rPr>
                <w:rFonts w:hint="eastAsia" w:ascii="宋体" w:hAnsi="宋体" w:cs="宋体"/>
                <w:b w:val="0"/>
                <w:bCs w:val="0"/>
                <w:color w:val="auto"/>
                <w:spacing w:val="0"/>
                <w:w w:val="100"/>
                <w:position w:val="0"/>
                <w:sz w:val="21"/>
                <w:szCs w:val="21"/>
              </w:rPr>
              <w:t>运营期环境影响和保护措施</w:t>
            </w:r>
          </w:p>
        </w:tc>
        <w:tc>
          <w:tcPr>
            <w:tcW w:w="9011" w:type="dxa"/>
            <w:tcBorders>
              <w:tl2br w:val="nil"/>
              <w:tr2bl w:val="nil"/>
            </w:tcBorders>
            <w:noWrap w:val="0"/>
            <w:vAlign w:val="center"/>
          </w:tcPr>
          <w:p w14:paraId="0F33B8F5">
            <w:pPr>
              <w:bidi w:val="0"/>
              <w:ind w:left="0" w:leftChars="0" w:firstLine="0" w:firstLineChars="0"/>
              <w:rPr>
                <w:rFonts w:hint="eastAsia"/>
                <w:b/>
                <w:bCs/>
                <w:color w:val="auto"/>
                <w:lang w:val="en-US" w:eastAsia="zh-CN"/>
              </w:rPr>
            </w:pPr>
            <w:r>
              <w:rPr>
                <w:rFonts w:hint="eastAsia"/>
                <w:b/>
                <w:bCs/>
                <w:color w:val="auto"/>
                <w:lang w:val="en-US" w:eastAsia="zh-CN"/>
              </w:rPr>
              <w:t>4.2 废水污染物产生情况和防治措施</w:t>
            </w:r>
          </w:p>
          <w:p w14:paraId="1D875457">
            <w:pPr>
              <w:bidi w:val="0"/>
              <w:ind w:left="0" w:leftChars="0" w:firstLine="0" w:firstLineChars="0"/>
              <w:rPr>
                <w:rFonts w:hint="default"/>
                <w:b/>
                <w:bCs/>
                <w:color w:val="auto"/>
                <w:lang w:val="en-US" w:eastAsia="zh-CN"/>
              </w:rPr>
            </w:pPr>
            <w:r>
              <w:rPr>
                <w:rFonts w:hint="eastAsia"/>
                <w:b/>
                <w:bCs/>
                <w:color w:val="auto"/>
                <w:lang w:val="en-US" w:eastAsia="zh-CN"/>
              </w:rPr>
              <w:t>4.2</w:t>
            </w:r>
            <w:r>
              <w:rPr>
                <w:rFonts w:hint="default"/>
                <w:b/>
                <w:bCs/>
                <w:color w:val="auto"/>
                <w:lang w:val="en-US" w:eastAsia="zh-CN"/>
              </w:rPr>
              <w:t>.1</w:t>
            </w:r>
            <w:r>
              <w:rPr>
                <w:rFonts w:hint="eastAsia"/>
                <w:b/>
                <w:bCs/>
                <w:color w:val="auto"/>
                <w:lang w:val="en-US" w:eastAsia="zh-CN"/>
              </w:rPr>
              <w:t xml:space="preserve"> </w:t>
            </w:r>
            <w:r>
              <w:rPr>
                <w:rFonts w:hint="default"/>
                <w:b/>
                <w:bCs/>
                <w:color w:val="auto"/>
                <w:lang w:val="en-US" w:eastAsia="zh-CN"/>
              </w:rPr>
              <w:t>废</w:t>
            </w:r>
            <w:r>
              <w:rPr>
                <w:rFonts w:hint="eastAsia"/>
                <w:b/>
                <w:bCs/>
                <w:color w:val="auto"/>
                <w:lang w:val="en-US" w:eastAsia="zh-CN"/>
              </w:rPr>
              <w:t>水</w:t>
            </w:r>
            <w:r>
              <w:rPr>
                <w:rFonts w:hint="default"/>
                <w:b/>
                <w:bCs/>
                <w:color w:val="auto"/>
                <w:lang w:val="en-US" w:eastAsia="zh-CN"/>
              </w:rPr>
              <w:t>污染源强汇总</w:t>
            </w:r>
          </w:p>
          <w:p w14:paraId="51B17B38">
            <w:pPr>
              <w:keepLines w:val="0"/>
              <w:pageBreakBefore w:val="0"/>
              <w:wordWrap/>
              <w:topLinePunct w:val="0"/>
              <w:bidi w:val="0"/>
              <w:adjustRightInd w:val="0"/>
              <w:snapToGrid w:val="0"/>
              <w:ind w:firstLine="480"/>
              <w:textAlignment w:val="auto"/>
              <w:rPr>
                <w:rFonts w:hint="eastAsia"/>
                <w:color w:val="auto"/>
                <w:sz w:val="24"/>
                <w:szCs w:val="24"/>
                <w:lang w:val="en-US" w:eastAsia="zh-CN"/>
              </w:rPr>
            </w:pPr>
            <w:r>
              <w:rPr>
                <w:rFonts w:hint="eastAsia"/>
                <w:color w:val="auto"/>
                <w:sz w:val="24"/>
                <w:szCs w:val="24"/>
                <w:lang w:val="en-US" w:eastAsia="zh-CN"/>
              </w:rPr>
              <w:t>本项目废水主要为</w:t>
            </w:r>
            <w:r>
              <w:rPr>
                <w:rFonts w:hint="eastAsia"/>
                <w:color w:val="auto"/>
                <w:szCs w:val="22"/>
                <w:lang w:val="en-US" w:eastAsia="zh-CN"/>
              </w:rPr>
              <w:t>空压系统冷凝水和生活污水</w:t>
            </w:r>
            <w:r>
              <w:rPr>
                <w:rFonts w:hint="eastAsia"/>
                <w:color w:val="auto"/>
                <w:sz w:val="24"/>
                <w:szCs w:val="24"/>
                <w:lang w:val="en-US" w:eastAsia="zh-CN"/>
              </w:rPr>
              <w:t>。</w:t>
            </w:r>
          </w:p>
          <w:p w14:paraId="6D108530">
            <w:pPr>
              <w:bidi w:val="0"/>
              <w:rPr>
                <w:rFonts w:hint="eastAsia"/>
                <w:color w:val="auto"/>
                <w:sz w:val="24"/>
                <w:szCs w:val="24"/>
                <w:lang w:val="en-US" w:eastAsia="zh-CN"/>
              </w:rPr>
            </w:pPr>
            <w:r>
              <w:rPr>
                <w:rFonts w:hint="eastAsia"/>
                <w:color w:val="auto"/>
                <w:sz w:val="24"/>
                <w:szCs w:val="24"/>
                <w:lang w:val="en-US" w:eastAsia="zh-CN"/>
              </w:rPr>
              <w:t>（1）生活污水</w:t>
            </w:r>
          </w:p>
          <w:p w14:paraId="696641A8">
            <w:pPr>
              <w:rPr>
                <w:color w:val="auto"/>
                <w:kern w:val="0"/>
                <w:sz w:val="24"/>
                <w:szCs w:val="24"/>
              </w:rPr>
            </w:pPr>
            <w:r>
              <w:rPr>
                <w:color w:val="auto"/>
                <w:szCs w:val="21"/>
              </w:rPr>
              <w:t>本项目劳动定员</w:t>
            </w:r>
            <w:r>
              <w:rPr>
                <w:rFonts w:hint="eastAsia"/>
                <w:color w:val="auto"/>
                <w:szCs w:val="21"/>
                <w:lang w:val="en-US" w:eastAsia="zh-CN"/>
              </w:rPr>
              <w:t>20</w:t>
            </w:r>
            <w:r>
              <w:rPr>
                <w:color w:val="auto"/>
                <w:szCs w:val="21"/>
              </w:rPr>
              <w:t>人，年生产时间为</w:t>
            </w:r>
            <w:r>
              <w:rPr>
                <w:rFonts w:hint="eastAsia"/>
                <w:color w:val="auto"/>
                <w:szCs w:val="21"/>
                <w:lang w:val="en-US" w:eastAsia="zh-CN"/>
              </w:rPr>
              <w:t>33</w:t>
            </w:r>
            <w:r>
              <w:rPr>
                <w:color w:val="auto"/>
                <w:szCs w:val="21"/>
              </w:rPr>
              <w:t>0天。</w:t>
            </w:r>
            <w:r>
              <w:rPr>
                <w:rFonts w:hint="default" w:ascii="Times New Roman" w:hAnsi="Times New Roman" w:eastAsia="宋体" w:cs="Times New Roman"/>
                <w:color w:val="auto"/>
                <w:kern w:val="2"/>
                <w:sz w:val="24"/>
                <w:szCs w:val="24"/>
                <w:lang w:val="en-US" w:eastAsia="zh-CN" w:bidi="ar-SA"/>
              </w:rPr>
              <w:t>根据《安徽省行业用水定额》（DB34/T679-20</w:t>
            </w:r>
            <w:r>
              <w:rPr>
                <w:rFonts w:hint="default" w:ascii="Times New Roman" w:hAnsi="Times New Roman" w:cs="Times New Roman"/>
                <w:color w:val="auto"/>
                <w:kern w:val="2"/>
                <w:sz w:val="24"/>
                <w:szCs w:val="24"/>
                <w:lang w:val="en-US" w:eastAsia="zh-CN" w:bidi="ar-SA"/>
              </w:rPr>
              <w:t>25</w:t>
            </w:r>
            <w:r>
              <w:rPr>
                <w:rFonts w:hint="default" w:ascii="Times New Roman" w:hAnsi="Times New Roman" w:eastAsia="宋体" w:cs="Times New Roman"/>
                <w:color w:val="auto"/>
                <w:kern w:val="2"/>
                <w:sz w:val="24"/>
                <w:szCs w:val="24"/>
                <w:lang w:val="en-US" w:eastAsia="zh-CN" w:bidi="ar-SA"/>
              </w:rPr>
              <w:t>），</w:t>
            </w:r>
            <w:r>
              <w:rPr>
                <w:rFonts w:hint="default" w:ascii="Times New Roman" w:hAnsi="Times New Roman" w:cs="Times New Roman"/>
                <w:color w:val="auto"/>
                <w:kern w:val="2"/>
                <w:sz w:val="24"/>
                <w:szCs w:val="24"/>
                <w:lang w:val="en-US" w:eastAsia="zh-CN" w:bidi="ar-SA"/>
              </w:rPr>
              <w:t>本项目</w:t>
            </w:r>
            <w:r>
              <w:rPr>
                <w:rFonts w:hint="default" w:ascii="Times New Roman" w:hAnsi="Times New Roman" w:eastAsia="宋体" w:cs="Times New Roman"/>
                <w:color w:val="auto"/>
                <w:kern w:val="2"/>
                <w:sz w:val="24"/>
                <w:szCs w:val="24"/>
                <w:lang w:val="en-US" w:eastAsia="zh-CN" w:bidi="ar-SA"/>
              </w:rPr>
              <w:t>用水定额</w:t>
            </w:r>
            <w:r>
              <w:rPr>
                <w:rFonts w:hint="default" w:ascii="Times New Roman" w:hAnsi="Times New Roman" w:cs="Times New Roman"/>
                <w:color w:val="auto"/>
                <w:kern w:val="2"/>
                <w:sz w:val="24"/>
                <w:szCs w:val="24"/>
                <w:lang w:val="en-US" w:eastAsia="zh-CN" w:bidi="ar-SA"/>
              </w:rPr>
              <w:t>参考S96城镇居民生活用水200L</w:t>
            </w:r>
            <w:r>
              <w:rPr>
                <w:rFonts w:hint="default" w:ascii="Times New Roman" w:hAnsi="Times New Roman" w:eastAsia="宋体" w:cs="Times New Roman"/>
                <w:color w:val="auto"/>
                <w:kern w:val="2"/>
                <w:sz w:val="24"/>
                <w:szCs w:val="24"/>
                <w:lang w:val="en-US" w:eastAsia="zh-CN" w:bidi="ar-SA"/>
              </w:rPr>
              <w:t>/</w:t>
            </w:r>
            <w:r>
              <w:rPr>
                <w:rFonts w:hint="default" w:ascii="Times New Roman" w:hAnsi="Times New Roman"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人</w:t>
            </w:r>
            <w:r>
              <w:rPr>
                <w:rFonts w:hint="default" w:ascii="Times New Roman" w:hAnsi="Times New Roman" w:cs="Times New Roman"/>
                <w:color w:val="auto"/>
                <w:kern w:val="2"/>
                <w:sz w:val="24"/>
                <w:szCs w:val="24"/>
                <w:lang w:val="en-US" w:eastAsia="zh-CN" w:bidi="ar-SA"/>
              </w:rPr>
              <w:t xml:space="preserve"> d）</w:t>
            </w:r>
            <w:r>
              <w:rPr>
                <w:rFonts w:hint="default" w:ascii="Times New Roman" w:hAnsi="Times New Roman" w:eastAsia="宋体" w:cs="Times New Roman"/>
                <w:color w:val="auto"/>
                <w:kern w:val="2"/>
                <w:sz w:val="24"/>
                <w:szCs w:val="24"/>
                <w:lang w:val="en-US" w:eastAsia="zh-CN" w:bidi="ar-SA"/>
              </w:rPr>
              <w:t>，则职工用水量为</w:t>
            </w:r>
            <w:r>
              <w:rPr>
                <w:rFonts w:hint="eastAsia" w:cs="Times New Roman"/>
                <w:color w:val="auto"/>
                <w:kern w:val="2"/>
                <w:sz w:val="24"/>
                <w:szCs w:val="24"/>
                <w:lang w:val="en-US" w:eastAsia="zh-CN" w:bidi="ar-SA"/>
              </w:rPr>
              <w:t>4</w:t>
            </w:r>
            <w:r>
              <w:rPr>
                <w:rFonts w:hint="default" w:ascii="Times New Roman" w:hAnsi="Times New Roman" w:cs="Times New Roman"/>
                <w:color w:val="auto"/>
                <w:kern w:val="2"/>
                <w:sz w:val="24"/>
                <w:szCs w:val="24"/>
                <w:lang w:val="en-US" w:eastAsia="zh-CN" w:bidi="ar-SA"/>
              </w:rPr>
              <w:t>t</w:t>
            </w:r>
            <w:r>
              <w:rPr>
                <w:rFonts w:hint="default" w:ascii="Times New Roman" w:hAnsi="Times New Roman" w:eastAsia="宋体" w:cs="Times New Roman"/>
                <w:color w:val="auto"/>
                <w:kern w:val="2"/>
                <w:sz w:val="24"/>
                <w:szCs w:val="24"/>
                <w:lang w:val="en-US" w:eastAsia="zh-CN" w:bidi="ar-SA"/>
              </w:rPr>
              <w:t>/d（合</w:t>
            </w:r>
            <w:r>
              <w:rPr>
                <w:rFonts w:hint="eastAsia" w:cs="Times New Roman"/>
                <w:color w:val="auto"/>
                <w:kern w:val="2"/>
                <w:sz w:val="24"/>
                <w:szCs w:val="24"/>
                <w:lang w:val="en-US" w:eastAsia="zh-CN" w:bidi="ar-SA"/>
              </w:rPr>
              <w:t>132</w:t>
            </w:r>
            <w:r>
              <w:rPr>
                <w:rFonts w:hint="eastAsia" w:ascii="Times New Roman" w:hAnsi="Times New Roman" w:cs="Times New Roman"/>
                <w:color w:val="auto"/>
                <w:kern w:val="2"/>
                <w:sz w:val="24"/>
                <w:szCs w:val="24"/>
                <w:lang w:val="en-US" w:eastAsia="zh-CN" w:bidi="ar-SA"/>
              </w:rPr>
              <w:t>0</w:t>
            </w:r>
            <w:r>
              <w:rPr>
                <w:rFonts w:hint="default" w:ascii="Times New Roman" w:hAnsi="Times New Roman" w:eastAsia="宋体" w:cs="Times New Roman"/>
                <w:color w:val="auto"/>
                <w:kern w:val="2"/>
                <w:sz w:val="24"/>
                <w:szCs w:val="24"/>
                <w:lang w:val="en-US" w:eastAsia="zh-CN" w:bidi="ar-SA"/>
              </w:rPr>
              <w:t>t/a），污水排放系数按0.85计，则职工生活污水产生量约为</w:t>
            </w:r>
            <w:r>
              <w:rPr>
                <w:rFonts w:hint="eastAsia" w:cs="Times New Roman"/>
                <w:color w:val="auto"/>
                <w:kern w:val="2"/>
                <w:sz w:val="24"/>
                <w:szCs w:val="24"/>
                <w:lang w:val="en-US" w:eastAsia="zh-CN" w:bidi="ar-SA"/>
              </w:rPr>
              <w:t>3.4</w:t>
            </w:r>
            <w:r>
              <w:rPr>
                <w:rFonts w:hint="default" w:ascii="Times New Roman" w:hAnsi="Times New Roman" w:eastAsia="宋体" w:cs="Times New Roman"/>
                <w:color w:val="auto"/>
                <w:kern w:val="2"/>
                <w:sz w:val="24"/>
                <w:szCs w:val="24"/>
                <w:lang w:val="en-US" w:eastAsia="zh-CN" w:bidi="ar-SA"/>
              </w:rPr>
              <w:t>t/d（合</w:t>
            </w:r>
            <w:r>
              <w:rPr>
                <w:rFonts w:hint="eastAsia" w:cs="Times New Roman"/>
                <w:color w:val="auto"/>
                <w:kern w:val="2"/>
                <w:sz w:val="24"/>
                <w:szCs w:val="24"/>
                <w:lang w:val="en-US" w:eastAsia="zh-CN" w:bidi="ar-SA"/>
              </w:rPr>
              <w:t>1122</w:t>
            </w:r>
            <w:r>
              <w:rPr>
                <w:rFonts w:hint="default" w:ascii="Times New Roman" w:hAnsi="Times New Roman" w:eastAsia="宋体" w:cs="Times New Roman"/>
                <w:color w:val="auto"/>
                <w:kern w:val="2"/>
                <w:sz w:val="24"/>
                <w:szCs w:val="24"/>
                <w:lang w:val="en-US" w:eastAsia="zh-CN" w:bidi="ar-SA"/>
              </w:rPr>
              <w:t>t/a）</w:t>
            </w:r>
            <w:r>
              <w:rPr>
                <w:rFonts w:hint="eastAsia" w:ascii="Times New Roman" w:hAnsi="Times New Roman" w:eastAsia="宋体" w:cs="Times New Roman"/>
                <w:color w:val="auto"/>
                <w:kern w:val="2"/>
                <w:sz w:val="24"/>
                <w:szCs w:val="24"/>
                <w:lang w:val="en-US" w:eastAsia="zh-CN" w:bidi="ar-SA"/>
              </w:rPr>
              <w:t>。</w:t>
            </w:r>
            <w:r>
              <w:rPr>
                <w:bCs/>
                <w:color w:val="auto"/>
                <w:kern w:val="0"/>
                <w:sz w:val="24"/>
                <w:szCs w:val="24"/>
              </w:rPr>
              <w:t>根据《</w:t>
            </w:r>
            <w:r>
              <w:rPr>
                <w:color w:val="auto"/>
                <w:kern w:val="0"/>
                <w:sz w:val="24"/>
                <w:szCs w:val="24"/>
              </w:rPr>
              <w:t>排放源统计调查产排污核算方法和系数手册</w:t>
            </w:r>
            <w:r>
              <w:rPr>
                <w:bCs/>
                <w:color w:val="auto"/>
                <w:kern w:val="0"/>
                <w:sz w:val="24"/>
                <w:szCs w:val="24"/>
              </w:rPr>
              <w:t>》中</w:t>
            </w:r>
            <w:r>
              <w:rPr>
                <w:color w:val="auto"/>
                <w:sz w:val="24"/>
                <w:szCs w:val="24"/>
              </w:rPr>
              <w:t>城镇</w:t>
            </w:r>
            <w:r>
              <w:rPr>
                <w:rFonts w:hint="eastAsia"/>
                <w:color w:val="auto"/>
                <w:sz w:val="24"/>
                <w:szCs w:val="24"/>
                <w:lang w:eastAsia="zh-CN"/>
              </w:rPr>
              <w:t>生活污水</w:t>
            </w:r>
            <w:r>
              <w:rPr>
                <w:color w:val="auto"/>
                <w:sz w:val="24"/>
                <w:szCs w:val="24"/>
              </w:rPr>
              <w:t>污染物产生系数：</w:t>
            </w:r>
            <w:r>
              <w:rPr>
                <w:bCs/>
                <w:color w:val="auto"/>
                <w:kern w:val="0"/>
                <w:sz w:val="24"/>
                <w:szCs w:val="24"/>
              </w:rPr>
              <w:t>生活污水中主要污染物因子为COD、BOD</w:t>
            </w:r>
            <w:r>
              <w:rPr>
                <w:bCs/>
                <w:color w:val="auto"/>
                <w:kern w:val="0"/>
                <w:sz w:val="24"/>
                <w:szCs w:val="24"/>
                <w:vertAlign w:val="subscript"/>
              </w:rPr>
              <w:t>5</w:t>
            </w:r>
            <w:r>
              <w:rPr>
                <w:bCs/>
                <w:color w:val="auto"/>
                <w:kern w:val="0"/>
                <w:sz w:val="24"/>
                <w:szCs w:val="24"/>
              </w:rPr>
              <w:t>、SS、NH</w:t>
            </w:r>
            <w:r>
              <w:rPr>
                <w:bCs/>
                <w:color w:val="auto"/>
                <w:kern w:val="0"/>
                <w:sz w:val="24"/>
                <w:szCs w:val="24"/>
                <w:vertAlign w:val="subscript"/>
              </w:rPr>
              <w:t>3</w:t>
            </w:r>
            <w:r>
              <w:rPr>
                <w:bCs/>
                <w:color w:val="auto"/>
                <w:kern w:val="0"/>
                <w:sz w:val="24"/>
                <w:szCs w:val="24"/>
              </w:rPr>
              <w:t>-N</w:t>
            </w:r>
            <w:r>
              <w:rPr>
                <w:rFonts w:hint="eastAsia"/>
                <w:bCs/>
                <w:color w:val="auto"/>
                <w:kern w:val="0"/>
                <w:sz w:val="24"/>
                <w:szCs w:val="24"/>
              </w:rPr>
              <w:t>、TP</w:t>
            </w:r>
            <w:r>
              <w:rPr>
                <w:bCs/>
                <w:color w:val="auto"/>
                <w:kern w:val="0"/>
                <w:sz w:val="24"/>
                <w:szCs w:val="24"/>
              </w:rPr>
              <w:t>等，</w:t>
            </w:r>
            <w:r>
              <w:rPr>
                <w:color w:val="auto"/>
                <w:kern w:val="0"/>
                <w:sz w:val="24"/>
                <w:szCs w:val="24"/>
              </w:rPr>
              <w:t>其主要污染物产生量及浓度为：COD：</w:t>
            </w:r>
            <w:r>
              <w:rPr>
                <w:rFonts w:hint="eastAsia"/>
                <w:color w:val="auto"/>
                <w:kern w:val="0"/>
                <w:sz w:val="24"/>
                <w:szCs w:val="24"/>
                <w:lang w:val="en-US" w:eastAsia="zh-CN"/>
              </w:rPr>
              <w:t>0.3815</w:t>
            </w:r>
            <w:r>
              <w:rPr>
                <w:color w:val="auto"/>
                <w:kern w:val="0"/>
                <w:sz w:val="24"/>
                <w:szCs w:val="24"/>
              </w:rPr>
              <w:t>t/a（340mg/L）、BOD</w:t>
            </w:r>
            <w:r>
              <w:rPr>
                <w:color w:val="auto"/>
                <w:kern w:val="0"/>
                <w:sz w:val="24"/>
                <w:szCs w:val="24"/>
                <w:vertAlign w:val="subscript"/>
              </w:rPr>
              <w:t>5</w:t>
            </w:r>
            <w:r>
              <w:rPr>
                <w:rFonts w:hint="eastAsia"/>
                <w:color w:val="auto"/>
                <w:kern w:val="0"/>
                <w:sz w:val="24"/>
                <w:szCs w:val="24"/>
                <w:vertAlign w:val="baseline"/>
                <w:lang w:val="en-US" w:eastAsia="zh-CN"/>
              </w:rPr>
              <w:t>：</w:t>
            </w:r>
            <w:r>
              <w:rPr>
                <w:color w:val="auto"/>
                <w:kern w:val="0"/>
                <w:sz w:val="24"/>
                <w:szCs w:val="24"/>
              </w:rPr>
              <w:t>0.</w:t>
            </w:r>
            <w:r>
              <w:rPr>
                <w:rFonts w:hint="eastAsia"/>
                <w:color w:val="auto"/>
                <w:kern w:val="0"/>
                <w:sz w:val="24"/>
                <w:szCs w:val="24"/>
                <w:lang w:val="en-US" w:eastAsia="zh-CN"/>
              </w:rPr>
              <w:t>2244</w:t>
            </w:r>
            <w:r>
              <w:rPr>
                <w:color w:val="auto"/>
                <w:kern w:val="0"/>
                <w:sz w:val="24"/>
                <w:szCs w:val="24"/>
              </w:rPr>
              <w:t>t/a（200mg/L）、NH</w:t>
            </w:r>
            <w:r>
              <w:rPr>
                <w:color w:val="auto"/>
                <w:kern w:val="0"/>
                <w:sz w:val="24"/>
                <w:szCs w:val="24"/>
                <w:vertAlign w:val="subscript"/>
              </w:rPr>
              <w:t>3</w:t>
            </w:r>
            <w:r>
              <w:rPr>
                <w:color w:val="auto"/>
                <w:kern w:val="0"/>
                <w:sz w:val="24"/>
                <w:szCs w:val="24"/>
              </w:rPr>
              <w:t>-N：0.</w:t>
            </w:r>
            <w:r>
              <w:rPr>
                <w:rFonts w:hint="eastAsia"/>
                <w:color w:val="auto"/>
                <w:kern w:val="0"/>
                <w:sz w:val="24"/>
                <w:szCs w:val="24"/>
                <w:lang w:val="en-US" w:eastAsia="zh-CN"/>
              </w:rPr>
              <w:t>0366t/</w:t>
            </w:r>
            <w:r>
              <w:rPr>
                <w:color w:val="auto"/>
                <w:kern w:val="0"/>
                <w:sz w:val="24"/>
                <w:szCs w:val="24"/>
              </w:rPr>
              <w:t>a（32.6mg/L）、SS：0.</w:t>
            </w:r>
            <w:r>
              <w:rPr>
                <w:rFonts w:hint="eastAsia"/>
                <w:color w:val="auto"/>
                <w:kern w:val="0"/>
                <w:sz w:val="24"/>
                <w:szCs w:val="24"/>
                <w:lang w:val="en-US" w:eastAsia="zh-CN"/>
              </w:rPr>
              <w:t>2244</w:t>
            </w:r>
            <w:r>
              <w:rPr>
                <w:color w:val="auto"/>
                <w:kern w:val="0"/>
                <w:sz w:val="24"/>
                <w:szCs w:val="24"/>
              </w:rPr>
              <w:t>t/a（200mgL）</w:t>
            </w:r>
            <w:r>
              <w:rPr>
                <w:bCs/>
                <w:color w:val="auto"/>
                <w:kern w:val="0"/>
                <w:sz w:val="24"/>
                <w:szCs w:val="24"/>
              </w:rPr>
              <w:t>。</w:t>
            </w:r>
            <w:r>
              <w:rPr>
                <w:rFonts w:hint="eastAsia"/>
                <w:color w:val="auto"/>
                <w:kern w:val="0"/>
                <w:sz w:val="24"/>
                <w:szCs w:val="24"/>
                <w:lang w:eastAsia="zh-CN"/>
              </w:rPr>
              <w:t>本项目</w:t>
            </w:r>
            <w:r>
              <w:rPr>
                <w:color w:val="auto"/>
                <w:kern w:val="0"/>
                <w:sz w:val="24"/>
                <w:szCs w:val="24"/>
              </w:rPr>
              <w:t>生活污水经化粪池预处理后</w:t>
            </w:r>
            <w:r>
              <w:rPr>
                <w:rFonts w:hint="default" w:ascii="Times New Roman" w:hAnsi="Times New Roman" w:cs="Times New Roman"/>
                <w:color w:val="auto"/>
              </w:rPr>
              <w:t>达到</w:t>
            </w:r>
            <w:r>
              <w:rPr>
                <w:rFonts w:hint="eastAsia" w:cs="Times New Roman"/>
                <w:color w:val="auto"/>
                <w:lang w:val="en-US" w:eastAsia="zh-CN"/>
              </w:rPr>
              <w:t>青阳县</w:t>
            </w:r>
            <w:r>
              <w:rPr>
                <w:rFonts w:hint="default" w:ascii="Times New Roman" w:hAnsi="Times New Roman" w:cs="Times New Roman"/>
                <w:color w:val="auto"/>
              </w:rPr>
              <w:t>污水处理厂接管</w:t>
            </w:r>
            <w:r>
              <w:rPr>
                <w:rFonts w:hint="eastAsia" w:cs="Times New Roman"/>
                <w:color w:val="auto"/>
                <w:lang w:val="en-US" w:eastAsia="zh-CN"/>
              </w:rPr>
              <w:t>限值</w:t>
            </w:r>
            <w:r>
              <w:rPr>
                <w:rFonts w:hint="default" w:ascii="Times New Roman" w:hAnsi="Times New Roman" w:cs="Times New Roman"/>
                <w:color w:val="auto"/>
              </w:rPr>
              <w:t>及《污水综合排放标准》（GB8978-1996）中三级标准</w:t>
            </w:r>
            <w:r>
              <w:rPr>
                <w:rFonts w:hint="default" w:ascii="Times New Roman" w:hAnsi="Times New Roman" w:cs="Times New Roman"/>
                <w:color w:val="auto"/>
                <w:lang w:eastAsia="zh-CN"/>
              </w:rPr>
              <w:t>，</w:t>
            </w:r>
            <w:r>
              <w:rPr>
                <w:rFonts w:hint="default" w:ascii="Times New Roman" w:hAnsi="Times New Roman" w:cs="Times New Roman"/>
                <w:color w:val="auto"/>
              </w:rPr>
              <w:t>由市政污水管网进入</w:t>
            </w:r>
            <w:r>
              <w:rPr>
                <w:rFonts w:hint="eastAsia" w:cs="Times New Roman"/>
                <w:color w:val="auto"/>
                <w:lang w:val="en-US" w:eastAsia="zh-CN"/>
              </w:rPr>
              <w:t>青阳县</w:t>
            </w:r>
            <w:r>
              <w:rPr>
                <w:rFonts w:hint="default" w:ascii="Times New Roman" w:hAnsi="Times New Roman" w:cs="Times New Roman"/>
                <w:color w:val="auto"/>
                <w:lang w:eastAsia="zh-CN"/>
              </w:rPr>
              <w:t>污水处理厂</w:t>
            </w:r>
            <w:r>
              <w:rPr>
                <w:rFonts w:hint="default" w:ascii="Times New Roman" w:hAnsi="Times New Roman" w:cs="Times New Roman"/>
                <w:color w:val="auto"/>
              </w:rPr>
              <w:t>进行处理，处理达标后排入</w:t>
            </w:r>
            <w:r>
              <w:rPr>
                <w:rFonts w:hint="eastAsia" w:cs="Times New Roman"/>
                <w:color w:val="auto"/>
                <w:lang w:val="en-US" w:eastAsia="zh-CN"/>
              </w:rPr>
              <w:t>青通河</w:t>
            </w:r>
            <w:r>
              <w:rPr>
                <w:color w:val="auto"/>
                <w:kern w:val="0"/>
                <w:sz w:val="24"/>
                <w:szCs w:val="24"/>
              </w:rPr>
              <w:t>。</w:t>
            </w:r>
          </w:p>
          <w:p w14:paraId="5ABE658A">
            <w:pPr>
              <w:bidi w:val="0"/>
              <w:rPr>
                <w:rFonts w:hint="default"/>
                <w:color w:val="auto"/>
                <w:lang w:val="en-US" w:eastAsia="zh-CN"/>
              </w:rPr>
            </w:pPr>
            <w:r>
              <w:rPr>
                <w:rFonts w:hint="eastAsia"/>
                <w:color w:val="auto"/>
                <w:lang w:val="en-US" w:eastAsia="zh-CN"/>
              </w:rPr>
              <w:t>（2）空压系统冷凝水</w:t>
            </w:r>
          </w:p>
          <w:p w14:paraId="383CA7BF">
            <w:pPr>
              <w:bidi w:val="0"/>
              <w:rPr>
                <w:rFonts w:hint="default"/>
                <w:color w:val="auto"/>
                <w:lang w:val="en-US" w:eastAsia="zh-CN"/>
              </w:rPr>
            </w:pPr>
            <w:r>
              <w:rPr>
                <w:rFonts w:hint="eastAsia"/>
                <w:color w:val="auto"/>
                <w:lang w:val="en-US" w:eastAsia="zh-CN"/>
              </w:rPr>
              <w:t>本项目单台空压机冷凝水量为30582.54g/h，本项目2台空压机，每台年工作150d，每天工作8h，则空压机冷凝水量为73.398t/a。项目使用的空压机为无油三相空压机，故冷凝水不考虑石油类，污染因子为COD</w:t>
            </w:r>
            <w:r>
              <w:rPr>
                <w:color w:val="auto"/>
                <w:kern w:val="0"/>
                <w:sz w:val="24"/>
                <w:szCs w:val="24"/>
              </w:rPr>
              <w:t>：</w:t>
            </w:r>
            <w:r>
              <w:rPr>
                <w:rFonts w:hint="eastAsia"/>
                <w:color w:val="auto"/>
                <w:kern w:val="0"/>
                <w:sz w:val="24"/>
                <w:szCs w:val="24"/>
                <w:lang w:val="en-US" w:eastAsia="zh-CN"/>
              </w:rPr>
              <w:t>0.0037</w:t>
            </w:r>
            <w:r>
              <w:rPr>
                <w:color w:val="auto"/>
                <w:kern w:val="0"/>
                <w:sz w:val="24"/>
                <w:szCs w:val="24"/>
              </w:rPr>
              <w:t>t/a（</w:t>
            </w:r>
            <w:r>
              <w:rPr>
                <w:rFonts w:hint="eastAsia"/>
                <w:color w:val="auto"/>
                <w:kern w:val="0"/>
                <w:sz w:val="24"/>
                <w:szCs w:val="24"/>
                <w:lang w:val="en-US" w:eastAsia="zh-CN"/>
              </w:rPr>
              <w:t>5</w:t>
            </w:r>
            <w:r>
              <w:rPr>
                <w:color w:val="auto"/>
                <w:kern w:val="0"/>
                <w:sz w:val="24"/>
                <w:szCs w:val="24"/>
              </w:rPr>
              <w:t>0mg/L）、SS：0.</w:t>
            </w:r>
            <w:r>
              <w:rPr>
                <w:rFonts w:hint="eastAsia"/>
                <w:color w:val="auto"/>
                <w:kern w:val="0"/>
                <w:sz w:val="24"/>
                <w:szCs w:val="24"/>
                <w:lang w:val="en-US" w:eastAsia="zh-CN"/>
              </w:rPr>
              <w:t>0059</w:t>
            </w:r>
            <w:r>
              <w:rPr>
                <w:color w:val="auto"/>
                <w:kern w:val="0"/>
                <w:sz w:val="24"/>
                <w:szCs w:val="24"/>
              </w:rPr>
              <w:t>t/a（</w:t>
            </w:r>
            <w:r>
              <w:rPr>
                <w:rFonts w:hint="eastAsia"/>
                <w:color w:val="auto"/>
                <w:kern w:val="0"/>
                <w:sz w:val="24"/>
                <w:szCs w:val="24"/>
                <w:lang w:val="en-US" w:eastAsia="zh-CN"/>
              </w:rPr>
              <w:t>80</w:t>
            </w:r>
            <w:r>
              <w:rPr>
                <w:color w:val="auto"/>
                <w:kern w:val="0"/>
                <w:sz w:val="24"/>
                <w:szCs w:val="24"/>
              </w:rPr>
              <w:t>mgL）</w:t>
            </w:r>
            <w:r>
              <w:rPr>
                <w:bCs/>
                <w:color w:val="auto"/>
                <w:kern w:val="0"/>
                <w:sz w:val="24"/>
                <w:szCs w:val="24"/>
              </w:rPr>
              <w:t>。</w:t>
            </w:r>
            <w:r>
              <w:rPr>
                <w:rFonts w:hint="default" w:ascii="Times New Roman" w:hAnsi="Times New Roman" w:cs="Times New Roman"/>
                <w:color w:val="auto"/>
                <w:lang w:val="en-US" w:eastAsia="zh-CN"/>
              </w:rPr>
              <w:t>通过厂区总排口排入市政污水管网进入青阳县污水处理厂。</w:t>
            </w:r>
          </w:p>
          <w:p w14:paraId="79F0AA9E">
            <w:pPr>
              <w:bidi w:val="0"/>
              <w:rPr>
                <w:rFonts w:hint="eastAsia"/>
                <w:color w:val="auto"/>
                <w:sz w:val="24"/>
                <w:szCs w:val="24"/>
                <w:lang w:val="en-US" w:eastAsia="zh-CN"/>
              </w:rPr>
            </w:pPr>
            <w:r>
              <w:rPr>
                <w:rFonts w:hint="eastAsia"/>
                <w:color w:val="auto"/>
                <w:sz w:val="24"/>
                <w:szCs w:val="24"/>
                <w:lang w:val="en-US" w:eastAsia="zh-CN"/>
              </w:rPr>
              <w:t>综上，项目污水产排情况见表4-10。</w:t>
            </w:r>
          </w:p>
          <w:p w14:paraId="1F7484A0">
            <w:pPr>
              <w:pStyle w:val="38"/>
              <w:bidi w:val="0"/>
              <w:rPr>
                <w:rFonts w:hint="default"/>
                <w:color w:val="auto"/>
                <w:lang w:val="en-US" w:eastAsia="zh-CN"/>
              </w:rPr>
            </w:pPr>
            <w:r>
              <w:rPr>
                <w:rFonts w:hint="eastAsia"/>
                <w:color w:val="auto"/>
                <w:lang w:val="en-US" w:eastAsia="zh-CN"/>
              </w:rPr>
              <w:t>表4-10  本项目废水产排情况一览表</w:t>
            </w:r>
          </w:p>
          <w:tbl>
            <w:tblPr>
              <w:tblStyle w:val="31"/>
              <w:tblW w:w="87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
            <w:tblGrid>
              <w:gridCol w:w="1345"/>
              <w:gridCol w:w="1219"/>
              <w:gridCol w:w="1429"/>
              <w:gridCol w:w="1627"/>
              <w:gridCol w:w="1040"/>
              <w:gridCol w:w="2079"/>
            </w:tblGrid>
            <w:tr w14:paraId="61952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90" w:hRule="atLeast"/>
                <w:jc w:val="center"/>
              </w:trPr>
              <w:tc>
                <w:tcPr>
                  <w:tcW w:w="1345" w:type="dxa"/>
                  <w:vMerge w:val="restart"/>
                  <w:tcBorders>
                    <w:tl2br w:val="nil"/>
                    <w:tr2bl w:val="nil"/>
                  </w:tcBorders>
                  <w:noWrap w:val="0"/>
                  <w:vAlign w:val="center"/>
                </w:tcPr>
                <w:p w14:paraId="62D85CC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类别</w:t>
                  </w:r>
                </w:p>
              </w:tc>
              <w:tc>
                <w:tcPr>
                  <w:tcW w:w="1219" w:type="dxa"/>
                  <w:vMerge w:val="restart"/>
                  <w:tcBorders>
                    <w:tl2br w:val="nil"/>
                    <w:tr2bl w:val="nil"/>
                  </w:tcBorders>
                  <w:noWrap w:val="0"/>
                  <w:vAlign w:val="center"/>
                </w:tcPr>
                <w:p w14:paraId="38AE80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污染物名称</w:t>
                  </w:r>
                </w:p>
              </w:tc>
              <w:tc>
                <w:tcPr>
                  <w:tcW w:w="3056" w:type="dxa"/>
                  <w:gridSpan w:val="2"/>
                  <w:tcBorders>
                    <w:tl2br w:val="nil"/>
                    <w:tr2bl w:val="nil"/>
                  </w:tcBorders>
                  <w:noWrap w:val="0"/>
                  <w:vAlign w:val="center"/>
                </w:tcPr>
                <w:p w14:paraId="6A8657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lang w:eastAsia="zh-CN"/>
                    </w:rPr>
                    <w:t>产生</w:t>
                  </w:r>
                  <w:r>
                    <w:rPr>
                      <w:rFonts w:hint="default" w:ascii="Times New Roman" w:hAnsi="Times New Roman" w:cs="Times New Roman"/>
                      <w:b/>
                      <w:bCs/>
                      <w:color w:val="auto"/>
                    </w:rPr>
                    <w:t>情况</w:t>
                  </w:r>
                </w:p>
              </w:tc>
              <w:tc>
                <w:tcPr>
                  <w:tcW w:w="1040" w:type="dxa"/>
                  <w:vMerge w:val="restart"/>
                  <w:tcBorders>
                    <w:tl2br w:val="nil"/>
                    <w:tr2bl w:val="nil"/>
                  </w:tcBorders>
                  <w:noWrap w:val="0"/>
                  <w:vAlign w:val="center"/>
                </w:tcPr>
                <w:p w14:paraId="38B9B0E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处理措施</w:t>
                  </w:r>
                </w:p>
              </w:tc>
              <w:tc>
                <w:tcPr>
                  <w:tcW w:w="2079" w:type="dxa"/>
                  <w:vMerge w:val="restart"/>
                  <w:tcBorders>
                    <w:tl2br w:val="nil"/>
                    <w:tr2bl w:val="nil"/>
                  </w:tcBorders>
                  <w:noWrap w:val="0"/>
                  <w:vAlign w:val="center"/>
                </w:tcPr>
                <w:p w14:paraId="20047A9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排放标准</w:t>
                  </w:r>
                </w:p>
              </w:tc>
            </w:tr>
            <w:tr w14:paraId="6B7DE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90" w:hRule="atLeast"/>
                <w:jc w:val="center"/>
              </w:trPr>
              <w:tc>
                <w:tcPr>
                  <w:tcW w:w="1345" w:type="dxa"/>
                  <w:vMerge w:val="continue"/>
                  <w:tcBorders>
                    <w:tl2br w:val="nil"/>
                    <w:tr2bl w:val="nil"/>
                  </w:tcBorders>
                  <w:noWrap w:val="0"/>
                  <w:vAlign w:val="center"/>
                </w:tcPr>
                <w:p w14:paraId="28397A3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p>
              </w:tc>
              <w:tc>
                <w:tcPr>
                  <w:tcW w:w="1219" w:type="dxa"/>
                  <w:vMerge w:val="continue"/>
                  <w:tcBorders>
                    <w:tl2br w:val="nil"/>
                    <w:tr2bl w:val="nil"/>
                  </w:tcBorders>
                  <w:noWrap w:val="0"/>
                  <w:vAlign w:val="center"/>
                </w:tcPr>
                <w:p w14:paraId="162486D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p>
              </w:tc>
              <w:tc>
                <w:tcPr>
                  <w:tcW w:w="1429" w:type="dxa"/>
                  <w:tcBorders>
                    <w:tl2br w:val="nil"/>
                    <w:tr2bl w:val="nil"/>
                  </w:tcBorders>
                  <w:noWrap w:val="0"/>
                  <w:vAlign w:val="center"/>
                </w:tcPr>
                <w:p w14:paraId="008F4F4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浓度（mg/L）</w:t>
                  </w:r>
                </w:p>
              </w:tc>
              <w:tc>
                <w:tcPr>
                  <w:tcW w:w="1627" w:type="dxa"/>
                  <w:tcBorders>
                    <w:tl2br w:val="nil"/>
                    <w:tr2bl w:val="nil"/>
                  </w:tcBorders>
                  <w:noWrap w:val="0"/>
                  <w:vAlign w:val="center"/>
                </w:tcPr>
                <w:p w14:paraId="0936BE3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lang w:eastAsia="zh-CN"/>
                    </w:rPr>
                    <w:t>产生</w:t>
                  </w:r>
                  <w:r>
                    <w:rPr>
                      <w:rFonts w:hint="default" w:ascii="Times New Roman" w:hAnsi="Times New Roman" w:cs="Times New Roman"/>
                      <w:b/>
                      <w:bCs/>
                      <w:color w:val="auto"/>
                    </w:rPr>
                    <w:t>量（</w:t>
                  </w:r>
                  <w:r>
                    <w:rPr>
                      <w:rFonts w:hint="default" w:ascii="Times New Roman" w:hAnsi="Times New Roman" w:cs="Times New Roman"/>
                      <w:b/>
                      <w:bCs/>
                      <w:color w:val="auto"/>
                      <w:lang w:val="en-US" w:eastAsia="zh-CN"/>
                    </w:rPr>
                    <w:t>t</w:t>
                  </w:r>
                  <w:r>
                    <w:rPr>
                      <w:rFonts w:hint="default" w:ascii="Times New Roman" w:hAnsi="Times New Roman" w:cs="Times New Roman"/>
                      <w:b/>
                      <w:bCs/>
                      <w:color w:val="auto"/>
                    </w:rPr>
                    <w:t>/a）</w:t>
                  </w:r>
                </w:p>
              </w:tc>
              <w:tc>
                <w:tcPr>
                  <w:tcW w:w="1040" w:type="dxa"/>
                  <w:vMerge w:val="continue"/>
                  <w:tcBorders>
                    <w:tl2br w:val="nil"/>
                    <w:tr2bl w:val="nil"/>
                  </w:tcBorders>
                  <w:noWrap w:val="0"/>
                  <w:vAlign w:val="center"/>
                </w:tcPr>
                <w:p w14:paraId="2DF32A9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c>
                <w:tcPr>
                  <w:tcW w:w="2079" w:type="dxa"/>
                  <w:vMerge w:val="continue"/>
                  <w:tcBorders>
                    <w:tl2br w:val="nil"/>
                    <w:tr2bl w:val="nil"/>
                  </w:tcBorders>
                  <w:noWrap w:val="0"/>
                  <w:vAlign w:val="center"/>
                </w:tcPr>
                <w:p w14:paraId="58A1E70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r>
            <w:tr w14:paraId="424DA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39" w:hRule="atLeast"/>
                <w:jc w:val="center"/>
              </w:trPr>
              <w:tc>
                <w:tcPr>
                  <w:tcW w:w="1345" w:type="dxa"/>
                  <w:vMerge w:val="restart"/>
                  <w:tcBorders>
                    <w:tl2br w:val="nil"/>
                    <w:tr2bl w:val="nil"/>
                  </w:tcBorders>
                  <w:noWrap w:val="0"/>
                  <w:vAlign w:val="center"/>
                </w:tcPr>
                <w:p w14:paraId="702D57D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生活污水（</w:t>
                  </w:r>
                  <w:r>
                    <w:rPr>
                      <w:rFonts w:hint="eastAsia" w:ascii="Times New Roman" w:hAnsi="Times New Roman" w:cs="Times New Roman"/>
                      <w:b w:val="0"/>
                      <w:bCs/>
                      <w:color w:val="auto"/>
                      <w:lang w:val="en-US" w:eastAsia="zh-CN"/>
                    </w:rPr>
                    <w:t>1122</w:t>
                  </w:r>
                  <w:r>
                    <w:rPr>
                      <w:rFonts w:hint="default" w:ascii="Times New Roman" w:hAnsi="Times New Roman" w:cs="Times New Roman"/>
                      <w:b w:val="0"/>
                      <w:bCs/>
                      <w:color w:val="auto"/>
                    </w:rPr>
                    <w:t>m</w:t>
                  </w:r>
                  <w:r>
                    <w:rPr>
                      <w:rFonts w:hint="default" w:ascii="Times New Roman" w:hAnsi="Times New Roman" w:cs="Times New Roman"/>
                      <w:b w:val="0"/>
                      <w:bCs/>
                      <w:color w:val="auto"/>
                      <w:vertAlign w:val="superscript"/>
                    </w:rPr>
                    <w:t>3</w:t>
                  </w:r>
                  <w:r>
                    <w:rPr>
                      <w:rFonts w:hint="default" w:ascii="Times New Roman" w:hAnsi="Times New Roman" w:cs="Times New Roman"/>
                      <w:b w:val="0"/>
                      <w:bCs/>
                      <w:color w:val="auto"/>
                    </w:rPr>
                    <w:t>/a）</w:t>
                  </w:r>
                </w:p>
              </w:tc>
              <w:tc>
                <w:tcPr>
                  <w:tcW w:w="1219" w:type="dxa"/>
                  <w:tcBorders>
                    <w:tl2br w:val="nil"/>
                    <w:tr2bl w:val="nil"/>
                  </w:tcBorders>
                  <w:noWrap w:val="0"/>
                  <w:vAlign w:val="center"/>
                </w:tcPr>
                <w:p w14:paraId="68B25D7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pH（无量纲）</w:t>
                  </w:r>
                </w:p>
              </w:tc>
              <w:tc>
                <w:tcPr>
                  <w:tcW w:w="1429" w:type="dxa"/>
                  <w:tcBorders>
                    <w:tl2br w:val="nil"/>
                    <w:tr2bl w:val="nil"/>
                  </w:tcBorders>
                  <w:noWrap w:val="0"/>
                  <w:vAlign w:val="center"/>
                </w:tcPr>
                <w:p w14:paraId="1716D2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1627" w:type="dxa"/>
                  <w:tcBorders>
                    <w:tl2br w:val="nil"/>
                    <w:tr2bl w:val="nil"/>
                  </w:tcBorders>
                  <w:noWrap w:val="0"/>
                  <w:vAlign w:val="center"/>
                </w:tcPr>
                <w:p w14:paraId="569ADE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6~9</w:t>
                  </w:r>
                </w:p>
              </w:tc>
              <w:tc>
                <w:tcPr>
                  <w:tcW w:w="1040" w:type="dxa"/>
                  <w:vMerge w:val="restart"/>
                  <w:tcBorders>
                    <w:tl2br w:val="nil"/>
                    <w:tr2bl w:val="nil"/>
                  </w:tcBorders>
                  <w:noWrap w:val="0"/>
                  <w:vAlign w:val="center"/>
                </w:tcPr>
                <w:p w14:paraId="6388CEB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eastAsia="zh-CN"/>
                    </w:rPr>
                    <w:t>依托厂房已建化粪池预处理</w:t>
                  </w:r>
                </w:p>
              </w:tc>
              <w:tc>
                <w:tcPr>
                  <w:tcW w:w="2079" w:type="dxa"/>
                  <w:vMerge w:val="restart"/>
                  <w:tcBorders>
                    <w:tl2br w:val="nil"/>
                    <w:tr2bl w:val="nil"/>
                  </w:tcBorders>
                  <w:noWrap w:val="0"/>
                  <w:vAlign w:val="center"/>
                </w:tcPr>
                <w:p w14:paraId="5CE327F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满足</w:t>
                  </w:r>
                  <w:r>
                    <w:rPr>
                      <w:rFonts w:hint="eastAsia" w:ascii="Times New Roman" w:hAnsi="Times New Roman" w:cs="Times New Roman"/>
                      <w:b w:val="0"/>
                      <w:bCs/>
                      <w:color w:val="auto"/>
                      <w:lang w:val="en-US" w:eastAsia="zh-CN"/>
                    </w:rPr>
                    <w:t>青阳县</w:t>
                  </w:r>
                  <w:r>
                    <w:rPr>
                      <w:rFonts w:hint="default" w:ascii="Times New Roman" w:hAnsi="Times New Roman" w:cs="Times New Roman"/>
                      <w:b w:val="0"/>
                      <w:bCs/>
                      <w:color w:val="auto"/>
                      <w:lang w:eastAsia="zh-CN"/>
                    </w:rPr>
                    <w:t>污水处理厂接管</w:t>
                  </w:r>
                  <w:r>
                    <w:rPr>
                      <w:rFonts w:hint="eastAsia" w:ascii="Times New Roman" w:hAnsi="Times New Roman" w:cs="Times New Roman"/>
                      <w:b w:val="0"/>
                      <w:bCs/>
                      <w:color w:val="auto"/>
                      <w:lang w:val="en-US" w:eastAsia="zh-CN"/>
                    </w:rPr>
                    <w:t>限值</w:t>
                  </w:r>
                  <w:r>
                    <w:rPr>
                      <w:rFonts w:hint="default" w:ascii="Times New Roman" w:hAnsi="Times New Roman" w:cs="Times New Roman"/>
                      <w:b w:val="0"/>
                      <w:bCs/>
                      <w:color w:val="auto"/>
                      <w:lang w:eastAsia="zh-CN"/>
                    </w:rPr>
                    <w:t>及《污水综合排放标准》（GB8978-1996）中三级标准</w:t>
                  </w:r>
                  <w:r>
                    <w:rPr>
                      <w:rFonts w:hint="eastAsia" w:ascii="Times New Roman" w:hAnsi="Times New Roman" w:cs="Times New Roman"/>
                      <w:b w:val="0"/>
                      <w:bCs/>
                      <w:color w:val="auto"/>
                      <w:lang w:eastAsia="zh-CN"/>
                    </w:rPr>
                    <w:t>。</w:t>
                  </w:r>
                </w:p>
              </w:tc>
            </w:tr>
            <w:tr w14:paraId="6F362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39" w:hRule="atLeast"/>
                <w:jc w:val="center"/>
              </w:trPr>
              <w:tc>
                <w:tcPr>
                  <w:tcW w:w="1345" w:type="dxa"/>
                  <w:vMerge w:val="continue"/>
                  <w:tcBorders>
                    <w:tl2br w:val="nil"/>
                    <w:tr2bl w:val="nil"/>
                  </w:tcBorders>
                  <w:noWrap w:val="0"/>
                  <w:vAlign w:val="center"/>
                </w:tcPr>
                <w:p w14:paraId="7214B8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1219" w:type="dxa"/>
                  <w:tcBorders>
                    <w:tl2br w:val="nil"/>
                    <w:tr2bl w:val="nil"/>
                  </w:tcBorders>
                  <w:noWrap w:val="0"/>
                  <w:vAlign w:val="center"/>
                </w:tcPr>
                <w:p w14:paraId="150C388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COD</w:t>
                  </w:r>
                </w:p>
              </w:tc>
              <w:tc>
                <w:tcPr>
                  <w:tcW w:w="1429" w:type="dxa"/>
                  <w:tcBorders>
                    <w:tl2br w:val="nil"/>
                    <w:tr2bl w:val="nil"/>
                  </w:tcBorders>
                  <w:noWrap w:val="0"/>
                  <w:vAlign w:val="center"/>
                </w:tcPr>
                <w:p w14:paraId="2EFFC9B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340</w:t>
                  </w:r>
                </w:p>
              </w:tc>
              <w:tc>
                <w:tcPr>
                  <w:tcW w:w="1627" w:type="dxa"/>
                  <w:tcBorders>
                    <w:tl2br w:val="nil"/>
                    <w:tr2bl w:val="nil"/>
                  </w:tcBorders>
                  <w:noWrap w:val="0"/>
                  <w:vAlign w:val="center"/>
                </w:tcPr>
                <w:p w14:paraId="3637A2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0.3815</w:t>
                  </w:r>
                </w:p>
              </w:tc>
              <w:tc>
                <w:tcPr>
                  <w:tcW w:w="1040" w:type="dxa"/>
                  <w:vMerge w:val="continue"/>
                  <w:tcBorders>
                    <w:tl2br w:val="nil"/>
                    <w:tr2bl w:val="nil"/>
                  </w:tcBorders>
                  <w:noWrap w:val="0"/>
                  <w:vAlign w:val="center"/>
                </w:tcPr>
                <w:p w14:paraId="0CAA7B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c>
                <w:tcPr>
                  <w:tcW w:w="2079" w:type="dxa"/>
                  <w:vMerge w:val="continue"/>
                  <w:tcBorders>
                    <w:tl2br w:val="nil"/>
                    <w:tr2bl w:val="nil"/>
                  </w:tcBorders>
                  <w:noWrap w:val="0"/>
                  <w:vAlign w:val="center"/>
                </w:tcPr>
                <w:p w14:paraId="369688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r>
            <w:tr w14:paraId="76A57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39" w:hRule="atLeast"/>
                <w:jc w:val="center"/>
              </w:trPr>
              <w:tc>
                <w:tcPr>
                  <w:tcW w:w="1345" w:type="dxa"/>
                  <w:vMerge w:val="continue"/>
                  <w:tcBorders>
                    <w:tl2br w:val="nil"/>
                    <w:tr2bl w:val="nil"/>
                  </w:tcBorders>
                  <w:noWrap w:val="0"/>
                  <w:vAlign w:val="center"/>
                </w:tcPr>
                <w:p w14:paraId="329A586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1219" w:type="dxa"/>
                  <w:tcBorders>
                    <w:tl2br w:val="nil"/>
                    <w:tr2bl w:val="nil"/>
                  </w:tcBorders>
                  <w:noWrap w:val="0"/>
                  <w:vAlign w:val="center"/>
                </w:tcPr>
                <w:p w14:paraId="6353FED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BOD</w:t>
                  </w:r>
                  <w:r>
                    <w:rPr>
                      <w:rFonts w:hint="default" w:ascii="Times New Roman" w:hAnsi="Times New Roman" w:cs="Times New Roman"/>
                      <w:b w:val="0"/>
                      <w:bCs/>
                      <w:color w:val="auto"/>
                      <w:vertAlign w:val="subscript"/>
                    </w:rPr>
                    <w:t>5</w:t>
                  </w:r>
                </w:p>
              </w:tc>
              <w:tc>
                <w:tcPr>
                  <w:tcW w:w="1429" w:type="dxa"/>
                  <w:tcBorders>
                    <w:tl2br w:val="nil"/>
                    <w:tr2bl w:val="nil"/>
                  </w:tcBorders>
                  <w:noWrap w:val="0"/>
                  <w:vAlign w:val="center"/>
                </w:tcPr>
                <w:p w14:paraId="3B1938A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200</w:t>
                  </w:r>
                </w:p>
              </w:tc>
              <w:tc>
                <w:tcPr>
                  <w:tcW w:w="1627" w:type="dxa"/>
                  <w:tcBorders>
                    <w:tl2br w:val="nil"/>
                    <w:tr2bl w:val="nil"/>
                  </w:tcBorders>
                  <w:noWrap w:val="0"/>
                  <w:vAlign w:val="center"/>
                </w:tcPr>
                <w:p w14:paraId="323F03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0.2244</w:t>
                  </w:r>
                </w:p>
              </w:tc>
              <w:tc>
                <w:tcPr>
                  <w:tcW w:w="1040" w:type="dxa"/>
                  <w:vMerge w:val="continue"/>
                  <w:tcBorders>
                    <w:tl2br w:val="nil"/>
                    <w:tr2bl w:val="nil"/>
                  </w:tcBorders>
                  <w:noWrap w:val="0"/>
                  <w:vAlign w:val="center"/>
                </w:tcPr>
                <w:p w14:paraId="3B0C077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2079" w:type="dxa"/>
                  <w:vMerge w:val="continue"/>
                  <w:tcBorders>
                    <w:tl2br w:val="nil"/>
                    <w:tr2bl w:val="nil"/>
                  </w:tcBorders>
                  <w:noWrap w:val="0"/>
                  <w:vAlign w:val="center"/>
                </w:tcPr>
                <w:p w14:paraId="3E70AF3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r>
            <w:tr w14:paraId="6A4D1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39" w:hRule="atLeast"/>
                <w:jc w:val="center"/>
              </w:trPr>
              <w:tc>
                <w:tcPr>
                  <w:tcW w:w="1345" w:type="dxa"/>
                  <w:vMerge w:val="continue"/>
                  <w:tcBorders>
                    <w:tl2br w:val="nil"/>
                    <w:tr2bl w:val="nil"/>
                  </w:tcBorders>
                  <w:noWrap w:val="0"/>
                  <w:vAlign w:val="center"/>
                </w:tcPr>
                <w:p w14:paraId="6178D62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1219" w:type="dxa"/>
                  <w:tcBorders>
                    <w:tl2br w:val="nil"/>
                    <w:tr2bl w:val="nil"/>
                  </w:tcBorders>
                  <w:noWrap w:val="0"/>
                  <w:vAlign w:val="center"/>
                </w:tcPr>
                <w:p w14:paraId="162CD20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SS</w:t>
                  </w:r>
                </w:p>
              </w:tc>
              <w:tc>
                <w:tcPr>
                  <w:tcW w:w="1429" w:type="dxa"/>
                  <w:tcBorders>
                    <w:tl2br w:val="nil"/>
                    <w:tr2bl w:val="nil"/>
                  </w:tcBorders>
                  <w:noWrap w:val="0"/>
                  <w:vAlign w:val="center"/>
                </w:tcPr>
                <w:p w14:paraId="6F040F5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200</w:t>
                  </w:r>
                </w:p>
              </w:tc>
              <w:tc>
                <w:tcPr>
                  <w:tcW w:w="1627" w:type="dxa"/>
                  <w:tcBorders>
                    <w:tl2br w:val="nil"/>
                    <w:tr2bl w:val="nil"/>
                  </w:tcBorders>
                  <w:noWrap w:val="0"/>
                  <w:vAlign w:val="center"/>
                </w:tcPr>
                <w:p w14:paraId="41BA49B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0.2244</w:t>
                  </w:r>
                </w:p>
              </w:tc>
              <w:tc>
                <w:tcPr>
                  <w:tcW w:w="1040" w:type="dxa"/>
                  <w:vMerge w:val="continue"/>
                  <w:tcBorders>
                    <w:tl2br w:val="nil"/>
                    <w:tr2bl w:val="nil"/>
                  </w:tcBorders>
                  <w:noWrap w:val="0"/>
                  <w:vAlign w:val="center"/>
                </w:tcPr>
                <w:p w14:paraId="0E6DE92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2079" w:type="dxa"/>
                  <w:vMerge w:val="continue"/>
                  <w:tcBorders>
                    <w:tl2br w:val="nil"/>
                    <w:tr2bl w:val="nil"/>
                  </w:tcBorders>
                  <w:noWrap w:val="0"/>
                  <w:vAlign w:val="center"/>
                </w:tcPr>
                <w:p w14:paraId="79E0E9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r>
            <w:tr w14:paraId="7BE0D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39" w:hRule="atLeast"/>
                <w:jc w:val="center"/>
              </w:trPr>
              <w:tc>
                <w:tcPr>
                  <w:tcW w:w="1345" w:type="dxa"/>
                  <w:vMerge w:val="continue"/>
                  <w:tcBorders>
                    <w:tl2br w:val="nil"/>
                    <w:tr2bl w:val="nil"/>
                  </w:tcBorders>
                  <w:noWrap w:val="0"/>
                  <w:vAlign w:val="center"/>
                </w:tcPr>
                <w:p w14:paraId="4A31E9E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1219" w:type="dxa"/>
                  <w:tcBorders>
                    <w:tl2br w:val="nil"/>
                    <w:tr2bl w:val="nil"/>
                  </w:tcBorders>
                  <w:noWrap w:val="0"/>
                  <w:vAlign w:val="center"/>
                </w:tcPr>
                <w:p w14:paraId="3CE311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NH</w:t>
                  </w:r>
                  <w:r>
                    <w:rPr>
                      <w:rFonts w:hint="default" w:ascii="Times New Roman" w:hAnsi="Times New Roman" w:cs="Times New Roman"/>
                      <w:b w:val="0"/>
                      <w:bCs/>
                      <w:color w:val="auto"/>
                      <w:vertAlign w:val="subscript"/>
                    </w:rPr>
                    <w:t>3</w:t>
                  </w:r>
                  <w:r>
                    <w:rPr>
                      <w:rFonts w:hint="default" w:ascii="Times New Roman" w:hAnsi="Times New Roman" w:cs="Times New Roman"/>
                      <w:b w:val="0"/>
                      <w:bCs/>
                      <w:color w:val="auto"/>
                    </w:rPr>
                    <w:t>-N</w:t>
                  </w:r>
                </w:p>
              </w:tc>
              <w:tc>
                <w:tcPr>
                  <w:tcW w:w="1429" w:type="dxa"/>
                  <w:tcBorders>
                    <w:tl2br w:val="nil"/>
                    <w:tr2bl w:val="nil"/>
                  </w:tcBorders>
                  <w:noWrap w:val="0"/>
                  <w:vAlign w:val="center"/>
                </w:tcPr>
                <w:p w14:paraId="42A29FB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32.6</w:t>
                  </w:r>
                </w:p>
              </w:tc>
              <w:tc>
                <w:tcPr>
                  <w:tcW w:w="1627" w:type="dxa"/>
                  <w:tcBorders>
                    <w:tl2br w:val="nil"/>
                    <w:tr2bl w:val="nil"/>
                  </w:tcBorders>
                  <w:noWrap w:val="0"/>
                  <w:vAlign w:val="center"/>
                </w:tcPr>
                <w:p w14:paraId="6D948D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0.0366</w:t>
                  </w:r>
                </w:p>
              </w:tc>
              <w:tc>
                <w:tcPr>
                  <w:tcW w:w="1040" w:type="dxa"/>
                  <w:vMerge w:val="continue"/>
                  <w:tcBorders>
                    <w:tl2br w:val="nil"/>
                    <w:tr2bl w:val="nil"/>
                  </w:tcBorders>
                  <w:noWrap w:val="0"/>
                  <w:vAlign w:val="center"/>
                </w:tcPr>
                <w:p w14:paraId="5CFC89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2079" w:type="dxa"/>
                  <w:vMerge w:val="continue"/>
                  <w:tcBorders>
                    <w:tl2br w:val="nil"/>
                    <w:tr2bl w:val="nil"/>
                  </w:tcBorders>
                  <w:noWrap w:val="0"/>
                  <w:vAlign w:val="center"/>
                </w:tcPr>
                <w:p w14:paraId="008D74E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r>
            <w:tr w14:paraId="7A016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39" w:hRule="atLeast"/>
                <w:jc w:val="center"/>
              </w:trPr>
              <w:tc>
                <w:tcPr>
                  <w:tcW w:w="1345" w:type="dxa"/>
                  <w:vMerge w:val="restart"/>
                  <w:tcBorders>
                    <w:tl2br w:val="nil"/>
                    <w:tr2bl w:val="nil"/>
                  </w:tcBorders>
                  <w:noWrap w:val="0"/>
                  <w:vAlign w:val="center"/>
                </w:tcPr>
                <w:p w14:paraId="75CAEE4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空压系统冷凝水</w:t>
                  </w:r>
                  <w:r>
                    <w:rPr>
                      <w:rFonts w:hint="default" w:ascii="Times New Roman" w:hAnsi="Times New Roman" w:cs="Times New Roman"/>
                      <w:b w:val="0"/>
                      <w:bCs/>
                      <w:color w:val="auto"/>
                      <w:lang w:val="en-US" w:eastAsia="zh-CN"/>
                    </w:rPr>
                    <w:t>（</w:t>
                  </w:r>
                  <w:r>
                    <w:rPr>
                      <w:rFonts w:hint="eastAsia" w:ascii="Times New Roman" w:hAnsi="Times New Roman" w:cs="Times New Roman"/>
                      <w:b w:val="0"/>
                      <w:bCs/>
                      <w:color w:val="auto"/>
                      <w:lang w:val="en-US" w:eastAsia="zh-CN"/>
                    </w:rPr>
                    <w:t>73.398</w:t>
                  </w:r>
                  <w:r>
                    <w:rPr>
                      <w:rFonts w:hint="default" w:ascii="Times New Roman" w:hAnsi="Times New Roman" w:cs="Times New Roman"/>
                      <w:b w:val="0"/>
                      <w:bCs/>
                      <w:color w:val="auto"/>
                    </w:rPr>
                    <w:t>m</w:t>
                  </w:r>
                  <w:r>
                    <w:rPr>
                      <w:rFonts w:hint="default" w:ascii="Times New Roman" w:hAnsi="Times New Roman" w:cs="Times New Roman"/>
                      <w:b w:val="0"/>
                      <w:bCs/>
                      <w:color w:val="auto"/>
                      <w:vertAlign w:val="superscript"/>
                    </w:rPr>
                    <w:t>3</w:t>
                  </w:r>
                  <w:r>
                    <w:rPr>
                      <w:rFonts w:hint="default" w:ascii="Times New Roman" w:hAnsi="Times New Roman" w:cs="Times New Roman"/>
                      <w:b w:val="0"/>
                      <w:bCs/>
                      <w:color w:val="auto"/>
                    </w:rPr>
                    <w:t>/a</w:t>
                  </w:r>
                  <w:r>
                    <w:rPr>
                      <w:rFonts w:hint="default" w:ascii="Times New Roman" w:hAnsi="Times New Roman" w:cs="Times New Roman"/>
                      <w:b w:val="0"/>
                      <w:bCs/>
                      <w:color w:val="auto"/>
                      <w:lang w:val="en-US" w:eastAsia="zh-CN"/>
                    </w:rPr>
                    <w:t>）</w:t>
                  </w:r>
                </w:p>
              </w:tc>
              <w:tc>
                <w:tcPr>
                  <w:tcW w:w="1219" w:type="dxa"/>
                  <w:tcBorders>
                    <w:tl2br w:val="nil"/>
                    <w:tr2bl w:val="nil"/>
                  </w:tcBorders>
                  <w:noWrap w:val="0"/>
                  <w:vAlign w:val="center"/>
                </w:tcPr>
                <w:p w14:paraId="64F014D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COD</w:t>
                  </w:r>
                </w:p>
              </w:tc>
              <w:tc>
                <w:tcPr>
                  <w:tcW w:w="1429" w:type="dxa"/>
                  <w:tcBorders>
                    <w:tl2br w:val="nil"/>
                    <w:tr2bl w:val="nil"/>
                  </w:tcBorders>
                  <w:noWrap w:val="0"/>
                  <w:vAlign w:val="center"/>
                </w:tcPr>
                <w:p w14:paraId="2D21F12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50</w:t>
                  </w:r>
                </w:p>
              </w:tc>
              <w:tc>
                <w:tcPr>
                  <w:tcW w:w="1627" w:type="dxa"/>
                  <w:tcBorders>
                    <w:tl2br w:val="nil"/>
                    <w:tr2bl w:val="nil"/>
                  </w:tcBorders>
                  <w:noWrap w:val="0"/>
                  <w:vAlign w:val="center"/>
                </w:tcPr>
                <w:p w14:paraId="3A7EFD0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0.0037</w:t>
                  </w:r>
                </w:p>
              </w:tc>
              <w:tc>
                <w:tcPr>
                  <w:tcW w:w="1040" w:type="dxa"/>
                  <w:vMerge w:val="restart"/>
                  <w:tcBorders>
                    <w:tl2br w:val="nil"/>
                    <w:tr2bl w:val="nil"/>
                  </w:tcBorders>
                  <w:noWrap w:val="0"/>
                  <w:vAlign w:val="center"/>
                </w:tcPr>
                <w:p w14:paraId="4456B8C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auto"/>
                      <w:lang w:val="en-US" w:eastAsia="zh-CN"/>
                    </w:rPr>
                  </w:pPr>
                  <w:r>
                    <w:rPr>
                      <w:rFonts w:hint="eastAsia" w:ascii="Times New Roman" w:hAnsi="Times New Roman" w:cs="Times New Roman"/>
                      <w:b w:val="0"/>
                      <w:bCs/>
                      <w:color w:val="auto"/>
                      <w:lang w:val="en-US" w:eastAsia="zh-CN"/>
                    </w:rPr>
                    <w:t>/</w:t>
                  </w:r>
                </w:p>
              </w:tc>
              <w:tc>
                <w:tcPr>
                  <w:tcW w:w="2079" w:type="dxa"/>
                  <w:vMerge w:val="continue"/>
                  <w:tcBorders>
                    <w:tl2br w:val="nil"/>
                    <w:tr2bl w:val="nil"/>
                  </w:tcBorders>
                  <w:noWrap w:val="0"/>
                  <w:vAlign w:val="center"/>
                </w:tcPr>
                <w:p w14:paraId="0A79F24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r>
            <w:tr w14:paraId="23103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39" w:hRule="atLeast"/>
                <w:jc w:val="center"/>
              </w:trPr>
              <w:tc>
                <w:tcPr>
                  <w:tcW w:w="1345" w:type="dxa"/>
                  <w:vMerge w:val="continue"/>
                  <w:tcBorders>
                    <w:tl2br w:val="nil"/>
                    <w:tr2bl w:val="nil"/>
                  </w:tcBorders>
                  <w:noWrap w:val="0"/>
                  <w:vAlign w:val="center"/>
                </w:tcPr>
                <w:p w14:paraId="4A13CD8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1219" w:type="dxa"/>
                  <w:tcBorders>
                    <w:tl2br w:val="nil"/>
                    <w:tr2bl w:val="nil"/>
                  </w:tcBorders>
                  <w:noWrap w:val="0"/>
                  <w:vAlign w:val="center"/>
                </w:tcPr>
                <w:p w14:paraId="648E174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SS</w:t>
                  </w:r>
                </w:p>
              </w:tc>
              <w:tc>
                <w:tcPr>
                  <w:tcW w:w="1429" w:type="dxa"/>
                  <w:tcBorders>
                    <w:tl2br w:val="nil"/>
                    <w:tr2bl w:val="nil"/>
                  </w:tcBorders>
                  <w:noWrap w:val="0"/>
                  <w:vAlign w:val="center"/>
                </w:tcPr>
                <w:p w14:paraId="62F8852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8</w:t>
                  </w:r>
                  <w:r>
                    <w:rPr>
                      <w:rFonts w:hint="default" w:ascii="Times New Roman" w:hAnsi="Times New Roman" w:cs="Times New Roman"/>
                      <w:b w:val="0"/>
                      <w:bCs/>
                      <w:color w:val="auto"/>
                      <w:lang w:val="en-US" w:eastAsia="zh-CN"/>
                    </w:rPr>
                    <w:t>0</w:t>
                  </w:r>
                </w:p>
              </w:tc>
              <w:tc>
                <w:tcPr>
                  <w:tcW w:w="1627" w:type="dxa"/>
                  <w:tcBorders>
                    <w:tl2br w:val="nil"/>
                    <w:tr2bl w:val="nil"/>
                  </w:tcBorders>
                  <w:noWrap w:val="0"/>
                  <w:vAlign w:val="center"/>
                </w:tcPr>
                <w:p w14:paraId="3A18822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0.0059</w:t>
                  </w:r>
                </w:p>
              </w:tc>
              <w:tc>
                <w:tcPr>
                  <w:tcW w:w="1040" w:type="dxa"/>
                  <w:vMerge w:val="continue"/>
                  <w:tcBorders>
                    <w:tl2br w:val="nil"/>
                    <w:tr2bl w:val="nil"/>
                  </w:tcBorders>
                  <w:noWrap w:val="0"/>
                  <w:vAlign w:val="center"/>
                </w:tcPr>
                <w:p w14:paraId="50404CA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2079" w:type="dxa"/>
                  <w:vMerge w:val="continue"/>
                  <w:tcBorders>
                    <w:tl2br w:val="nil"/>
                    <w:tr2bl w:val="nil"/>
                  </w:tcBorders>
                  <w:noWrap w:val="0"/>
                  <w:vAlign w:val="center"/>
                </w:tcPr>
                <w:p w14:paraId="013602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r>
            <w:tr w14:paraId="4689C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90" w:hRule="atLeast"/>
                <w:jc w:val="center"/>
              </w:trPr>
              <w:tc>
                <w:tcPr>
                  <w:tcW w:w="1345" w:type="dxa"/>
                  <w:vMerge w:val="restart"/>
                  <w:tcBorders>
                    <w:tl2br w:val="nil"/>
                    <w:tr2bl w:val="nil"/>
                  </w:tcBorders>
                  <w:noWrap w:val="0"/>
                  <w:vAlign w:val="center"/>
                </w:tcPr>
                <w:p w14:paraId="35A51B9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val="0"/>
                      <w:color w:val="auto"/>
                      <w:lang w:val="en-US" w:eastAsia="zh-CN"/>
                    </w:rPr>
                  </w:pPr>
                  <w:r>
                    <w:rPr>
                      <w:rFonts w:hint="default" w:ascii="Times New Roman" w:hAnsi="Times New Roman" w:cs="Times New Roman"/>
                      <w:b/>
                      <w:bCs w:val="0"/>
                      <w:color w:val="auto"/>
                    </w:rPr>
                    <w:t>类别</w:t>
                  </w:r>
                </w:p>
              </w:tc>
              <w:tc>
                <w:tcPr>
                  <w:tcW w:w="1219" w:type="dxa"/>
                  <w:vMerge w:val="restart"/>
                  <w:tcBorders>
                    <w:tl2br w:val="nil"/>
                    <w:tr2bl w:val="nil"/>
                  </w:tcBorders>
                  <w:noWrap w:val="0"/>
                  <w:vAlign w:val="center"/>
                </w:tcPr>
                <w:p w14:paraId="6F06DEA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val="0"/>
                      <w:color w:val="auto"/>
                    </w:rPr>
                  </w:pPr>
                  <w:r>
                    <w:rPr>
                      <w:rFonts w:hint="default" w:ascii="Times New Roman" w:hAnsi="Times New Roman" w:cs="Times New Roman"/>
                      <w:b/>
                      <w:bCs w:val="0"/>
                      <w:color w:val="auto"/>
                    </w:rPr>
                    <w:t>污染物名称</w:t>
                  </w:r>
                </w:p>
              </w:tc>
              <w:tc>
                <w:tcPr>
                  <w:tcW w:w="3056" w:type="dxa"/>
                  <w:gridSpan w:val="2"/>
                  <w:tcBorders>
                    <w:tl2br w:val="nil"/>
                    <w:tr2bl w:val="nil"/>
                  </w:tcBorders>
                  <w:noWrap w:val="0"/>
                  <w:vAlign w:val="center"/>
                </w:tcPr>
                <w:p w14:paraId="6150F1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val="0"/>
                      <w:color w:val="auto"/>
                      <w:lang w:val="en-US" w:eastAsia="zh-CN"/>
                    </w:rPr>
                  </w:pPr>
                  <w:r>
                    <w:rPr>
                      <w:rFonts w:hint="default" w:ascii="Times New Roman" w:hAnsi="Times New Roman" w:cs="Times New Roman"/>
                      <w:b/>
                      <w:bCs w:val="0"/>
                      <w:color w:val="auto"/>
                      <w:lang w:eastAsia="zh-CN"/>
                    </w:rPr>
                    <w:t>排放</w:t>
                  </w:r>
                  <w:r>
                    <w:rPr>
                      <w:rFonts w:hint="default" w:ascii="Times New Roman" w:hAnsi="Times New Roman" w:cs="Times New Roman"/>
                      <w:b/>
                      <w:bCs w:val="0"/>
                      <w:color w:val="auto"/>
                    </w:rPr>
                    <w:t>情况</w:t>
                  </w:r>
                </w:p>
              </w:tc>
              <w:tc>
                <w:tcPr>
                  <w:tcW w:w="3119" w:type="dxa"/>
                  <w:gridSpan w:val="2"/>
                  <w:vMerge w:val="restart"/>
                  <w:tcBorders>
                    <w:tl2br w:val="nil"/>
                    <w:tr2bl w:val="nil"/>
                  </w:tcBorders>
                  <w:noWrap w:val="0"/>
                  <w:vAlign w:val="center"/>
                </w:tcPr>
                <w:p w14:paraId="772CE50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val="0"/>
                      <w:color w:val="auto"/>
                      <w:lang w:eastAsia="zh-CN"/>
                    </w:rPr>
                  </w:pPr>
                  <w:r>
                    <w:rPr>
                      <w:rFonts w:hint="default" w:ascii="Times New Roman" w:hAnsi="Times New Roman" w:cs="Times New Roman"/>
                      <w:b/>
                      <w:bCs w:val="0"/>
                      <w:color w:val="auto"/>
                    </w:rPr>
                    <w:t>排放标准</w:t>
                  </w:r>
                </w:p>
              </w:tc>
            </w:tr>
            <w:tr w14:paraId="49331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62" w:hRule="atLeast"/>
                <w:jc w:val="center"/>
              </w:trPr>
              <w:tc>
                <w:tcPr>
                  <w:tcW w:w="1345" w:type="dxa"/>
                  <w:vMerge w:val="continue"/>
                  <w:tcBorders>
                    <w:tl2br w:val="nil"/>
                    <w:tr2bl w:val="nil"/>
                  </w:tcBorders>
                  <w:noWrap w:val="0"/>
                  <w:vAlign w:val="center"/>
                </w:tcPr>
                <w:p w14:paraId="036C1DD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1219" w:type="dxa"/>
                  <w:vMerge w:val="continue"/>
                  <w:tcBorders>
                    <w:tl2br w:val="nil"/>
                    <w:tr2bl w:val="nil"/>
                  </w:tcBorders>
                  <w:noWrap w:val="0"/>
                  <w:vAlign w:val="center"/>
                </w:tcPr>
                <w:p w14:paraId="0937841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p>
              </w:tc>
              <w:tc>
                <w:tcPr>
                  <w:tcW w:w="1429" w:type="dxa"/>
                  <w:tcBorders>
                    <w:tl2br w:val="nil"/>
                    <w:tr2bl w:val="nil"/>
                  </w:tcBorders>
                  <w:noWrap w:val="0"/>
                  <w:vAlign w:val="center"/>
                </w:tcPr>
                <w:p w14:paraId="5B74976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val="0"/>
                      <w:color w:val="auto"/>
                    </w:rPr>
                  </w:pPr>
                  <w:r>
                    <w:rPr>
                      <w:rFonts w:hint="default" w:ascii="Times New Roman" w:hAnsi="Times New Roman" w:cs="Times New Roman"/>
                      <w:b/>
                      <w:bCs w:val="0"/>
                      <w:color w:val="auto"/>
                    </w:rPr>
                    <w:t>浓度（mg/L）</w:t>
                  </w:r>
                </w:p>
              </w:tc>
              <w:tc>
                <w:tcPr>
                  <w:tcW w:w="1627" w:type="dxa"/>
                  <w:tcBorders>
                    <w:tl2br w:val="nil"/>
                    <w:tr2bl w:val="nil"/>
                  </w:tcBorders>
                  <w:noWrap w:val="0"/>
                  <w:vAlign w:val="center"/>
                </w:tcPr>
                <w:p w14:paraId="791575C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val="0"/>
                      <w:color w:val="auto"/>
                    </w:rPr>
                  </w:pPr>
                  <w:r>
                    <w:rPr>
                      <w:rFonts w:hint="default" w:ascii="Times New Roman" w:hAnsi="Times New Roman" w:cs="Times New Roman"/>
                      <w:b/>
                      <w:bCs w:val="0"/>
                      <w:color w:val="auto"/>
                      <w:lang w:eastAsia="zh-CN"/>
                    </w:rPr>
                    <w:t>排放</w:t>
                  </w:r>
                  <w:r>
                    <w:rPr>
                      <w:rFonts w:hint="default" w:ascii="Times New Roman" w:hAnsi="Times New Roman" w:cs="Times New Roman"/>
                      <w:b/>
                      <w:bCs w:val="0"/>
                      <w:color w:val="auto"/>
                    </w:rPr>
                    <w:t>量（</w:t>
                  </w:r>
                  <w:r>
                    <w:rPr>
                      <w:rFonts w:hint="default" w:ascii="Times New Roman" w:hAnsi="Times New Roman" w:cs="Times New Roman"/>
                      <w:b/>
                      <w:bCs w:val="0"/>
                      <w:color w:val="auto"/>
                      <w:lang w:val="en-US" w:eastAsia="zh-CN"/>
                    </w:rPr>
                    <w:t>t</w:t>
                  </w:r>
                  <w:r>
                    <w:rPr>
                      <w:rFonts w:hint="default" w:ascii="Times New Roman" w:hAnsi="Times New Roman" w:cs="Times New Roman"/>
                      <w:b/>
                      <w:bCs w:val="0"/>
                      <w:color w:val="auto"/>
                    </w:rPr>
                    <w:t>/a）</w:t>
                  </w:r>
                </w:p>
              </w:tc>
              <w:tc>
                <w:tcPr>
                  <w:tcW w:w="3119" w:type="dxa"/>
                  <w:gridSpan w:val="2"/>
                  <w:vMerge w:val="continue"/>
                  <w:tcBorders>
                    <w:tl2br w:val="nil"/>
                    <w:tr2bl w:val="nil"/>
                  </w:tcBorders>
                  <w:noWrap w:val="0"/>
                  <w:vAlign w:val="center"/>
                </w:tcPr>
                <w:p w14:paraId="2A42C1C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r>
            <w:tr w14:paraId="7466C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90" w:hRule="atLeast"/>
                <w:jc w:val="center"/>
              </w:trPr>
              <w:tc>
                <w:tcPr>
                  <w:tcW w:w="1345" w:type="dxa"/>
                  <w:vMerge w:val="restart"/>
                  <w:tcBorders>
                    <w:tl2br w:val="nil"/>
                    <w:tr2bl w:val="nil"/>
                  </w:tcBorders>
                  <w:noWrap w:val="0"/>
                  <w:vAlign w:val="center"/>
                </w:tcPr>
                <w:p w14:paraId="02624B3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厂内污水总排口排放情况（</w:t>
                  </w:r>
                  <w:r>
                    <w:rPr>
                      <w:rFonts w:hint="eastAsia" w:ascii="Times New Roman" w:hAnsi="Times New Roman" w:cs="Times New Roman"/>
                      <w:b w:val="0"/>
                      <w:bCs/>
                      <w:color w:val="auto"/>
                      <w:lang w:val="en-US" w:eastAsia="zh-CN"/>
                    </w:rPr>
                    <w:t>1195.398</w:t>
                  </w:r>
                  <w:r>
                    <w:rPr>
                      <w:rFonts w:hint="default" w:ascii="Times New Roman" w:hAnsi="Times New Roman" w:cs="Times New Roman"/>
                      <w:b w:val="0"/>
                      <w:bCs/>
                      <w:color w:val="auto"/>
                    </w:rPr>
                    <w:t>m</w:t>
                  </w:r>
                  <w:r>
                    <w:rPr>
                      <w:rFonts w:hint="default" w:ascii="Times New Roman" w:hAnsi="Times New Roman" w:cs="Times New Roman"/>
                      <w:b w:val="0"/>
                      <w:bCs/>
                      <w:color w:val="auto"/>
                      <w:vertAlign w:val="superscript"/>
                    </w:rPr>
                    <w:t>3</w:t>
                  </w:r>
                  <w:r>
                    <w:rPr>
                      <w:rFonts w:hint="default" w:ascii="Times New Roman" w:hAnsi="Times New Roman" w:cs="Times New Roman"/>
                      <w:b w:val="0"/>
                      <w:bCs/>
                      <w:color w:val="auto"/>
                    </w:rPr>
                    <w:t>/a</w:t>
                  </w:r>
                  <w:r>
                    <w:rPr>
                      <w:rFonts w:hint="default" w:ascii="Times New Roman" w:hAnsi="Times New Roman" w:cs="Times New Roman"/>
                      <w:b w:val="0"/>
                      <w:bCs/>
                      <w:color w:val="auto"/>
                      <w:lang w:val="en-US" w:eastAsia="zh-CN"/>
                    </w:rPr>
                    <w:t>）</w:t>
                  </w:r>
                </w:p>
              </w:tc>
              <w:tc>
                <w:tcPr>
                  <w:tcW w:w="1219" w:type="dxa"/>
                  <w:tcBorders>
                    <w:tl2br w:val="nil"/>
                    <w:tr2bl w:val="nil"/>
                  </w:tcBorders>
                  <w:noWrap w:val="0"/>
                  <w:vAlign w:val="center"/>
                </w:tcPr>
                <w:p w14:paraId="3E178F1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lang w:val="en-US" w:eastAsia="zh-CN"/>
                    </w:rPr>
                    <w:t>pH（无量纲）</w:t>
                  </w:r>
                </w:p>
              </w:tc>
              <w:tc>
                <w:tcPr>
                  <w:tcW w:w="1429" w:type="dxa"/>
                  <w:tcBorders>
                    <w:tl2br w:val="nil"/>
                    <w:tr2bl w:val="nil"/>
                  </w:tcBorders>
                  <w:noWrap w:val="0"/>
                  <w:vAlign w:val="center"/>
                </w:tcPr>
                <w:p w14:paraId="5E03CE1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1627" w:type="dxa"/>
                  <w:tcBorders>
                    <w:tl2br w:val="nil"/>
                    <w:tr2bl w:val="nil"/>
                  </w:tcBorders>
                  <w:noWrap w:val="0"/>
                  <w:vAlign w:val="center"/>
                </w:tcPr>
                <w:p w14:paraId="634120B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6~9</w:t>
                  </w:r>
                </w:p>
              </w:tc>
              <w:tc>
                <w:tcPr>
                  <w:tcW w:w="3119" w:type="dxa"/>
                  <w:gridSpan w:val="2"/>
                  <w:vMerge w:val="restart"/>
                  <w:tcBorders>
                    <w:tl2br w:val="nil"/>
                    <w:tr2bl w:val="nil"/>
                  </w:tcBorders>
                  <w:noWrap w:val="0"/>
                  <w:vAlign w:val="center"/>
                </w:tcPr>
                <w:p w14:paraId="6A44950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rPr>
                    <w:t>满足青阳县污水处理厂接管限值及《污水综合排放标准》（GB8978-1996）中三级标准。</w:t>
                  </w:r>
                </w:p>
              </w:tc>
            </w:tr>
            <w:tr w14:paraId="33AB6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39" w:hRule="atLeast"/>
                <w:jc w:val="center"/>
              </w:trPr>
              <w:tc>
                <w:tcPr>
                  <w:tcW w:w="1345" w:type="dxa"/>
                  <w:vMerge w:val="continue"/>
                  <w:tcBorders>
                    <w:tl2br w:val="nil"/>
                    <w:tr2bl w:val="nil"/>
                  </w:tcBorders>
                  <w:noWrap w:val="0"/>
                  <w:vAlign w:val="center"/>
                </w:tcPr>
                <w:p w14:paraId="2ACB68E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c>
                <w:tcPr>
                  <w:tcW w:w="1219" w:type="dxa"/>
                  <w:tcBorders>
                    <w:tl2br w:val="nil"/>
                    <w:tr2bl w:val="nil"/>
                  </w:tcBorders>
                  <w:noWrap w:val="0"/>
                  <w:vAlign w:val="center"/>
                </w:tcPr>
                <w:p w14:paraId="01850F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COD</w:t>
                  </w:r>
                </w:p>
              </w:tc>
              <w:tc>
                <w:tcPr>
                  <w:tcW w:w="1429" w:type="dxa"/>
                  <w:tcBorders>
                    <w:tl2br w:val="nil"/>
                    <w:tr2bl w:val="nil"/>
                  </w:tcBorders>
                  <w:noWrap w:val="0"/>
                  <w:vAlign w:val="center"/>
                </w:tcPr>
                <w:p w14:paraId="3D24870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247.616</w:t>
                  </w:r>
                </w:p>
              </w:tc>
              <w:tc>
                <w:tcPr>
                  <w:tcW w:w="1627" w:type="dxa"/>
                  <w:tcBorders>
                    <w:tl2br w:val="nil"/>
                    <w:tr2bl w:val="nil"/>
                  </w:tcBorders>
                  <w:noWrap w:val="0"/>
                  <w:vAlign w:val="center"/>
                </w:tcPr>
                <w:p w14:paraId="2C32B4A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0.296</w:t>
                  </w:r>
                </w:p>
              </w:tc>
              <w:tc>
                <w:tcPr>
                  <w:tcW w:w="3119" w:type="dxa"/>
                  <w:gridSpan w:val="2"/>
                  <w:vMerge w:val="continue"/>
                  <w:tcBorders>
                    <w:tl2br w:val="nil"/>
                    <w:tr2bl w:val="nil"/>
                  </w:tcBorders>
                  <w:noWrap w:val="0"/>
                  <w:vAlign w:val="center"/>
                </w:tcPr>
                <w:p w14:paraId="75BDD59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r>
            <w:tr w14:paraId="075A6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18" w:hRule="atLeast"/>
                <w:jc w:val="center"/>
              </w:trPr>
              <w:tc>
                <w:tcPr>
                  <w:tcW w:w="1345" w:type="dxa"/>
                  <w:vMerge w:val="continue"/>
                  <w:tcBorders>
                    <w:tl2br w:val="nil"/>
                    <w:tr2bl w:val="nil"/>
                  </w:tcBorders>
                  <w:noWrap w:val="0"/>
                  <w:vAlign w:val="center"/>
                </w:tcPr>
                <w:p w14:paraId="65D3C56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c>
                <w:tcPr>
                  <w:tcW w:w="1219" w:type="dxa"/>
                  <w:tcBorders>
                    <w:tl2br w:val="nil"/>
                    <w:tr2bl w:val="nil"/>
                  </w:tcBorders>
                  <w:noWrap w:val="0"/>
                  <w:vAlign w:val="center"/>
                </w:tcPr>
                <w:p w14:paraId="004684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BOD</w:t>
                  </w:r>
                  <w:r>
                    <w:rPr>
                      <w:rFonts w:hint="default" w:ascii="Times New Roman" w:hAnsi="Times New Roman" w:cs="Times New Roman"/>
                      <w:b w:val="0"/>
                      <w:bCs/>
                      <w:color w:val="auto"/>
                      <w:vertAlign w:val="subscript"/>
                    </w:rPr>
                    <w:t>5</w:t>
                  </w:r>
                </w:p>
              </w:tc>
              <w:tc>
                <w:tcPr>
                  <w:tcW w:w="1429" w:type="dxa"/>
                  <w:tcBorders>
                    <w:tl2br w:val="nil"/>
                    <w:tr2bl w:val="nil"/>
                  </w:tcBorders>
                  <w:noWrap w:val="0"/>
                  <w:vAlign w:val="center"/>
                </w:tcPr>
                <w:p w14:paraId="75C496E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134.516</w:t>
                  </w:r>
                </w:p>
              </w:tc>
              <w:tc>
                <w:tcPr>
                  <w:tcW w:w="1627" w:type="dxa"/>
                  <w:tcBorders>
                    <w:tl2br w:val="nil"/>
                    <w:tr2bl w:val="nil"/>
                  </w:tcBorders>
                  <w:noWrap w:val="0"/>
                  <w:vAlign w:val="center"/>
                </w:tcPr>
                <w:p w14:paraId="0AAE036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0.1608</w:t>
                  </w:r>
                </w:p>
              </w:tc>
              <w:tc>
                <w:tcPr>
                  <w:tcW w:w="3119" w:type="dxa"/>
                  <w:gridSpan w:val="2"/>
                  <w:vMerge w:val="continue"/>
                  <w:tcBorders>
                    <w:tl2br w:val="nil"/>
                    <w:tr2bl w:val="nil"/>
                  </w:tcBorders>
                  <w:noWrap w:val="0"/>
                  <w:vAlign w:val="center"/>
                </w:tcPr>
                <w:p w14:paraId="2E6413F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r>
            <w:tr w14:paraId="698F9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39" w:hRule="atLeast"/>
                <w:jc w:val="center"/>
              </w:trPr>
              <w:tc>
                <w:tcPr>
                  <w:tcW w:w="1345" w:type="dxa"/>
                  <w:vMerge w:val="continue"/>
                  <w:tcBorders>
                    <w:tl2br w:val="nil"/>
                    <w:tr2bl w:val="nil"/>
                  </w:tcBorders>
                  <w:noWrap w:val="0"/>
                  <w:vAlign w:val="center"/>
                </w:tcPr>
                <w:p w14:paraId="7DACFA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c>
                <w:tcPr>
                  <w:tcW w:w="1219" w:type="dxa"/>
                  <w:tcBorders>
                    <w:tl2br w:val="nil"/>
                    <w:tr2bl w:val="nil"/>
                  </w:tcBorders>
                  <w:noWrap w:val="0"/>
                  <w:vAlign w:val="center"/>
                </w:tcPr>
                <w:p w14:paraId="4B261BA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SS</w:t>
                  </w:r>
                </w:p>
              </w:tc>
              <w:tc>
                <w:tcPr>
                  <w:tcW w:w="1429" w:type="dxa"/>
                  <w:tcBorders>
                    <w:tl2br w:val="nil"/>
                    <w:tr2bl w:val="nil"/>
                  </w:tcBorders>
                  <w:noWrap w:val="0"/>
                  <w:vAlign w:val="center"/>
                </w:tcPr>
                <w:p w14:paraId="64C9B2D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130.919</w:t>
                  </w:r>
                </w:p>
              </w:tc>
              <w:tc>
                <w:tcPr>
                  <w:tcW w:w="1627" w:type="dxa"/>
                  <w:tcBorders>
                    <w:tl2br w:val="nil"/>
                    <w:tr2bl w:val="nil"/>
                  </w:tcBorders>
                  <w:noWrap w:val="0"/>
                  <w:vAlign w:val="center"/>
                </w:tcPr>
                <w:p w14:paraId="48A40B8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0.1565</w:t>
                  </w:r>
                </w:p>
              </w:tc>
              <w:tc>
                <w:tcPr>
                  <w:tcW w:w="3119" w:type="dxa"/>
                  <w:gridSpan w:val="2"/>
                  <w:vMerge w:val="continue"/>
                  <w:tcBorders>
                    <w:tl2br w:val="nil"/>
                    <w:tr2bl w:val="nil"/>
                  </w:tcBorders>
                  <w:noWrap w:val="0"/>
                  <w:vAlign w:val="center"/>
                </w:tcPr>
                <w:p w14:paraId="7A4FEBE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r>
            <w:tr w14:paraId="3B3E1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242" w:hRule="atLeast"/>
                <w:jc w:val="center"/>
              </w:trPr>
              <w:tc>
                <w:tcPr>
                  <w:tcW w:w="1345" w:type="dxa"/>
                  <w:vMerge w:val="continue"/>
                  <w:tcBorders>
                    <w:tl2br w:val="nil"/>
                    <w:tr2bl w:val="nil"/>
                  </w:tcBorders>
                  <w:noWrap w:val="0"/>
                  <w:vAlign w:val="center"/>
                </w:tcPr>
                <w:p w14:paraId="7B38502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c>
                <w:tcPr>
                  <w:tcW w:w="1219" w:type="dxa"/>
                  <w:tcBorders>
                    <w:tl2br w:val="nil"/>
                    <w:tr2bl w:val="nil"/>
                  </w:tcBorders>
                  <w:noWrap w:val="0"/>
                  <w:vAlign w:val="center"/>
                </w:tcPr>
                <w:p w14:paraId="3F61CD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NH</w:t>
                  </w:r>
                  <w:r>
                    <w:rPr>
                      <w:rFonts w:hint="default" w:ascii="Times New Roman" w:hAnsi="Times New Roman" w:cs="Times New Roman"/>
                      <w:b w:val="0"/>
                      <w:bCs/>
                      <w:color w:val="auto"/>
                      <w:vertAlign w:val="subscript"/>
                    </w:rPr>
                    <w:t>3</w:t>
                  </w:r>
                  <w:r>
                    <w:rPr>
                      <w:rFonts w:hint="default" w:ascii="Times New Roman" w:hAnsi="Times New Roman" w:cs="Times New Roman"/>
                      <w:b w:val="0"/>
                      <w:bCs/>
                      <w:color w:val="auto"/>
                    </w:rPr>
                    <w:t>-N</w:t>
                  </w:r>
                </w:p>
              </w:tc>
              <w:tc>
                <w:tcPr>
                  <w:tcW w:w="1429" w:type="dxa"/>
                  <w:tcBorders>
                    <w:tl2br w:val="nil"/>
                    <w:tr2bl w:val="nil"/>
                  </w:tcBorders>
                  <w:noWrap w:val="0"/>
                  <w:vAlign w:val="center"/>
                </w:tcPr>
                <w:p w14:paraId="2161F93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20.579</w:t>
                  </w:r>
                </w:p>
              </w:tc>
              <w:tc>
                <w:tcPr>
                  <w:tcW w:w="1627" w:type="dxa"/>
                  <w:tcBorders>
                    <w:tl2br w:val="nil"/>
                    <w:tr2bl w:val="nil"/>
                  </w:tcBorders>
                  <w:noWrap w:val="0"/>
                  <w:vAlign w:val="center"/>
                </w:tcPr>
                <w:p w14:paraId="08086AC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0.0246</w:t>
                  </w:r>
                </w:p>
              </w:tc>
              <w:tc>
                <w:tcPr>
                  <w:tcW w:w="3119" w:type="dxa"/>
                  <w:gridSpan w:val="2"/>
                  <w:vMerge w:val="continue"/>
                  <w:tcBorders>
                    <w:tl2br w:val="nil"/>
                    <w:tr2bl w:val="nil"/>
                  </w:tcBorders>
                  <w:noWrap w:val="0"/>
                  <w:vAlign w:val="center"/>
                </w:tcPr>
                <w:p w14:paraId="00F70B1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rPr>
                  </w:pPr>
                </w:p>
              </w:tc>
            </w:tr>
          </w:tbl>
          <w:p w14:paraId="2B9DAF72">
            <w:pPr>
              <w:pStyle w:val="6"/>
              <w:bidi w:val="0"/>
              <w:spacing w:line="240" w:lineRule="auto"/>
              <w:ind w:left="0" w:leftChars="0" w:firstLine="0" w:firstLineChars="0"/>
              <w:rPr>
                <w:rFonts w:hint="eastAsia"/>
                <w:color w:val="auto"/>
                <w:sz w:val="24"/>
                <w:szCs w:val="24"/>
                <w:lang w:val="en-US" w:eastAsia="zh-CN"/>
              </w:rPr>
            </w:pPr>
          </w:p>
          <w:p w14:paraId="170F72E2">
            <w:pPr>
              <w:bidi w:val="0"/>
              <w:ind w:left="0" w:leftChars="0" w:firstLine="0" w:firstLineChars="0"/>
              <w:rPr>
                <w:rFonts w:hint="default"/>
                <w:b/>
                <w:bCs/>
                <w:color w:val="auto"/>
                <w:lang w:val="en-US" w:eastAsia="zh-CN"/>
              </w:rPr>
            </w:pPr>
            <w:r>
              <w:rPr>
                <w:rFonts w:hint="eastAsia"/>
                <w:b/>
                <w:bCs/>
                <w:color w:val="auto"/>
                <w:lang w:val="en-US" w:eastAsia="zh-CN"/>
              </w:rPr>
              <w:t>4.2</w:t>
            </w:r>
            <w:r>
              <w:rPr>
                <w:rFonts w:hint="default"/>
                <w:b/>
                <w:bCs/>
                <w:color w:val="auto"/>
                <w:lang w:val="en-US" w:eastAsia="zh-CN"/>
              </w:rPr>
              <w:t>.</w:t>
            </w:r>
            <w:r>
              <w:rPr>
                <w:rFonts w:hint="eastAsia"/>
                <w:b/>
                <w:bCs/>
                <w:color w:val="auto"/>
                <w:lang w:val="en-US" w:eastAsia="zh-CN"/>
              </w:rPr>
              <w:t xml:space="preserve">2 </w:t>
            </w:r>
            <w:r>
              <w:rPr>
                <w:rFonts w:hint="default"/>
                <w:b/>
                <w:bCs/>
                <w:color w:val="auto"/>
                <w:lang w:val="en-US" w:eastAsia="zh-CN"/>
              </w:rPr>
              <w:t>废水处理措施及可行性分析</w:t>
            </w:r>
          </w:p>
          <w:p w14:paraId="0B95A6A4">
            <w:pPr>
              <w:rPr>
                <w:rFonts w:hint="eastAsia" w:ascii="Times New Roman" w:hAnsi="Times New Roman" w:cs="Times New Roman"/>
                <w:color w:val="auto"/>
                <w:sz w:val="24"/>
                <w:szCs w:val="24"/>
                <w:lang w:val="en-US" w:eastAsia="zh-CN"/>
              </w:rPr>
            </w:pPr>
            <w:r>
              <w:rPr>
                <w:rFonts w:hint="eastAsia"/>
                <w:color w:val="auto"/>
                <w:sz w:val="24"/>
                <w:szCs w:val="24"/>
                <w:lang w:val="en-US" w:eastAsia="zh-CN"/>
              </w:rPr>
              <w:t>本项目运营期主要为空压系统冷凝水和生活污水，生活污水经化粪池预处理后满足青阳县污水处理厂接管限值（未作规定的执行《污水综合排放标准》（GB8978-1996）表4中三级标准）与空压系统冷凝水经厂区污水总排口排入市政污水管网排入青阳县污水处理厂深度处理，尾水最终排入青通河。</w:t>
            </w:r>
          </w:p>
          <w:p w14:paraId="67CD289A">
            <w:pPr>
              <w:rPr>
                <w:rFonts w:hint="default"/>
                <w:color w:val="auto"/>
                <w:sz w:val="24"/>
                <w:szCs w:val="24"/>
                <w:lang w:val="en-US" w:eastAsia="zh-CN"/>
              </w:rPr>
            </w:pPr>
            <w:r>
              <w:rPr>
                <w:rFonts w:hint="eastAsia"/>
                <w:color w:val="auto"/>
                <w:sz w:val="24"/>
                <w:szCs w:val="24"/>
                <w:lang w:val="en-US" w:eastAsia="zh-CN"/>
              </w:rPr>
              <w:t>根据上表核算，本项目污水排口排放浓度</w:t>
            </w:r>
            <w:r>
              <w:rPr>
                <w:rFonts w:hint="eastAsia"/>
                <w:b w:val="0"/>
                <w:bCs w:val="0"/>
                <w:color w:val="auto"/>
                <w:sz w:val="24"/>
                <w:szCs w:val="24"/>
                <w:lang w:eastAsia="zh-CN"/>
              </w:rPr>
              <w:t>满足青阳县污水处理厂接管限值及《污水综合排放标准》（GB8978-1996）中三级标准</w:t>
            </w:r>
            <w:r>
              <w:rPr>
                <w:rFonts w:hint="eastAsia"/>
                <w:color w:val="auto"/>
                <w:sz w:val="24"/>
                <w:szCs w:val="24"/>
                <w:lang w:val="en-US" w:eastAsia="zh-CN"/>
              </w:rPr>
              <w:t>。</w:t>
            </w:r>
          </w:p>
          <w:p w14:paraId="3AAEBC28">
            <w:pPr>
              <w:bidi w:val="0"/>
              <w:ind w:left="0" w:leftChars="0" w:firstLine="0" w:firstLineChars="0"/>
              <w:rPr>
                <w:b/>
                <w:bCs/>
                <w:color w:val="auto"/>
              </w:rPr>
            </w:pPr>
            <w:r>
              <w:rPr>
                <w:rFonts w:hint="eastAsia"/>
                <w:b/>
                <w:bCs/>
                <w:color w:val="auto"/>
                <w:lang w:val="en-US" w:eastAsia="zh-CN"/>
              </w:rPr>
              <w:t>4.</w:t>
            </w:r>
            <w:r>
              <w:rPr>
                <w:rFonts w:hint="eastAsia"/>
                <w:b/>
                <w:bCs/>
                <w:color w:val="auto"/>
              </w:rPr>
              <w:t>2.</w:t>
            </w:r>
            <w:r>
              <w:rPr>
                <w:rFonts w:hint="eastAsia"/>
                <w:b/>
                <w:bCs/>
                <w:color w:val="auto"/>
                <w:lang w:val="en-US" w:eastAsia="zh-CN"/>
              </w:rPr>
              <w:t xml:space="preserve">3 </w:t>
            </w:r>
            <w:r>
              <w:rPr>
                <w:rFonts w:hint="eastAsia"/>
                <w:b/>
                <w:bCs/>
                <w:color w:val="auto"/>
              </w:rPr>
              <w:t>纳管</w:t>
            </w:r>
            <w:r>
              <w:rPr>
                <w:b/>
                <w:bCs/>
                <w:color w:val="auto"/>
              </w:rPr>
              <w:t>可行性分析</w:t>
            </w:r>
          </w:p>
          <w:p w14:paraId="6AF7C535">
            <w:pPr>
              <w:spacing w:line="360" w:lineRule="auto"/>
              <w:ind w:firstLine="480" w:firstLineChars="200"/>
              <w:jc w:val="both"/>
              <w:rPr>
                <w:rFonts w:hint="eastAsia"/>
                <w:color w:val="auto"/>
                <w:sz w:val="24"/>
                <w:szCs w:val="24"/>
                <w:lang w:val="en-US" w:eastAsia="zh-CN"/>
              </w:rPr>
            </w:pPr>
            <w:r>
              <w:rPr>
                <w:rFonts w:hint="eastAsia"/>
                <w:color w:val="auto"/>
                <w:sz w:val="24"/>
                <w:szCs w:val="24"/>
                <w:lang w:val="en-US" w:eastAsia="zh-CN"/>
              </w:rPr>
              <w:t>本项目采用雨污分流制。生活污水经</w:t>
            </w:r>
            <w:r>
              <w:rPr>
                <w:rFonts w:hint="eastAsia"/>
                <w:color w:val="auto"/>
                <w:sz w:val="24"/>
                <w:szCs w:val="24"/>
              </w:rPr>
              <w:t>厂区</w:t>
            </w:r>
            <w:r>
              <w:rPr>
                <w:rFonts w:hint="eastAsia"/>
                <w:color w:val="auto"/>
                <w:sz w:val="24"/>
                <w:szCs w:val="24"/>
                <w:lang w:eastAsia="zh-CN"/>
              </w:rPr>
              <w:t>自建的化粪池</w:t>
            </w:r>
            <w:r>
              <w:rPr>
                <w:rFonts w:hint="eastAsia"/>
                <w:color w:val="auto"/>
                <w:sz w:val="24"/>
                <w:szCs w:val="24"/>
                <w:lang w:val="en-US" w:eastAsia="zh-CN"/>
              </w:rPr>
              <w:t>处理后与空压机冷凝水通过厂区总排口</w:t>
            </w:r>
            <w:r>
              <w:rPr>
                <w:rFonts w:hint="eastAsia" w:ascii="Times New Roman" w:hAnsi="Times New Roman" w:cs="Times New Roman"/>
                <w:color w:val="auto"/>
                <w:sz w:val="24"/>
                <w:szCs w:val="24"/>
                <w:lang w:val="en-US" w:eastAsia="zh-CN"/>
              </w:rPr>
              <w:t>进入</w:t>
            </w:r>
            <w:r>
              <w:rPr>
                <w:rFonts w:hint="eastAsia" w:cs="Times New Roman"/>
                <w:color w:val="auto"/>
                <w:sz w:val="24"/>
                <w:szCs w:val="24"/>
                <w:lang w:val="en-US" w:eastAsia="zh-CN"/>
              </w:rPr>
              <w:t>市政</w:t>
            </w:r>
            <w:r>
              <w:rPr>
                <w:rFonts w:hint="eastAsia" w:ascii="Times New Roman" w:hAnsi="Times New Roman" w:cs="Times New Roman"/>
                <w:color w:val="auto"/>
                <w:sz w:val="24"/>
                <w:szCs w:val="24"/>
                <w:lang w:val="en-US" w:eastAsia="zh-CN"/>
              </w:rPr>
              <w:t>污水管网</w:t>
            </w:r>
            <w:r>
              <w:rPr>
                <w:rFonts w:hint="eastAsia"/>
                <w:color w:val="auto"/>
                <w:sz w:val="24"/>
                <w:szCs w:val="24"/>
                <w:lang w:val="en-US" w:eastAsia="zh-CN"/>
              </w:rPr>
              <w:t>，最终经青阳县污水处理厂处理达到《城镇污水处理厂污染物排放标准》（GB18918-2002）一级A标准排放，最终排入青通河。</w:t>
            </w:r>
          </w:p>
          <w:p w14:paraId="3B287C00">
            <w:pPr>
              <w:bidi w:val="0"/>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青阳县</w:t>
            </w:r>
            <w:r>
              <w:rPr>
                <w:rFonts w:hint="default" w:ascii="Times New Roman" w:hAnsi="Times New Roman" w:cs="Times New Roman"/>
                <w:color w:val="auto"/>
                <w:lang w:eastAsia="zh-CN"/>
              </w:rPr>
              <w:t>污水处理厂</w:t>
            </w:r>
            <w:r>
              <w:rPr>
                <w:rFonts w:hint="default" w:ascii="Times New Roman" w:hAnsi="Times New Roman" w:cs="Times New Roman"/>
                <w:color w:val="auto"/>
              </w:rPr>
              <w:t>简介</w:t>
            </w:r>
          </w:p>
          <w:p w14:paraId="1299F3B3">
            <w:pPr>
              <w:bidi w:val="0"/>
              <w:rPr>
                <w:rFonts w:hint="default" w:ascii="Times New Roman" w:hAnsi="Times New Roman" w:cs="Times New Roman"/>
                <w:color w:val="auto"/>
              </w:rPr>
            </w:pPr>
            <w:r>
              <w:rPr>
                <w:rFonts w:hint="default" w:ascii="Times New Roman" w:hAnsi="Times New Roman" w:cs="Times New Roman"/>
                <w:color w:val="auto"/>
                <w:lang w:val="en-US" w:eastAsia="zh-CN"/>
              </w:rPr>
              <w:t>地理位置：</w:t>
            </w:r>
            <w:r>
              <w:rPr>
                <w:rFonts w:hint="eastAsia" w:cs="Times New Roman"/>
                <w:color w:val="auto"/>
                <w:lang w:val="en-US" w:eastAsia="zh-CN"/>
              </w:rPr>
              <w:t>青阳县</w:t>
            </w:r>
            <w:r>
              <w:rPr>
                <w:rFonts w:hint="default" w:ascii="Times New Roman" w:hAnsi="Times New Roman" w:cs="Times New Roman"/>
                <w:color w:val="auto"/>
                <w:lang w:val="en-US" w:eastAsia="zh-CN"/>
              </w:rPr>
              <w:t>污水处理厂位于青阳县县城北姚村。</w:t>
            </w:r>
          </w:p>
          <w:p w14:paraId="25FB74A4">
            <w:pPr>
              <w:bidi w:val="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处理规模：总设计规模为4万m</w:t>
            </w:r>
            <w:r>
              <w:rPr>
                <w:rFonts w:hint="default" w:ascii="Times New Roman" w:hAnsi="Times New Roman" w:cs="Times New Roman"/>
                <w:color w:val="auto"/>
                <w:vertAlign w:val="superscript"/>
                <w:lang w:val="en-US" w:eastAsia="zh-CN"/>
              </w:rPr>
              <w:t>3</w:t>
            </w:r>
            <w:r>
              <w:rPr>
                <w:rFonts w:hint="default" w:ascii="Times New Roman" w:hAnsi="Times New Roman" w:cs="Times New Roman"/>
                <w:color w:val="auto"/>
                <w:lang w:val="en-US" w:eastAsia="zh-CN"/>
              </w:rPr>
              <w:t>/d，总占地面积5.4万m</w:t>
            </w:r>
            <w:r>
              <w:rPr>
                <w:rFonts w:hint="default" w:ascii="Times New Roman" w:hAnsi="Times New Roman" w:cs="Times New Roman"/>
                <w:color w:val="auto"/>
                <w:vertAlign w:val="superscript"/>
                <w:lang w:val="en-US" w:eastAsia="zh-CN"/>
              </w:rPr>
              <w:t>2</w:t>
            </w:r>
            <w:r>
              <w:rPr>
                <w:rFonts w:hint="default" w:ascii="Times New Roman" w:hAnsi="Times New Roman" w:cs="Times New Roman"/>
                <w:color w:val="auto"/>
                <w:lang w:val="en-US" w:eastAsia="zh-CN"/>
              </w:rPr>
              <w:t>。其中，一期工程设计处理</w:t>
            </w:r>
            <w:r>
              <w:rPr>
                <w:rFonts w:hint="eastAsia" w:cs="Times New Roman"/>
                <w:color w:val="auto"/>
                <w:lang w:val="en-US" w:eastAsia="zh-CN"/>
              </w:rPr>
              <w:t>规模</w:t>
            </w:r>
            <w:r>
              <w:rPr>
                <w:rFonts w:hint="default" w:ascii="Times New Roman" w:hAnsi="Times New Roman" w:cs="Times New Roman"/>
                <w:color w:val="auto"/>
                <w:lang w:val="en-US" w:eastAsia="zh-CN"/>
              </w:rPr>
              <w:t>为2万m</w:t>
            </w:r>
            <w:r>
              <w:rPr>
                <w:rFonts w:hint="default" w:ascii="Times New Roman" w:hAnsi="Times New Roman" w:cs="Times New Roman"/>
                <w:color w:val="auto"/>
                <w:vertAlign w:val="superscript"/>
                <w:lang w:val="en-US" w:eastAsia="zh-CN"/>
              </w:rPr>
              <w:t>3</w:t>
            </w:r>
            <w:r>
              <w:rPr>
                <w:rFonts w:hint="default" w:ascii="Times New Roman" w:hAnsi="Times New Roman" w:cs="Times New Roman"/>
                <w:color w:val="auto"/>
                <w:lang w:val="en-US" w:eastAsia="zh-CN"/>
              </w:rPr>
              <w:t>/d，占地面积2.7万m</w:t>
            </w:r>
            <w:r>
              <w:rPr>
                <w:rFonts w:hint="default" w:ascii="Times New Roman" w:hAnsi="Times New Roman" w:cs="Times New Roman"/>
                <w:color w:val="auto"/>
                <w:vertAlign w:val="superscript"/>
                <w:lang w:val="en-US" w:eastAsia="zh-CN"/>
              </w:rPr>
              <w:t>2</w:t>
            </w:r>
            <w:r>
              <w:rPr>
                <w:rFonts w:hint="default" w:ascii="Times New Roman" w:hAnsi="Times New Roman" w:cs="Times New Roman"/>
                <w:color w:val="auto"/>
                <w:lang w:val="en-US" w:eastAsia="zh-CN"/>
              </w:rPr>
              <w:t>，2010年建成，2016年12月完成项目竣工环保验收；2019年7月该污水处理厂对原污水处理工艺进行提标改造，实现尾水排放达到《城镇污水处理厂污染物排放标准》（GB18918-2002）一级A排放标准，排至青通河。二期工程设计处理</w:t>
            </w:r>
            <w:r>
              <w:rPr>
                <w:rFonts w:hint="eastAsia" w:cs="Times New Roman"/>
                <w:color w:val="auto"/>
                <w:lang w:val="en-US" w:eastAsia="zh-CN"/>
              </w:rPr>
              <w:t>规模</w:t>
            </w:r>
            <w:r>
              <w:rPr>
                <w:rFonts w:hint="default" w:ascii="Times New Roman" w:hAnsi="Times New Roman" w:cs="Times New Roman"/>
                <w:color w:val="auto"/>
                <w:lang w:val="en-US" w:eastAsia="zh-CN"/>
              </w:rPr>
              <w:t>为2万m</w:t>
            </w:r>
            <w:r>
              <w:rPr>
                <w:rFonts w:hint="default" w:ascii="Times New Roman" w:hAnsi="Times New Roman" w:cs="Times New Roman"/>
                <w:color w:val="auto"/>
                <w:vertAlign w:val="superscript"/>
                <w:lang w:val="en-US" w:eastAsia="zh-CN"/>
              </w:rPr>
              <w:t>3</w:t>
            </w:r>
            <w:r>
              <w:rPr>
                <w:rFonts w:hint="default" w:ascii="Times New Roman" w:hAnsi="Times New Roman" w:cs="Times New Roman"/>
                <w:color w:val="auto"/>
                <w:lang w:val="en-US" w:eastAsia="zh-CN"/>
              </w:rPr>
              <w:t>/d，占地面积2.7万m</w:t>
            </w:r>
            <w:r>
              <w:rPr>
                <w:rFonts w:hint="default" w:ascii="Times New Roman" w:hAnsi="Times New Roman" w:cs="Times New Roman"/>
                <w:color w:val="auto"/>
                <w:vertAlign w:val="superscript"/>
                <w:lang w:val="en-US" w:eastAsia="zh-CN"/>
              </w:rPr>
              <w:t>2</w:t>
            </w:r>
            <w:r>
              <w:rPr>
                <w:rFonts w:hint="default" w:ascii="Times New Roman" w:hAnsi="Times New Roman" w:cs="Times New Roman"/>
                <w:color w:val="auto"/>
                <w:lang w:val="en-US" w:eastAsia="zh-CN"/>
              </w:rPr>
              <w:t>。</w:t>
            </w:r>
          </w:p>
          <w:p w14:paraId="555F687C">
            <w:pPr>
              <w:bidi w:val="0"/>
              <w:rPr>
                <w:rFonts w:hint="default" w:ascii="Times New Roman" w:hAnsi="Times New Roman" w:cs="Times New Roman"/>
                <w:color w:val="auto"/>
                <w:lang w:val="en-US" w:eastAsia="zh-CN"/>
              </w:rPr>
            </w:pPr>
            <w:r>
              <w:rPr>
                <w:rFonts w:hint="eastAsia" w:cs="Times New Roman"/>
                <w:color w:val="auto"/>
                <w:lang w:val="en-US" w:eastAsia="zh-CN"/>
              </w:rPr>
              <w:t>服务范围：青阳县污水处理厂设计服务范围包括青阳经济开发区。</w:t>
            </w:r>
          </w:p>
          <w:p w14:paraId="0CC6681A">
            <w:pPr>
              <w:bidi w:val="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处理工艺：青阳县污水处理厂主要采用“格栅+旋流沉砂池+A</w:t>
            </w:r>
            <w:r>
              <w:rPr>
                <w:rFonts w:hint="default" w:ascii="Times New Roman" w:hAnsi="Times New Roman" w:cs="Times New Roman"/>
                <w:color w:val="auto"/>
                <w:vertAlign w:val="superscript"/>
                <w:lang w:val="en-US" w:eastAsia="zh-CN"/>
              </w:rPr>
              <w:t>2</w:t>
            </w:r>
            <w:r>
              <w:rPr>
                <w:rFonts w:hint="default" w:ascii="Times New Roman" w:hAnsi="Times New Roman" w:cs="Times New Roman"/>
                <w:color w:val="auto"/>
                <w:lang w:val="en-US" w:eastAsia="zh-CN"/>
              </w:rPr>
              <w:t>/O氧化沟＋二沉池＋反硝化深床滤池+紫外线消毒池”为主体的污水处理工艺。</w:t>
            </w:r>
          </w:p>
          <w:p w14:paraId="05D44802">
            <w:pPr>
              <w:bidi w:val="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由城镇污水管网送来的污水首先进入</w:t>
            </w:r>
            <w:r>
              <w:rPr>
                <w:rFonts w:hint="eastAsia" w:cs="Times New Roman"/>
                <w:color w:val="auto"/>
                <w:lang w:val="en-US" w:eastAsia="zh-CN"/>
              </w:rPr>
              <w:t>污水处理厂</w:t>
            </w:r>
            <w:r>
              <w:rPr>
                <w:rFonts w:hint="default" w:ascii="Times New Roman" w:hAnsi="Times New Roman" w:cs="Times New Roman"/>
                <w:color w:val="auto"/>
                <w:lang w:val="en-US" w:eastAsia="zh-CN"/>
              </w:rPr>
              <w:t>的粗格栅井内，经粗格栅去除较大的漂浮物后，进入提升泵站的吸水井。污水经提升进入细格栅，进一步拦截和去除污水中细小悬浮物，再经过沉砂池沉砂，分离并去除污水中砂粒。</w:t>
            </w:r>
            <w:r>
              <w:rPr>
                <w:rFonts w:hint="eastAsia" w:cs="Times New Roman"/>
                <w:color w:val="auto"/>
                <w:lang w:val="en-US" w:eastAsia="zh-CN"/>
              </w:rPr>
              <w:t>沉沙池</w:t>
            </w:r>
            <w:r>
              <w:rPr>
                <w:rFonts w:hint="default" w:ascii="Times New Roman" w:hAnsi="Times New Roman" w:cs="Times New Roman"/>
                <w:color w:val="auto"/>
                <w:lang w:val="en-US" w:eastAsia="zh-CN"/>
              </w:rPr>
              <w:t>出水进入配水井，污水及回流污泥经配水井均匀配水后进入氧化沟。</w:t>
            </w:r>
          </w:p>
          <w:p w14:paraId="253E3267">
            <w:pPr>
              <w:bidi w:val="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预处理后的污水进入改良型A</w:t>
            </w:r>
            <w:r>
              <w:rPr>
                <w:rFonts w:hint="default" w:ascii="Times New Roman" w:hAnsi="Times New Roman" w:cs="Times New Roman"/>
                <w:color w:val="auto"/>
                <w:vertAlign w:val="superscript"/>
                <w:lang w:val="en-US" w:eastAsia="zh-CN"/>
              </w:rPr>
              <w:t>2</w:t>
            </w:r>
            <w:r>
              <w:rPr>
                <w:rFonts w:hint="default" w:ascii="Times New Roman" w:hAnsi="Times New Roman" w:cs="Times New Roman"/>
                <w:color w:val="auto"/>
                <w:lang w:val="en-US" w:eastAsia="zh-CN"/>
              </w:rPr>
              <w:t>/O池内。池前端为厌氧池，通过厌氧条件下生长的优势菌种，对大量工业废水中难降解的高分子长链污染物分解为小分子短链污染物，从而提高污水的可生化性，降低后续处理的负荷。</w:t>
            </w:r>
          </w:p>
          <w:p w14:paraId="2965FF71">
            <w:pPr>
              <w:bidi w:val="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厌氧处理后的污水进入缺氧-好氧区。该池中设缺氧段和好氧段、精处理段。在前端的缺氧段，大量的硝化液在缺氧状态下产生短程硝化反硝化作用，释放出氮气，起到良好的脱氮作用，可有效脱氮除磷。同时，在后端好氧的情况下，大量有机污染物也同时得到有效的去除。同时在厌氧池、氧化沟出口投加药剂进行化学除磷。</w:t>
            </w:r>
          </w:p>
          <w:p w14:paraId="2522153B">
            <w:pPr>
              <w:bidi w:val="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经过生化</w:t>
            </w:r>
            <w:r>
              <w:rPr>
                <w:rFonts w:hint="eastAsia" w:cs="Times New Roman"/>
                <w:color w:val="auto"/>
                <w:lang w:val="en-US" w:eastAsia="zh-CN"/>
              </w:rPr>
              <w:t>处理</w:t>
            </w:r>
            <w:r>
              <w:rPr>
                <w:rFonts w:hint="default" w:ascii="Times New Roman" w:hAnsi="Times New Roman" w:cs="Times New Roman"/>
                <w:color w:val="auto"/>
                <w:lang w:val="en-US" w:eastAsia="zh-CN"/>
              </w:rPr>
              <w:t>后，污水进入二沉池进行泥水分离过程，进一步降低污水中的SS污染指标。二沉池出水进入滤布滤池，滤布滤池作为整体处理的把关工序具有重要的作用；由于具有较高的过滤精度，滤布滤池能保证出水中各污染物能达标排放。滤布滤池出水经接触消毒池及紫外线杀死污水中的病菌，消毒后的污水达标排放。</w:t>
            </w:r>
          </w:p>
          <w:p w14:paraId="7BFA7CF4">
            <w:pPr>
              <w:bidi w:val="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青阳县污水处理厂工艺流程如下图所示。</w:t>
            </w:r>
          </w:p>
          <w:p w14:paraId="7758427E">
            <w:pPr>
              <w:pStyle w:val="38"/>
              <w:bidi w:val="0"/>
              <w:rPr>
                <w:rFonts w:hint="eastAsia"/>
                <w:color w:val="auto"/>
                <w:lang w:val="en-US" w:eastAsia="zh-CN"/>
              </w:rPr>
            </w:pPr>
            <w:r>
              <w:rPr>
                <w:rFonts w:hint="eastAsia" w:eastAsia="宋体"/>
                <w:color w:val="auto"/>
                <w:sz w:val="24"/>
                <w:highlight w:val="none"/>
                <w:lang w:eastAsia="zh-CN"/>
              </w:rPr>
              <w:drawing>
                <wp:anchor distT="0" distB="0" distL="114300" distR="114300" simplePos="0" relativeHeight="251663360" behindDoc="0" locked="0" layoutInCell="1" allowOverlap="1">
                  <wp:simplePos x="0" y="0"/>
                  <wp:positionH relativeFrom="column">
                    <wp:posOffset>117475</wp:posOffset>
                  </wp:positionH>
                  <wp:positionV relativeFrom="paragraph">
                    <wp:posOffset>64770</wp:posOffset>
                  </wp:positionV>
                  <wp:extent cx="5253355" cy="4373880"/>
                  <wp:effectExtent l="0" t="0" r="4445" b="7620"/>
                  <wp:wrapTopAndBottom/>
                  <wp:docPr id="3" name="图片 14" descr="170357365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4" descr="1703573653161"/>
                          <pic:cNvPicPr>
                            <a:picLocks noChangeAspect="1"/>
                          </pic:cNvPicPr>
                        </pic:nvPicPr>
                        <pic:blipFill>
                          <a:blip r:embed="rId27"/>
                          <a:stretch>
                            <a:fillRect/>
                          </a:stretch>
                        </pic:blipFill>
                        <pic:spPr>
                          <a:xfrm>
                            <a:off x="0" y="0"/>
                            <a:ext cx="5253355" cy="4373880"/>
                          </a:xfrm>
                          <a:prstGeom prst="rect">
                            <a:avLst/>
                          </a:prstGeom>
                          <a:noFill/>
                          <a:ln>
                            <a:noFill/>
                          </a:ln>
                        </pic:spPr>
                      </pic:pic>
                    </a:graphicData>
                  </a:graphic>
                </wp:anchor>
              </w:drawing>
            </w:r>
            <w:r>
              <w:rPr>
                <w:color w:val="auto"/>
                <w:lang w:val="en-US" w:eastAsia="zh-CN"/>
              </w:rPr>
              <w:t>图</w:t>
            </w:r>
            <w:r>
              <w:rPr>
                <w:rFonts w:hint="default"/>
                <w:color w:val="auto"/>
                <w:lang w:val="en-US" w:eastAsia="zh-CN"/>
              </w:rPr>
              <w:t>4-</w:t>
            </w:r>
            <w:r>
              <w:rPr>
                <w:rFonts w:hint="eastAsia"/>
                <w:color w:val="auto"/>
                <w:lang w:val="en-US" w:eastAsia="zh-CN"/>
              </w:rPr>
              <w:t>1  青阳县污水处理厂工艺流程图</w:t>
            </w:r>
          </w:p>
          <w:p w14:paraId="13B86387">
            <w:pPr>
              <w:bidi w:val="0"/>
              <w:rPr>
                <w:rFonts w:hint="default" w:ascii="Times New Roman" w:hAnsi="Times New Roman" w:cs="Times New Roman"/>
                <w:color w:val="auto"/>
              </w:rPr>
            </w:pPr>
            <w:r>
              <w:rPr>
                <w:rFonts w:hint="eastAsia"/>
                <w:color w:val="auto"/>
                <w:sz w:val="24"/>
                <w:szCs w:val="24"/>
                <w:lang w:val="en-US" w:eastAsia="zh-CN"/>
              </w:rPr>
              <w:t>（2）</w:t>
            </w:r>
            <w:r>
              <w:rPr>
                <w:rFonts w:hint="default" w:ascii="Times New Roman" w:hAnsi="Times New Roman" w:cs="Times New Roman"/>
                <w:color w:val="auto"/>
              </w:rPr>
              <w:t>接管可行性分析</w:t>
            </w:r>
          </w:p>
          <w:p w14:paraId="68DA17F7">
            <w:pPr>
              <w:bidi w:val="0"/>
              <w:rPr>
                <w:rFonts w:hint="eastAsia" w:cs="Times New Roman"/>
                <w:color w:val="auto"/>
                <w:lang w:val="en-US" w:eastAsia="zh-CN"/>
              </w:rPr>
            </w:pPr>
            <w:r>
              <w:rPr>
                <w:rFonts w:hint="eastAsia" w:cs="Times New Roman"/>
                <w:color w:val="auto"/>
                <w:lang w:val="en-US" w:eastAsia="zh-CN"/>
              </w:rPr>
              <w:t>①水量</w:t>
            </w:r>
          </w:p>
          <w:p w14:paraId="5923C0C5">
            <w:pPr>
              <w:bidi w:val="0"/>
              <w:rPr>
                <w:rFonts w:hint="default" w:ascii="Times New Roman" w:hAnsi="Times New Roman" w:cs="Times New Roman"/>
                <w:color w:val="auto"/>
              </w:rPr>
            </w:pPr>
            <w:r>
              <w:rPr>
                <w:rFonts w:hint="eastAsia" w:cs="Times New Roman"/>
                <w:color w:val="auto"/>
                <w:lang w:val="en-US" w:eastAsia="zh-CN"/>
              </w:rPr>
              <w:t>青阳县污水处理厂</w:t>
            </w:r>
            <w:r>
              <w:rPr>
                <w:rFonts w:hint="default" w:ascii="Times New Roman" w:hAnsi="Times New Roman" w:cs="Times New Roman"/>
                <w:color w:val="auto"/>
              </w:rPr>
              <w:t>一期现在实际处理量1.8万m3/d，余量0.2万m</w:t>
            </w:r>
            <w:r>
              <w:rPr>
                <w:rFonts w:hint="default" w:ascii="Times New Roman" w:hAnsi="Times New Roman" w:cs="Times New Roman"/>
                <w:color w:val="auto"/>
                <w:vertAlign w:val="superscript"/>
              </w:rPr>
              <w:t>3</w:t>
            </w:r>
            <w:r>
              <w:rPr>
                <w:rFonts w:hint="default" w:ascii="Times New Roman" w:hAnsi="Times New Roman" w:cs="Times New Roman"/>
                <w:color w:val="auto"/>
              </w:rPr>
              <w:t>/d，二期污水处理厂正处于建设中，暂未收水。</w:t>
            </w:r>
            <w:r>
              <w:rPr>
                <w:rFonts w:hint="default" w:ascii="Times New Roman" w:hAnsi="Times New Roman" w:cs="Times New Roman"/>
                <w:color w:val="auto"/>
                <w:lang w:eastAsia="zh-CN"/>
              </w:rPr>
              <w:t>本项目</w:t>
            </w:r>
            <w:r>
              <w:rPr>
                <w:rFonts w:hint="default" w:ascii="Times New Roman" w:hAnsi="Times New Roman" w:cs="Times New Roman"/>
                <w:color w:val="auto"/>
              </w:rPr>
              <w:t>建成后日排水量约为</w:t>
            </w:r>
            <w:r>
              <w:rPr>
                <w:rFonts w:hint="eastAsia" w:ascii="Times New Roman" w:hAnsi="Times New Roman" w:cs="Times New Roman"/>
                <w:color w:val="auto"/>
                <w:lang w:val="en-US" w:eastAsia="zh-CN"/>
              </w:rPr>
              <w:t>1.7</w:t>
            </w:r>
            <w:r>
              <w:rPr>
                <w:rFonts w:hint="default" w:ascii="Times New Roman" w:hAnsi="Times New Roman" w:cs="Times New Roman"/>
                <w:color w:val="auto"/>
              </w:rPr>
              <w:t>吨，新增排水量不超过</w:t>
            </w:r>
            <w:r>
              <w:rPr>
                <w:rFonts w:hint="eastAsia" w:cs="Times New Roman"/>
                <w:color w:val="auto"/>
                <w:lang w:val="en-US" w:eastAsia="zh-CN"/>
              </w:rPr>
              <w:t>青阳县污水处理厂</w:t>
            </w:r>
            <w:r>
              <w:rPr>
                <w:rFonts w:hint="default" w:ascii="Times New Roman" w:hAnsi="Times New Roman" w:cs="Times New Roman"/>
                <w:color w:val="auto"/>
              </w:rPr>
              <w:t>处理余量</w:t>
            </w:r>
            <w:r>
              <w:rPr>
                <w:rFonts w:hint="eastAsia" w:cs="Times New Roman"/>
                <w:color w:val="auto"/>
                <w:lang w:eastAsia="zh-CN"/>
              </w:rPr>
              <w:t>，</w:t>
            </w:r>
            <w:r>
              <w:rPr>
                <w:rFonts w:hint="default" w:ascii="Times New Roman" w:hAnsi="Times New Roman" w:cs="Times New Roman"/>
                <w:color w:val="auto"/>
              </w:rPr>
              <w:t>有能力接纳</w:t>
            </w:r>
            <w:r>
              <w:rPr>
                <w:rFonts w:hint="default" w:ascii="Times New Roman" w:hAnsi="Times New Roman" w:cs="Times New Roman"/>
                <w:color w:val="auto"/>
                <w:lang w:eastAsia="zh-CN"/>
              </w:rPr>
              <w:t>本项目</w:t>
            </w:r>
            <w:r>
              <w:rPr>
                <w:rFonts w:hint="default" w:ascii="Times New Roman" w:hAnsi="Times New Roman" w:cs="Times New Roman"/>
                <w:color w:val="auto"/>
              </w:rPr>
              <w:t>废水。</w:t>
            </w:r>
          </w:p>
          <w:p w14:paraId="6C487F03">
            <w:pPr>
              <w:bidi w:val="0"/>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 2 \* GB3 \* MERGEFORMAT </w:instrText>
            </w:r>
            <w:r>
              <w:rPr>
                <w:rFonts w:hint="default" w:ascii="Times New Roman" w:hAnsi="Times New Roman" w:cs="Times New Roman"/>
                <w:color w:val="auto"/>
              </w:rPr>
              <w:fldChar w:fldCharType="separate"/>
            </w:r>
            <w:r>
              <w:rPr>
                <w:rFonts w:hint="default" w:ascii="Times New Roman" w:hAnsi="Times New Roman" w:cs="Times New Roman"/>
                <w:color w:val="auto"/>
              </w:rPr>
              <w:t>②</w:t>
            </w:r>
            <w:r>
              <w:rPr>
                <w:rFonts w:hint="default" w:ascii="Times New Roman" w:hAnsi="Times New Roman" w:cs="Times New Roman"/>
                <w:color w:val="auto"/>
              </w:rPr>
              <w:fldChar w:fldCharType="end"/>
            </w:r>
            <w:r>
              <w:rPr>
                <w:rFonts w:hint="default" w:ascii="Times New Roman" w:hAnsi="Times New Roman" w:cs="Times New Roman"/>
                <w:color w:val="auto"/>
              </w:rPr>
              <w:t>水质</w:t>
            </w:r>
          </w:p>
          <w:p w14:paraId="55B9FD4F">
            <w:pPr>
              <w:bidi w:val="0"/>
              <w:rPr>
                <w:rFonts w:hint="default" w:ascii="Times New Roman" w:hAnsi="Times New Roman" w:cs="Times New Roman"/>
                <w:color w:val="auto"/>
              </w:rPr>
            </w:pPr>
            <w:r>
              <w:rPr>
                <w:rFonts w:hint="default" w:ascii="Times New Roman" w:hAnsi="Times New Roman" w:cs="Times New Roman"/>
                <w:color w:val="auto"/>
                <w:lang w:eastAsia="zh-CN"/>
              </w:rPr>
              <w:t>本项目</w:t>
            </w:r>
            <w:r>
              <w:rPr>
                <w:rFonts w:hint="eastAsia" w:ascii="Times New Roman" w:hAnsi="Times New Roman" w:cs="Times New Roman"/>
                <w:color w:val="auto"/>
                <w:lang w:val="en-US" w:eastAsia="zh-CN"/>
              </w:rPr>
              <w:t>生活污水经化粪池</w:t>
            </w:r>
            <w:r>
              <w:rPr>
                <w:rFonts w:hint="default" w:ascii="Times New Roman" w:hAnsi="Times New Roman" w:cs="Times New Roman"/>
                <w:color w:val="auto"/>
              </w:rPr>
              <w:t>处理后可达到</w:t>
            </w:r>
            <w:r>
              <w:rPr>
                <w:rFonts w:hint="eastAsia" w:cs="Times New Roman"/>
                <w:color w:val="auto"/>
                <w:lang w:val="en-US" w:eastAsia="zh-CN"/>
              </w:rPr>
              <w:t>青阳县</w:t>
            </w:r>
            <w:r>
              <w:rPr>
                <w:rFonts w:hint="default" w:ascii="Times New Roman" w:hAnsi="Times New Roman" w:cs="Times New Roman"/>
                <w:color w:val="auto"/>
                <w:lang w:eastAsia="zh-CN"/>
              </w:rPr>
              <w:t>污水处理厂</w:t>
            </w:r>
            <w:r>
              <w:rPr>
                <w:rFonts w:hint="default" w:ascii="Times New Roman" w:hAnsi="Times New Roman" w:cs="Times New Roman"/>
                <w:color w:val="auto"/>
              </w:rPr>
              <w:t>接管标准项目</w:t>
            </w:r>
            <w:r>
              <w:rPr>
                <w:rFonts w:hint="default" w:ascii="Times New Roman" w:hAnsi="Times New Roman" w:cs="Times New Roman"/>
                <w:color w:val="auto"/>
                <w:lang w:eastAsia="zh-CN"/>
              </w:rPr>
              <w:t>，</w:t>
            </w:r>
            <w:r>
              <w:rPr>
                <w:rFonts w:hint="default" w:ascii="Times New Roman" w:hAnsi="Times New Roman" w:cs="Times New Roman"/>
                <w:color w:val="auto"/>
              </w:rPr>
              <w:t>废水中的污染物主要为COD、BOD</w:t>
            </w:r>
            <w:r>
              <w:rPr>
                <w:rFonts w:hint="default" w:ascii="Times New Roman" w:hAnsi="Times New Roman" w:cs="Times New Roman"/>
                <w:color w:val="auto"/>
                <w:vertAlign w:val="subscript"/>
              </w:rPr>
              <w:t>5</w:t>
            </w:r>
            <w:r>
              <w:rPr>
                <w:rFonts w:hint="default" w:ascii="Times New Roman" w:hAnsi="Times New Roman" w:cs="Times New Roman"/>
                <w:color w:val="auto"/>
              </w:rPr>
              <w:t>、NH</w:t>
            </w:r>
            <w:r>
              <w:rPr>
                <w:rFonts w:hint="default" w:ascii="Times New Roman" w:hAnsi="Times New Roman" w:cs="Times New Roman"/>
                <w:color w:val="auto"/>
                <w:vertAlign w:val="subscript"/>
              </w:rPr>
              <w:t>3</w:t>
            </w:r>
            <w:r>
              <w:rPr>
                <w:rFonts w:hint="default" w:ascii="Times New Roman" w:hAnsi="Times New Roman" w:cs="Times New Roman"/>
                <w:color w:val="auto"/>
              </w:rPr>
              <w:t>-N、SS，接管排入</w:t>
            </w:r>
            <w:r>
              <w:rPr>
                <w:rFonts w:hint="default" w:ascii="Times New Roman" w:hAnsi="Times New Roman" w:cs="Times New Roman"/>
                <w:color w:val="auto"/>
                <w:lang w:eastAsia="zh-CN"/>
              </w:rPr>
              <w:t>青阳县污水处理厂</w:t>
            </w:r>
            <w:r>
              <w:rPr>
                <w:rFonts w:hint="default" w:ascii="Times New Roman" w:hAnsi="Times New Roman" w:cs="Times New Roman"/>
                <w:color w:val="auto"/>
              </w:rPr>
              <w:t>的接管浓度相对较低，不会影响</w:t>
            </w:r>
            <w:r>
              <w:rPr>
                <w:rFonts w:hint="default" w:ascii="Times New Roman" w:hAnsi="Times New Roman" w:cs="Times New Roman"/>
                <w:color w:val="auto"/>
                <w:lang w:eastAsia="zh-CN"/>
              </w:rPr>
              <w:t>青阳县污水处理厂</w:t>
            </w:r>
            <w:r>
              <w:rPr>
                <w:rFonts w:hint="default" w:ascii="Times New Roman" w:hAnsi="Times New Roman" w:cs="Times New Roman"/>
                <w:color w:val="auto"/>
              </w:rPr>
              <w:t>的正常运行。</w:t>
            </w:r>
          </w:p>
          <w:p w14:paraId="6635E80C">
            <w:pPr>
              <w:bidi w:val="0"/>
              <w:rPr>
                <w:rFonts w:hint="default" w:ascii="Times New Roman" w:hAnsi="Times New Roman" w:cs="Times New Roman"/>
                <w:color w:val="auto"/>
              </w:rPr>
            </w:pPr>
            <w:r>
              <w:rPr>
                <w:rFonts w:hint="default" w:ascii="Times New Roman" w:hAnsi="Times New Roman" w:cs="Times New Roman"/>
                <w:color w:val="auto"/>
              </w:rPr>
              <w:t>因此，从水质上来说，项目废水接管至</w:t>
            </w:r>
            <w:r>
              <w:rPr>
                <w:rFonts w:hint="default" w:ascii="Times New Roman" w:hAnsi="Times New Roman" w:cs="Times New Roman"/>
                <w:color w:val="auto"/>
                <w:lang w:eastAsia="zh-CN"/>
              </w:rPr>
              <w:t>青阳县污水处理厂</w:t>
            </w:r>
            <w:r>
              <w:rPr>
                <w:rFonts w:hint="default" w:ascii="Times New Roman" w:hAnsi="Times New Roman" w:cs="Times New Roman"/>
                <w:color w:val="auto"/>
              </w:rPr>
              <w:t>处理是可行的。</w:t>
            </w:r>
          </w:p>
          <w:p w14:paraId="6FBF9873">
            <w:pPr>
              <w:bidi w:val="0"/>
              <w:rPr>
                <w:rFonts w:hint="default"/>
                <w:color w:val="auto"/>
                <w:lang w:val="en-US" w:eastAsia="zh-CN"/>
              </w:rPr>
            </w:pPr>
            <w:r>
              <w:rPr>
                <w:rFonts w:hint="eastAsia"/>
                <w:color w:val="auto"/>
                <w:lang w:val="en-US" w:eastAsia="zh-CN"/>
              </w:rPr>
              <w:t>③服务范围：</w:t>
            </w:r>
            <w:r>
              <w:rPr>
                <w:rFonts w:hint="eastAsia"/>
                <w:color w:val="auto"/>
                <w:sz w:val="24"/>
                <w:highlight w:val="none"/>
              </w:rPr>
              <w:t>青阳县</w:t>
            </w:r>
            <w:r>
              <w:rPr>
                <w:color w:val="auto"/>
                <w:sz w:val="24"/>
                <w:highlight w:val="none"/>
              </w:rPr>
              <w:t>污水处理厂设计服务范围</w:t>
            </w:r>
            <w:r>
              <w:rPr>
                <w:rFonts w:hint="eastAsia"/>
                <w:color w:val="auto"/>
                <w:sz w:val="24"/>
                <w:highlight w:val="none"/>
              </w:rPr>
              <w:t>包括青阳经济开发区</w:t>
            </w:r>
            <w:r>
              <w:rPr>
                <w:color w:val="auto"/>
                <w:sz w:val="24"/>
                <w:highlight w:val="none"/>
              </w:rPr>
              <w:t>，废水达到接管要求后，流入</w:t>
            </w:r>
            <w:r>
              <w:rPr>
                <w:rFonts w:hint="eastAsia"/>
                <w:color w:val="auto"/>
                <w:sz w:val="24"/>
                <w:highlight w:val="none"/>
              </w:rPr>
              <w:t>青阳县</w:t>
            </w:r>
            <w:r>
              <w:rPr>
                <w:color w:val="auto"/>
                <w:sz w:val="24"/>
                <w:highlight w:val="none"/>
              </w:rPr>
              <w:t>污水处理厂</w:t>
            </w:r>
            <w:r>
              <w:rPr>
                <w:rFonts w:hint="eastAsia"/>
                <w:color w:val="auto"/>
                <w:sz w:val="24"/>
                <w:highlight w:val="none"/>
              </w:rPr>
              <w:t>，</w:t>
            </w:r>
            <w:r>
              <w:rPr>
                <w:color w:val="auto"/>
                <w:sz w:val="24"/>
                <w:highlight w:val="none"/>
              </w:rPr>
              <w:t>本项目</w:t>
            </w:r>
            <w:r>
              <w:rPr>
                <w:rFonts w:hint="eastAsia"/>
                <w:color w:val="auto"/>
                <w:sz w:val="24"/>
                <w:highlight w:val="none"/>
                <w:lang w:val="en-US" w:eastAsia="zh-CN"/>
              </w:rPr>
              <w:t>位于青阳经济开发区内，属于</w:t>
            </w:r>
            <w:r>
              <w:rPr>
                <w:rFonts w:hint="eastAsia"/>
                <w:color w:val="auto"/>
                <w:sz w:val="24"/>
                <w:highlight w:val="none"/>
              </w:rPr>
              <w:t>青阳县</w:t>
            </w:r>
            <w:r>
              <w:rPr>
                <w:color w:val="auto"/>
                <w:sz w:val="24"/>
                <w:highlight w:val="none"/>
              </w:rPr>
              <w:t>污水处理厂收水范围，项目产生的废水接入园区污水管网后，进入</w:t>
            </w:r>
            <w:r>
              <w:rPr>
                <w:rFonts w:hint="eastAsia"/>
                <w:color w:val="auto"/>
                <w:sz w:val="24"/>
                <w:highlight w:val="none"/>
              </w:rPr>
              <w:t>青阳县</w:t>
            </w:r>
            <w:r>
              <w:rPr>
                <w:color w:val="auto"/>
                <w:sz w:val="24"/>
                <w:highlight w:val="none"/>
              </w:rPr>
              <w:t>污水处理厂，排污途径满足项目废水进入</w:t>
            </w:r>
            <w:r>
              <w:rPr>
                <w:rFonts w:hint="eastAsia"/>
                <w:color w:val="auto"/>
                <w:sz w:val="24"/>
                <w:highlight w:val="none"/>
              </w:rPr>
              <w:t>青阳县</w:t>
            </w:r>
            <w:r>
              <w:rPr>
                <w:color w:val="auto"/>
                <w:sz w:val="24"/>
                <w:highlight w:val="none"/>
              </w:rPr>
              <w:t>污水处理厂处理的需求。</w:t>
            </w:r>
          </w:p>
          <w:p w14:paraId="172D041C">
            <w:pPr>
              <w:bidi w:val="0"/>
              <w:rPr>
                <w:rFonts w:hint="eastAsia"/>
                <w:color w:val="auto"/>
                <w:lang w:val="en-US" w:eastAsia="zh-CN"/>
              </w:rPr>
            </w:pPr>
            <w:r>
              <w:rPr>
                <w:rFonts w:hint="default"/>
                <w:color w:val="auto"/>
                <w:lang w:val="en-US" w:eastAsia="zh-CN"/>
              </w:rPr>
              <w:t>因此，从环境</w:t>
            </w:r>
            <w:r>
              <w:rPr>
                <w:rFonts w:hint="eastAsia"/>
                <w:color w:val="auto"/>
                <w:lang w:val="en-US" w:eastAsia="zh-CN"/>
              </w:rPr>
              <w:t>角</w:t>
            </w:r>
            <w:r>
              <w:rPr>
                <w:rFonts w:hint="default"/>
                <w:color w:val="auto"/>
                <w:lang w:val="en-US" w:eastAsia="zh-CN"/>
              </w:rPr>
              <w:t>度及技术</w:t>
            </w:r>
            <w:r>
              <w:rPr>
                <w:rFonts w:hint="eastAsia"/>
                <w:color w:val="auto"/>
                <w:lang w:val="en-US" w:eastAsia="zh-CN"/>
              </w:rPr>
              <w:t>可行</w:t>
            </w:r>
            <w:r>
              <w:rPr>
                <w:rFonts w:hint="default"/>
                <w:color w:val="auto"/>
                <w:lang w:val="en-US" w:eastAsia="zh-CN"/>
              </w:rPr>
              <w:t>性等方</w:t>
            </w:r>
            <w:r>
              <w:rPr>
                <w:rFonts w:hint="eastAsia"/>
                <w:color w:val="auto"/>
                <w:lang w:val="en-US" w:eastAsia="zh-CN"/>
              </w:rPr>
              <w:t>法</w:t>
            </w:r>
            <w:r>
              <w:rPr>
                <w:rFonts w:hint="default"/>
                <w:color w:val="auto"/>
                <w:lang w:val="en-US" w:eastAsia="zh-CN"/>
              </w:rPr>
              <w:t>分析，本</w:t>
            </w:r>
            <w:r>
              <w:rPr>
                <w:rFonts w:hint="eastAsia"/>
                <w:color w:val="auto"/>
                <w:lang w:val="en-US" w:eastAsia="zh-CN"/>
              </w:rPr>
              <w:t>项</w:t>
            </w:r>
            <w:r>
              <w:rPr>
                <w:rFonts w:hint="default"/>
                <w:color w:val="auto"/>
                <w:lang w:val="en-US" w:eastAsia="zh-CN"/>
              </w:rPr>
              <w:t>目废水</w:t>
            </w:r>
            <w:r>
              <w:rPr>
                <w:rFonts w:hint="eastAsia"/>
                <w:color w:val="auto"/>
                <w:lang w:val="en-US" w:eastAsia="zh-CN"/>
              </w:rPr>
              <w:t>进入青阳县污水处理厂</w:t>
            </w:r>
            <w:r>
              <w:rPr>
                <w:rFonts w:hint="default"/>
                <w:color w:val="auto"/>
                <w:lang w:val="en-US" w:eastAsia="zh-CN"/>
              </w:rPr>
              <w:t>处理是可</w:t>
            </w:r>
            <w:r>
              <w:rPr>
                <w:rFonts w:hint="eastAsia"/>
                <w:color w:val="auto"/>
                <w:lang w:val="en-US" w:eastAsia="zh-CN"/>
              </w:rPr>
              <w:t>行</w:t>
            </w:r>
            <w:r>
              <w:rPr>
                <w:rFonts w:hint="default"/>
                <w:color w:val="auto"/>
                <w:lang w:val="en-US" w:eastAsia="zh-CN"/>
              </w:rPr>
              <w:t>的</w:t>
            </w:r>
            <w:r>
              <w:rPr>
                <w:rFonts w:hint="eastAsia"/>
                <w:color w:val="auto"/>
                <w:lang w:val="en-US" w:eastAsia="zh-CN"/>
              </w:rPr>
              <w:t>。</w:t>
            </w:r>
          </w:p>
          <w:p w14:paraId="6DC11072">
            <w:pPr>
              <w:bidi w:val="0"/>
              <w:ind w:left="0" w:leftChars="0" w:firstLine="0" w:firstLineChars="0"/>
              <w:rPr>
                <w:rFonts w:hint="default"/>
                <w:b/>
                <w:bCs/>
                <w:color w:val="auto"/>
              </w:rPr>
            </w:pPr>
            <w:r>
              <w:rPr>
                <w:rFonts w:hint="eastAsia"/>
                <w:b/>
                <w:bCs/>
                <w:color w:val="auto"/>
                <w:lang w:val="en-US" w:eastAsia="zh-CN"/>
              </w:rPr>
              <w:t xml:space="preserve">4.2.4 </w:t>
            </w:r>
            <w:r>
              <w:rPr>
                <w:rFonts w:hint="eastAsia"/>
                <w:b/>
                <w:bCs/>
                <w:color w:val="auto"/>
              </w:rPr>
              <w:t>环境监测计划</w:t>
            </w:r>
          </w:p>
          <w:p w14:paraId="57435DE6">
            <w:pPr>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cs="Times New Roman"/>
                <w:color w:val="auto"/>
                <w:szCs w:val="21"/>
              </w:rPr>
            </w:pPr>
            <w:r>
              <w:rPr>
                <w:rFonts w:hint="eastAsia" w:cs="Times New Roman"/>
                <w:color w:val="auto"/>
                <w:sz w:val="24"/>
                <w:szCs w:val="24"/>
                <w:lang w:val="en-US" w:eastAsia="zh-CN"/>
              </w:rPr>
              <w:t>根据</w:t>
            </w:r>
            <w:r>
              <w:rPr>
                <w:rFonts w:hint="eastAsia" w:cs="Times New Roman"/>
                <w:color w:val="auto"/>
                <w:sz w:val="24"/>
                <w:szCs w:val="24"/>
                <w:lang w:eastAsia="zh-CN"/>
              </w:rPr>
              <w:t>《排污</w:t>
            </w:r>
            <w:r>
              <w:rPr>
                <w:rFonts w:hint="eastAsia" w:cs="Times New Roman"/>
                <w:color w:val="auto"/>
                <w:sz w:val="24"/>
                <w:szCs w:val="24"/>
                <w:lang w:val="en-US" w:eastAsia="zh-CN"/>
              </w:rPr>
              <w:t>单位自行监测技术指南</w:t>
            </w:r>
            <w:r>
              <w:rPr>
                <w:rFonts w:hint="eastAsia" w:cs="Times New Roman"/>
                <w:color w:val="auto"/>
                <w:sz w:val="24"/>
                <w:szCs w:val="24"/>
                <w:lang w:eastAsia="zh-CN"/>
              </w:rPr>
              <w:t xml:space="preserve"> </w:t>
            </w:r>
            <w:r>
              <w:rPr>
                <w:rFonts w:hint="eastAsia" w:cs="Times New Roman"/>
                <w:color w:val="auto"/>
                <w:sz w:val="24"/>
                <w:szCs w:val="24"/>
                <w:lang w:val="en-US" w:eastAsia="zh-CN"/>
              </w:rPr>
              <w:t>总则</w:t>
            </w:r>
            <w:r>
              <w:rPr>
                <w:rFonts w:hint="eastAsia" w:cs="Times New Roman"/>
                <w:color w:val="auto"/>
                <w:sz w:val="24"/>
                <w:szCs w:val="24"/>
                <w:lang w:eastAsia="zh-CN"/>
              </w:rPr>
              <w:t xml:space="preserve">》（HJ </w:t>
            </w:r>
            <w:r>
              <w:rPr>
                <w:rFonts w:hint="eastAsia" w:cs="Times New Roman"/>
                <w:color w:val="auto"/>
                <w:sz w:val="24"/>
                <w:szCs w:val="24"/>
                <w:lang w:val="en-US" w:eastAsia="zh-CN"/>
              </w:rPr>
              <w:t>819</w:t>
            </w:r>
            <w:r>
              <w:rPr>
                <w:rFonts w:hint="eastAsia" w:cs="Times New Roman"/>
                <w:color w:val="auto"/>
                <w:sz w:val="24"/>
                <w:szCs w:val="24"/>
                <w:lang w:eastAsia="zh-CN"/>
              </w:rPr>
              <w:t>-201</w:t>
            </w:r>
            <w:r>
              <w:rPr>
                <w:rFonts w:hint="eastAsia" w:cs="Times New Roman"/>
                <w:color w:val="auto"/>
                <w:sz w:val="24"/>
                <w:szCs w:val="24"/>
                <w:lang w:val="en-US" w:eastAsia="zh-CN"/>
              </w:rPr>
              <w:t>7</w:t>
            </w:r>
            <w:r>
              <w:rPr>
                <w:rFonts w:hint="eastAsia" w:cs="Times New Roman"/>
                <w:color w:val="auto"/>
                <w:sz w:val="24"/>
                <w:szCs w:val="24"/>
                <w:lang w:eastAsia="zh-CN"/>
              </w:rPr>
              <w:t>）</w:t>
            </w:r>
            <w:r>
              <w:rPr>
                <w:rFonts w:hint="eastAsia" w:cs="Times New Roman"/>
                <w:color w:val="auto"/>
                <w:sz w:val="24"/>
                <w:szCs w:val="24"/>
                <w:lang w:val="en-US" w:eastAsia="zh-CN"/>
              </w:rPr>
              <w:t>表2中非重点排污单位每年监测一次，</w:t>
            </w:r>
            <w:r>
              <w:rPr>
                <w:rFonts w:hint="eastAsia" w:cs="Times New Roman"/>
                <w:color w:val="auto"/>
                <w:sz w:val="24"/>
                <w:szCs w:val="24"/>
                <w:lang w:eastAsia="zh-CN"/>
              </w:rPr>
              <w:t>本报告</w:t>
            </w:r>
            <w:r>
              <w:rPr>
                <w:rFonts w:hint="eastAsia" w:cs="Times New Roman"/>
                <w:color w:val="auto"/>
                <w:sz w:val="24"/>
                <w:szCs w:val="24"/>
                <w:lang w:val="en-US" w:eastAsia="zh-CN"/>
              </w:rPr>
              <w:t>从严执行，</w:t>
            </w:r>
            <w:r>
              <w:rPr>
                <w:rFonts w:hint="eastAsia" w:cs="Times New Roman"/>
                <w:color w:val="auto"/>
                <w:sz w:val="24"/>
                <w:szCs w:val="24"/>
                <w:lang w:eastAsia="zh-CN"/>
              </w:rPr>
              <w:t>建议制定如下废水监测计划。</w:t>
            </w:r>
          </w:p>
          <w:p w14:paraId="7BD9C711">
            <w:pPr>
              <w:pStyle w:val="38"/>
              <w:bidi w:val="0"/>
              <w:rPr>
                <w:rFonts w:ascii="Times New Roman" w:hAnsi="Times New Roman"/>
                <w:b/>
                <w:color w:val="auto"/>
              </w:rPr>
            </w:pPr>
            <w:r>
              <w:rPr>
                <w:rFonts w:ascii="Times New Roman" w:hAnsi="Times New Roman"/>
                <w:b/>
                <w:color w:val="auto"/>
              </w:rPr>
              <w:t>表4-</w:t>
            </w:r>
            <w:r>
              <w:rPr>
                <w:rFonts w:hint="eastAsia"/>
                <w:b/>
                <w:color w:val="auto"/>
                <w:lang w:val="en-US" w:eastAsia="zh-CN"/>
              </w:rPr>
              <w:t>11</w:t>
            </w:r>
            <w:r>
              <w:rPr>
                <w:rFonts w:ascii="Times New Roman" w:hAnsi="Times New Roman"/>
                <w:b/>
                <w:color w:val="auto"/>
              </w:rPr>
              <w:t xml:space="preserve">  </w:t>
            </w:r>
            <w:r>
              <w:rPr>
                <w:rFonts w:hint="eastAsia"/>
                <w:b/>
                <w:color w:val="auto"/>
                <w:lang w:eastAsia="zh-CN"/>
              </w:rPr>
              <w:t>本项目</w:t>
            </w:r>
            <w:r>
              <w:rPr>
                <w:rFonts w:ascii="Times New Roman" w:hAnsi="Times New Roman"/>
                <w:b/>
                <w:color w:val="auto"/>
              </w:rPr>
              <w:t>废水环境监测计划</w:t>
            </w:r>
          </w:p>
          <w:tbl>
            <w:tblPr>
              <w:tblStyle w:val="31"/>
              <w:tblW w:w="506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01"/>
              <w:gridCol w:w="1374"/>
              <w:gridCol w:w="2012"/>
              <w:gridCol w:w="827"/>
              <w:gridCol w:w="987"/>
              <w:gridCol w:w="2997"/>
            </w:tblGrid>
            <w:tr w14:paraId="3DEFA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393" w:type="pct"/>
                  <w:tcBorders>
                    <w:tl2br w:val="nil"/>
                    <w:tr2bl w:val="nil"/>
                  </w:tcBorders>
                  <w:noWrap w:val="0"/>
                  <w:vAlign w:val="center"/>
                </w:tcPr>
                <w:p w14:paraId="573766B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监测内容</w:t>
                  </w:r>
                </w:p>
              </w:tc>
              <w:tc>
                <w:tcPr>
                  <w:tcW w:w="772" w:type="pct"/>
                  <w:tcBorders>
                    <w:tl2br w:val="nil"/>
                    <w:tr2bl w:val="nil"/>
                  </w:tcBorders>
                  <w:noWrap w:val="0"/>
                  <w:vAlign w:val="center"/>
                </w:tcPr>
                <w:p w14:paraId="0AE3890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监测点</w:t>
                  </w:r>
                </w:p>
              </w:tc>
              <w:tc>
                <w:tcPr>
                  <w:tcW w:w="1130" w:type="pct"/>
                  <w:tcBorders>
                    <w:tl2br w:val="nil"/>
                    <w:tr2bl w:val="nil"/>
                  </w:tcBorders>
                  <w:noWrap w:val="0"/>
                  <w:vAlign w:val="center"/>
                </w:tcPr>
                <w:p w14:paraId="5A24983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监测项目</w:t>
                  </w:r>
                </w:p>
              </w:tc>
              <w:tc>
                <w:tcPr>
                  <w:tcW w:w="464" w:type="pct"/>
                  <w:tcBorders>
                    <w:tl2br w:val="nil"/>
                    <w:tr2bl w:val="nil"/>
                  </w:tcBorders>
                  <w:noWrap w:val="0"/>
                  <w:vAlign w:val="center"/>
                </w:tcPr>
                <w:p w14:paraId="406695D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监测频率</w:t>
                  </w:r>
                </w:p>
              </w:tc>
              <w:tc>
                <w:tcPr>
                  <w:tcW w:w="554" w:type="pct"/>
                  <w:tcBorders>
                    <w:tl2br w:val="nil"/>
                    <w:tr2bl w:val="nil"/>
                  </w:tcBorders>
                  <w:noWrap w:val="0"/>
                  <w:vAlign w:val="center"/>
                </w:tcPr>
                <w:p w14:paraId="103D95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监测方式</w:t>
                  </w:r>
                </w:p>
              </w:tc>
              <w:tc>
                <w:tcPr>
                  <w:tcW w:w="1684" w:type="pct"/>
                  <w:tcBorders>
                    <w:tl2br w:val="nil"/>
                    <w:tr2bl w:val="nil"/>
                  </w:tcBorders>
                  <w:noWrap w:val="0"/>
                  <w:vAlign w:val="center"/>
                </w:tcPr>
                <w:p w14:paraId="70782C1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执行标准</w:t>
                  </w:r>
                </w:p>
              </w:tc>
            </w:tr>
            <w:tr w14:paraId="613A4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8" w:hRule="atLeast"/>
                <w:jc w:val="center"/>
              </w:trPr>
              <w:tc>
                <w:tcPr>
                  <w:tcW w:w="393" w:type="pct"/>
                  <w:tcBorders>
                    <w:tl2br w:val="nil"/>
                    <w:tr2bl w:val="nil"/>
                  </w:tcBorders>
                  <w:noWrap w:val="0"/>
                  <w:vAlign w:val="center"/>
                </w:tcPr>
                <w:p w14:paraId="3C4E4673">
                  <w:pPr>
                    <w:pStyle w:val="37"/>
                    <w:bidi w:val="0"/>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废水</w:t>
                  </w:r>
                </w:p>
              </w:tc>
              <w:tc>
                <w:tcPr>
                  <w:tcW w:w="772" w:type="pct"/>
                  <w:tcBorders>
                    <w:tl2br w:val="nil"/>
                    <w:tr2bl w:val="nil"/>
                  </w:tcBorders>
                  <w:noWrap w:val="0"/>
                  <w:vAlign w:val="center"/>
                </w:tcPr>
                <w:p w14:paraId="06DE0F3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排污单位污水排放口DW001</w:t>
                  </w:r>
                </w:p>
              </w:tc>
              <w:tc>
                <w:tcPr>
                  <w:tcW w:w="1130" w:type="pct"/>
                  <w:tcBorders>
                    <w:tl2br w:val="nil"/>
                    <w:tr2bl w:val="nil"/>
                  </w:tcBorders>
                  <w:noWrap w:val="0"/>
                  <w:vAlign w:val="center"/>
                </w:tcPr>
                <w:p w14:paraId="4AD385A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rPr>
                    <w:t>pH值</w:t>
                  </w:r>
                  <w:r>
                    <w:rPr>
                      <w:rFonts w:hint="eastAsia"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rPr>
                    <w:t>悬浮物、化学需氧量、五日生化需氧量、氨氮</w:t>
                  </w:r>
                </w:p>
              </w:tc>
              <w:tc>
                <w:tcPr>
                  <w:tcW w:w="464" w:type="pct"/>
                  <w:tcBorders>
                    <w:tl2br w:val="nil"/>
                    <w:tr2bl w:val="nil"/>
                  </w:tcBorders>
                  <w:noWrap w:val="0"/>
                  <w:vAlign w:val="center"/>
                </w:tcPr>
                <w:p w14:paraId="44FA736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1次</w:t>
                  </w:r>
                  <w:r>
                    <w:rPr>
                      <w:rFonts w:hint="default" w:ascii="Times New Roman" w:hAnsi="Times New Roman" w:cs="Times New Roman"/>
                      <w:b w:val="0"/>
                      <w:bCs w:val="0"/>
                      <w:color w:val="auto"/>
                      <w:sz w:val="21"/>
                      <w:szCs w:val="21"/>
                      <w:lang w:val="en-US" w:eastAsia="zh-CN"/>
                    </w:rPr>
                    <w:t>/</w:t>
                  </w:r>
                  <w:r>
                    <w:rPr>
                      <w:rFonts w:hint="eastAsia" w:ascii="Times New Roman" w:hAnsi="Times New Roman" w:cs="Times New Roman"/>
                      <w:b w:val="0"/>
                      <w:bCs w:val="0"/>
                      <w:color w:val="auto"/>
                      <w:sz w:val="21"/>
                      <w:szCs w:val="21"/>
                      <w:lang w:val="en-US" w:eastAsia="zh-CN"/>
                    </w:rPr>
                    <w:t>年</w:t>
                  </w:r>
                </w:p>
              </w:tc>
              <w:tc>
                <w:tcPr>
                  <w:tcW w:w="554" w:type="pct"/>
                  <w:tcBorders>
                    <w:tl2br w:val="nil"/>
                    <w:tr2bl w:val="nil"/>
                  </w:tcBorders>
                  <w:noWrap w:val="0"/>
                  <w:vAlign w:val="center"/>
                </w:tcPr>
                <w:p w14:paraId="29C12E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委托有资质单位监测</w:t>
                  </w:r>
                </w:p>
              </w:tc>
              <w:tc>
                <w:tcPr>
                  <w:tcW w:w="1684" w:type="pct"/>
                  <w:tcBorders>
                    <w:tl2br w:val="nil"/>
                    <w:tr2bl w:val="nil"/>
                  </w:tcBorders>
                  <w:noWrap w:val="0"/>
                  <w:vAlign w:val="center"/>
                </w:tcPr>
                <w:p w14:paraId="4C8A953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b w:val="0"/>
                      <w:bCs w:val="0"/>
                      <w:color w:val="auto"/>
                      <w:lang w:eastAsia="zh-CN"/>
                    </w:rPr>
                  </w:pPr>
                  <w:r>
                    <w:rPr>
                      <w:rFonts w:hint="eastAsia" w:ascii="Times New Roman" w:hAnsi="Times New Roman" w:cs="Times New Roman"/>
                      <w:b w:val="0"/>
                      <w:bCs w:val="0"/>
                      <w:color w:val="auto"/>
                      <w:lang w:val="en-US" w:eastAsia="zh-CN"/>
                    </w:rPr>
                    <w:t>青阳县</w:t>
                  </w:r>
                  <w:r>
                    <w:rPr>
                      <w:rFonts w:hint="default" w:ascii="Times New Roman" w:hAnsi="Times New Roman" w:cs="Times New Roman"/>
                      <w:b w:val="0"/>
                      <w:bCs w:val="0"/>
                      <w:color w:val="auto"/>
                    </w:rPr>
                    <w:t>污水处理厂接管</w:t>
                  </w:r>
                  <w:r>
                    <w:rPr>
                      <w:rFonts w:hint="eastAsia" w:ascii="Times New Roman" w:hAnsi="Times New Roman" w:cs="Times New Roman"/>
                      <w:b w:val="0"/>
                      <w:bCs w:val="0"/>
                      <w:color w:val="auto"/>
                      <w:lang w:val="en-US" w:eastAsia="zh-CN"/>
                    </w:rPr>
                    <w:t>限值</w:t>
                  </w:r>
                  <w:r>
                    <w:rPr>
                      <w:rFonts w:hint="default" w:ascii="Times New Roman" w:hAnsi="Times New Roman" w:cs="Times New Roman"/>
                      <w:b w:val="0"/>
                      <w:bCs w:val="0"/>
                      <w:color w:val="auto"/>
                    </w:rPr>
                    <w:t>及《污水综合排放标准》（GB 8978-1996）三级标准</w:t>
                  </w:r>
                  <w:r>
                    <w:rPr>
                      <w:rFonts w:hint="default" w:ascii="Times New Roman" w:hAnsi="Times New Roman" w:cs="Times New Roman"/>
                      <w:b w:val="0"/>
                      <w:bCs w:val="0"/>
                      <w:color w:val="auto"/>
                      <w:lang w:eastAsia="zh-CN"/>
                    </w:rPr>
                    <w:t>。</w:t>
                  </w:r>
                </w:p>
              </w:tc>
            </w:tr>
          </w:tbl>
          <w:p w14:paraId="0F040A5C">
            <w:pPr>
              <w:pStyle w:val="6"/>
              <w:bidi w:val="0"/>
              <w:rPr>
                <w:rFonts w:hint="eastAsia"/>
                <w:color w:val="auto"/>
                <w:sz w:val="21"/>
                <w:szCs w:val="21"/>
                <w:lang w:val="en-US" w:eastAsia="zh-CN"/>
              </w:rPr>
            </w:pPr>
          </w:p>
          <w:p w14:paraId="527FE784">
            <w:pPr>
              <w:bidi w:val="0"/>
              <w:ind w:left="0" w:leftChars="0" w:firstLine="0" w:firstLineChars="0"/>
              <w:rPr>
                <w:rFonts w:hint="default"/>
                <w:b/>
                <w:bCs/>
                <w:color w:val="auto"/>
                <w:lang w:val="en-US" w:eastAsia="zh-CN"/>
              </w:rPr>
            </w:pPr>
            <w:r>
              <w:rPr>
                <w:rFonts w:hint="eastAsia"/>
                <w:b/>
                <w:bCs/>
                <w:color w:val="auto"/>
                <w:lang w:val="en-US" w:eastAsia="zh-CN"/>
              </w:rPr>
              <w:t>4.3 各项目噪声产生情况和防治措施</w:t>
            </w:r>
          </w:p>
          <w:p w14:paraId="503DB6AD">
            <w:pPr>
              <w:bidi w:val="0"/>
              <w:ind w:left="0" w:leftChars="0" w:firstLine="0" w:firstLineChars="0"/>
              <w:rPr>
                <w:rFonts w:hint="eastAsia"/>
                <w:b/>
                <w:bCs/>
                <w:color w:val="auto"/>
                <w:lang w:val="en-US" w:eastAsia="zh-CN"/>
              </w:rPr>
            </w:pPr>
            <w:r>
              <w:rPr>
                <w:rFonts w:hint="eastAsia"/>
                <w:b/>
                <w:bCs/>
                <w:color w:val="auto"/>
                <w:lang w:val="en-US" w:eastAsia="zh-CN"/>
              </w:rPr>
              <w:t>4.3.1噪声源强</w:t>
            </w:r>
          </w:p>
          <w:p w14:paraId="27D4E3A5">
            <w:pPr>
              <w:widowControl/>
              <w:spacing w:line="360" w:lineRule="auto"/>
              <w:ind w:firstLine="480" w:firstLineChars="200"/>
              <w:rPr>
                <w:rFonts w:hint="default" w:ascii="Times New Roman" w:hAnsi="Times New Roman" w:cs="Times New Roman"/>
                <w:color w:val="auto"/>
                <w:sz w:val="24"/>
                <w:szCs w:val="24"/>
              </w:rPr>
            </w:pPr>
            <w:r>
              <w:rPr>
                <w:rFonts w:hint="eastAsia"/>
                <w:color w:val="auto"/>
                <w:sz w:val="24"/>
                <w:szCs w:val="24"/>
                <w:lang w:eastAsia="zh-CN"/>
              </w:rPr>
              <w:t>本项目</w:t>
            </w:r>
            <w:r>
              <w:rPr>
                <w:rFonts w:hint="eastAsia"/>
                <w:color w:val="auto"/>
                <w:sz w:val="24"/>
                <w:szCs w:val="24"/>
              </w:rPr>
              <w:t>的噪声主要是</w:t>
            </w:r>
            <w:r>
              <w:rPr>
                <w:rFonts w:hint="eastAsia"/>
                <w:color w:val="auto"/>
                <w:sz w:val="24"/>
                <w:szCs w:val="24"/>
                <w:lang w:val="en-US" w:eastAsia="zh-CN"/>
              </w:rPr>
              <w:t>生产设备运行及环保设备风机</w:t>
            </w:r>
            <w:r>
              <w:rPr>
                <w:rFonts w:hint="eastAsia"/>
                <w:color w:val="auto"/>
                <w:sz w:val="24"/>
                <w:szCs w:val="24"/>
              </w:rPr>
              <w:t>运行时产生的噪声。其噪声值在</w:t>
            </w:r>
            <w:r>
              <w:rPr>
                <w:rFonts w:hint="eastAsia"/>
                <w:color w:val="auto"/>
                <w:sz w:val="24"/>
                <w:szCs w:val="24"/>
                <w:lang w:val="en-US" w:eastAsia="zh-CN"/>
              </w:rPr>
              <w:t>60~95</w:t>
            </w:r>
            <w:r>
              <w:rPr>
                <w:rFonts w:hint="eastAsia"/>
                <w:color w:val="auto"/>
                <w:sz w:val="24"/>
                <w:szCs w:val="24"/>
              </w:rPr>
              <w:t>dB（A）之间，噪声特征以连续性噪声为主，间歇性噪声为辅，噪声污染源强核算结果及相关参数</w:t>
            </w:r>
            <w:r>
              <w:rPr>
                <w:rFonts w:hint="eastAsia"/>
                <w:color w:val="auto"/>
                <w:sz w:val="24"/>
                <w:szCs w:val="24"/>
                <w:lang w:eastAsia="zh-CN"/>
              </w:rPr>
              <w:t>如下</w:t>
            </w:r>
            <w:r>
              <w:rPr>
                <w:rFonts w:hint="eastAsia"/>
                <w:color w:val="auto"/>
                <w:sz w:val="24"/>
                <w:szCs w:val="24"/>
              </w:rPr>
              <w:t>表4-</w:t>
            </w:r>
            <w:r>
              <w:rPr>
                <w:rFonts w:hint="eastAsia"/>
                <w:color w:val="auto"/>
                <w:sz w:val="24"/>
                <w:szCs w:val="24"/>
                <w:lang w:val="en-US" w:eastAsia="zh-CN"/>
              </w:rPr>
              <w:t>12</w:t>
            </w:r>
            <w:r>
              <w:rPr>
                <w:rFonts w:hint="eastAsia"/>
                <w:color w:val="auto"/>
                <w:sz w:val="24"/>
                <w:szCs w:val="24"/>
              </w:rPr>
              <w:t>，4-</w:t>
            </w:r>
            <w:r>
              <w:rPr>
                <w:rFonts w:hint="eastAsia"/>
                <w:color w:val="auto"/>
                <w:sz w:val="24"/>
                <w:szCs w:val="24"/>
                <w:lang w:val="en-US" w:eastAsia="zh-CN"/>
              </w:rPr>
              <w:t>13</w:t>
            </w:r>
            <w:r>
              <w:rPr>
                <w:rFonts w:hint="eastAsia"/>
                <w:color w:val="auto"/>
                <w:sz w:val="24"/>
                <w:szCs w:val="24"/>
              </w:rPr>
              <w:t>。</w:t>
            </w:r>
          </w:p>
          <w:p w14:paraId="469D46E9">
            <w:pPr>
              <w:pStyle w:val="38"/>
              <w:bidi w:val="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表4-1</w:t>
            </w:r>
            <w:r>
              <w:rPr>
                <w:rFonts w:hint="eastAsia" w:cs="Times New Roman"/>
                <w:color w:val="auto"/>
                <w:lang w:val="en-US" w:eastAsia="zh-CN"/>
              </w:rPr>
              <w:t>2</w:t>
            </w:r>
            <w:r>
              <w:rPr>
                <w:rFonts w:hint="default" w:ascii="Times New Roman" w:hAnsi="Times New Roman" w:cs="Times New Roman"/>
                <w:color w:val="auto"/>
                <w:lang w:val="en-US" w:eastAsia="zh-CN"/>
              </w:rPr>
              <w:t xml:space="preserve">  工业企业噪声源强调查清单（室外源强）</w:t>
            </w:r>
          </w:p>
          <w:tbl>
            <w:tblPr>
              <w:tblStyle w:val="32"/>
              <w:tblW w:w="87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74"/>
              <w:gridCol w:w="1037"/>
              <w:gridCol w:w="1147"/>
              <w:gridCol w:w="1841"/>
              <w:gridCol w:w="883"/>
              <w:gridCol w:w="883"/>
              <w:gridCol w:w="883"/>
              <w:gridCol w:w="936"/>
            </w:tblGrid>
            <w:tr w14:paraId="02A9F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174" w:type="dxa"/>
                  <w:vMerge w:val="restart"/>
                  <w:tcBorders>
                    <w:tl2br w:val="nil"/>
                    <w:tr2bl w:val="nil"/>
                  </w:tcBorders>
                  <w:vAlign w:val="center"/>
                </w:tcPr>
                <w:p w14:paraId="4523074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eastAsia="zh-CN"/>
                    </w:rPr>
                    <w:t>声源名称</w:t>
                  </w:r>
                </w:p>
              </w:tc>
              <w:tc>
                <w:tcPr>
                  <w:tcW w:w="1037" w:type="dxa"/>
                  <w:vMerge w:val="restart"/>
                  <w:tcBorders>
                    <w:tl2br w:val="nil"/>
                    <w:tr2bl w:val="nil"/>
                  </w:tcBorders>
                  <w:vAlign w:val="center"/>
                </w:tcPr>
                <w:p w14:paraId="47B2EF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eastAsia="zh-CN"/>
                    </w:rPr>
                    <w:t>型号</w:t>
                  </w:r>
                </w:p>
              </w:tc>
              <w:tc>
                <w:tcPr>
                  <w:tcW w:w="1147" w:type="dxa"/>
                  <w:tcBorders>
                    <w:tl2br w:val="nil"/>
                    <w:tr2bl w:val="nil"/>
                  </w:tcBorders>
                  <w:vAlign w:val="center"/>
                </w:tcPr>
                <w:p w14:paraId="2257AE6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eastAsia="zh-CN"/>
                    </w:rPr>
                    <w:t>声源源强</w:t>
                  </w:r>
                </w:p>
              </w:tc>
              <w:tc>
                <w:tcPr>
                  <w:tcW w:w="1841" w:type="dxa"/>
                  <w:vMerge w:val="restart"/>
                  <w:tcBorders>
                    <w:tl2br w:val="nil"/>
                    <w:tr2bl w:val="nil"/>
                  </w:tcBorders>
                  <w:vAlign w:val="center"/>
                </w:tcPr>
                <w:p w14:paraId="3AAC34C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eastAsia="zh-CN"/>
                    </w:rPr>
                    <w:t>声源控制措施</w:t>
                  </w:r>
                </w:p>
              </w:tc>
              <w:tc>
                <w:tcPr>
                  <w:tcW w:w="2649" w:type="dxa"/>
                  <w:gridSpan w:val="3"/>
                  <w:tcBorders>
                    <w:tl2br w:val="nil"/>
                    <w:tr2bl w:val="nil"/>
                  </w:tcBorders>
                  <w:vAlign w:val="center"/>
                </w:tcPr>
                <w:p w14:paraId="15C7C89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eastAsia="zh-CN"/>
                    </w:rPr>
                    <w:t>空间相对位置/m</w:t>
                  </w:r>
                </w:p>
              </w:tc>
              <w:tc>
                <w:tcPr>
                  <w:tcW w:w="936" w:type="dxa"/>
                  <w:vMerge w:val="restart"/>
                  <w:tcBorders>
                    <w:tl2br w:val="nil"/>
                    <w:tr2bl w:val="nil"/>
                  </w:tcBorders>
                  <w:vAlign w:val="center"/>
                </w:tcPr>
                <w:p w14:paraId="1E97615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rPr>
                    <w:t>运行时段</w:t>
                  </w:r>
                </w:p>
              </w:tc>
            </w:tr>
            <w:tr w14:paraId="5BAA4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1174" w:type="dxa"/>
                  <w:vMerge w:val="continue"/>
                  <w:tcBorders>
                    <w:tl2br w:val="nil"/>
                    <w:tr2bl w:val="nil"/>
                  </w:tcBorders>
                  <w:vAlign w:val="center"/>
                </w:tcPr>
                <w:p w14:paraId="4DE49FC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p>
              </w:tc>
              <w:tc>
                <w:tcPr>
                  <w:tcW w:w="1037" w:type="dxa"/>
                  <w:vMerge w:val="continue"/>
                  <w:tcBorders>
                    <w:tl2br w:val="nil"/>
                    <w:tr2bl w:val="nil"/>
                  </w:tcBorders>
                  <w:vAlign w:val="center"/>
                </w:tcPr>
                <w:p w14:paraId="0CFB04A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p>
              </w:tc>
              <w:tc>
                <w:tcPr>
                  <w:tcW w:w="1147" w:type="dxa"/>
                  <w:tcBorders>
                    <w:tl2br w:val="nil"/>
                    <w:tr2bl w:val="nil"/>
                  </w:tcBorders>
                  <w:vAlign w:val="center"/>
                </w:tcPr>
                <w:p w14:paraId="72CDFE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lang w:eastAsia="zh-CN"/>
                    </w:rPr>
                    <w:t>声压级/dB（A）</w:t>
                  </w:r>
                </w:p>
              </w:tc>
              <w:tc>
                <w:tcPr>
                  <w:tcW w:w="1841" w:type="dxa"/>
                  <w:vMerge w:val="continue"/>
                  <w:tcBorders>
                    <w:tl2br w:val="nil"/>
                    <w:tr2bl w:val="nil"/>
                  </w:tcBorders>
                  <w:vAlign w:val="center"/>
                </w:tcPr>
                <w:p w14:paraId="151260C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p>
              </w:tc>
              <w:tc>
                <w:tcPr>
                  <w:tcW w:w="883" w:type="dxa"/>
                  <w:tcBorders>
                    <w:tl2br w:val="nil"/>
                    <w:tr2bl w:val="nil"/>
                  </w:tcBorders>
                  <w:vAlign w:val="center"/>
                </w:tcPr>
                <w:p w14:paraId="4160D07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eastAsia="zh-CN"/>
                    </w:rPr>
                    <w:t>X</w:t>
                  </w:r>
                </w:p>
              </w:tc>
              <w:tc>
                <w:tcPr>
                  <w:tcW w:w="883" w:type="dxa"/>
                  <w:tcBorders>
                    <w:tl2br w:val="nil"/>
                    <w:tr2bl w:val="nil"/>
                  </w:tcBorders>
                  <w:vAlign w:val="center"/>
                </w:tcPr>
                <w:p w14:paraId="2B46C2B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eastAsia="zh-CN"/>
                    </w:rPr>
                    <w:t>Y</w:t>
                  </w:r>
                </w:p>
              </w:tc>
              <w:tc>
                <w:tcPr>
                  <w:tcW w:w="883" w:type="dxa"/>
                  <w:tcBorders>
                    <w:tl2br w:val="nil"/>
                    <w:tr2bl w:val="nil"/>
                  </w:tcBorders>
                  <w:vAlign w:val="center"/>
                </w:tcPr>
                <w:p w14:paraId="6379269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eastAsia="zh-CN"/>
                    </w:rPr>
                    <w:t>Z</w:t>
                  </w:r>
                </w:p>
              </w:tc>
              <w:tc>
                <w:tcPr>
                  <w:tcW w:w="936" w:type="dxa"/>
                  <w:vMerge w:val="continue"/>
                  <w:tcBorders>
                    <w:tl2br w:val="nil"/>
                    <w:tr2bl w:val="nil"/>
                  </w:tcBorders>
                  <w:vAlign w:val="center"/>
                </w:tcPr>
                <w:p w14:paraId="70BB893D">
                  <w:pPr>
                    <w:pStyle w:val="37"/>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cs="Times New Roman"/>
                      <w:b/>
                      <w:bCs/>
                      <w:color w:val="auto"/>
                      <w:lang w:val="en-US" w:eastAsia="zh-CN"/>
                    </w:rPr>
                  </w:pPr>
                </w:p>
              </w:tc>
            </w:tr>
            <w:tr w14:paraId="7DB79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174" w:type="dxa"/>
                  <w:tcBorders>
                    <w:tl2br w:val="nil"/>
                    <w:tr2bl w:val="nil"/>
                  </w:tcBorders>
                  <w:vAlign w:val="center"/>
                </w:tcPr>
                <w:p w14:paraId="4EF065F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风机</w:t>
                  </w:r>
                  <w:r>
                    <w:rPr>
                      <w:rFonts w:hint="eastAsia" w:ascii="Times New Roman" w:hAnsi="Times New Roman" w:cs="Times New Roman"/>
                      <w:b w:val="0"/>
                      <w:bCs/>
                      <w:color w:val="auto"/>
                      <w:sz w:val="21"/>
                      <w:szCs w:val="21"/>
                      <w:lang w:val="en-US" w:eastAsia="zh-CN"/>
                    </w:rPr>
                    <w:t>1</w:t>
                  </w:r>
                </w:p>
              </w:tc>
              <w:tc>
                <w:tcPr>
                  <w:tcW w:w="1037" w:type="dxa"/>
                  <w:tcBorders>
                    <w:tl2br w:val="nil"/>
                    <w:tr2bl w:val="nil"/>
                  </w:tcBorders>
                  <w:vAlign w:val="center"/>
                </w:tcPr>
                <w:p w14:paraId="5C5D611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4000m</w:t>
                  </w:r>
                  <w:r>
                    <w:rPr>
                      <w:rFonts w:hint="eastAsia" w:ascii="Times New Roman" w:hAnsi="Times New Roman" w:cs="Times New Roman"/>
                      <w:b w:val="0"/>
                      <w:bCs/>
                      <w:color w:val="auto"/>
                      <w:vertAlign w:val="superscript"/>
                      <w:lang w:val="en-US" w:eastAsia="zh-CN"/>
                    </w:rPr>
                    <w:t>3</w:t>
                  </w:r>
                  <w:r>
                    <w:rPr>
                      <w:rFonts w:hint="eastAsia" w:ascii="Times New Roman" w:hAnsi="Times New Roman" w:cs="Times New Roman"/>
                      <w:b w:val="0"/>
                      <w:bCs/>
                      <w:color w:val="auto"/>
                      <w:lang w:val="en-US" w:eastAsia="zh-CN"/>
                    </w:rPr>
                    <w:t>/h</w:t>
                  </w:r>
                </w:p>
              </w:tc>
              <w:tc>
                <w:tcPr>
                  <w:tcW w:w="1147" w:type="dxa"/>
                  <w:tcBorders>
                    <w:tl2br w:val="nil"/>
                    <w:tr2bl w:val="nil"/>
                  </w:tcBorders>
                  <w:vAlign w:val="center"/>
                </w:tcPr>
                <w:p w14:paraId="0553B1F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95</w:t>
                  </w:r>
                </w:p>
              </w:tc>
              <w:tc>
                <w:tcPr>
                  <w:tcW w:w="1841" w:type="dxa"/>
                  <w:tcBorders>
                    <w:tl2br w:val="nil"/>
                    <w:tr2bl w:val="nil"/>
                  </w:tcBorders>
                  <w:vAlign w:val="center"/>
                </w:tcPr>
                <w:p w14:paraId="15E2308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消声、基础减振</w:t>
                  </w:r>
                </w:p>
              </w:tc>
              <w:tc>
                <w:tcPr>
                  <w:tcW w:w="883" w:type="dxa"/>
                  <w:tcBorders>
                    <w:tl2br w:val="nil"/>
                    <w:tr2bl w:val="nil"/>
                  </w:tcBorders>
                  <w:vAlign w:val="center"/>
                </w:tcPr>
                <w:p w14:paraId="241356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140</w:t>
                  </w:r>
                </w:p>
              </w:tc>
              <w:tc>
                <w:tcPr>
                  <w:tcW w:w="883" w:type="dxa"/>
                  <w:tcBorders>
                    <w:tl2br w:val="nil"/>
                    <w:tr2bl w:val="nil"/>
                  </w:tcBorders>
                  <w:vAlign w:val="center"/>
                </w:tcPr>
                <w:p w14:paraId="52E06F0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100</w:t>
                  </w:r>
                </w:p>
              </w:tc>
              <w:tc>
                <w:tcPr>
                  <w:tcW w:w="883" w:type="dxa"/>
                  <w:tcBorders>
                    <w:tl2br w:val="nil"/>
                    <w:tr2bl w:val="nil"/>
                  </w:tcBorders>
                  <w:vAlign w:val="center"/>
                </w:tcPr>
                <w:p w14:paraId="2281BDC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w:t>
                  </w:r>
                </w:p>
              </w:tc>
              <w:tc>
                <w:tcPr>
                  <w:tcW w:w="936" w:type="dxa"/>
                  <w:tcBorders>
                    <w:tl2br w:val="nil"/>
                    <w:tr2bl w:val="nil"/>
                  </w:tcBorders>
                  <w:vAlign w:val="center"/>
                </w:tcPr>
                <w:p w14:paraId="418586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昼</w:t>
                  </w:r>
                </w:p>
              </w:tc>
            </w:tr>
            <w:tr w14:paraId="1EFD7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174" w:type="dxa"/>
                  <w:tcBorders>
                    <w:tl2br w:val="nil"/>
                    <w:tr2bl w:val="nil"/>
                  </w:tcBorders>
                  <w:vAlign w:val="center"/>
                </w:tcPr>
                <w:p w14:paraId="2E13B99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风机2</w:t>
                  </w:r>
                </w:p>
              </w:tc>
              <w:tc>
                <w:tcPr>
                  <w:tcW w:w="1037" w:type="dxa"/>
                  <w:tcBorders>
                    <w:tl2br w:val="nil"/>
                    <w:tr2bl w:val="nil"/>
                  </w:tcBorders>
                  <w:vAlign w:val="center"/>
                </w:tcPr>
                <w:p w14:paraId="6E6AD9E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9600m</w:t>
                  </w:r>
                  <w:r>
                    <w:rPr>
                      <w:rFonts w:hint="eastAsia" w:ascii="Times New Roman" w:hAnsi="Times New Roman" w:cs="Times New Roman"/>
                      <w:b w:val="0"/>
                      <w:bCs/>
                      <w:color w:val="auto"/>
                      <w:vertAlign w:val="superscript"/>
                      <w:lang w:val="en-US" w:eastAsia="zh-CN"/>
                    </w:rPr>
                    <w:t>3</w:t>
                  </w:r>
                  <w:r>
                    <w:rPr>
                      <w:rFonts w:hint="eastAsia" w:ascii="Times New Roman" w:hAnsi="Times New Roman" w:cs="Times New Roman"/>
                      <w:b w:val="0"/>
                      <w:bCs/>
                      <w:color w:val="auto"/>
                      <w:lang w:val="en-US" w:eastAsia="zh-CN"/>
                    </w:rPr>
                    <w:t>/h</w:t>
                  </w:r>
                </w:p>
              </w:tc>
              <w:tc>
                <w:tcPr>
                  <w:tcW w:w="1147" w:type="dxa"/>
                  <w:tcBorders>
                    <w:tl2br w:val="nil"/>
                    <w:tr2bl w:val="nil"/>
                  </w:tcBorders>
                  <w:vAlign w:val="center"/>
                </w:tcPr>
                <w:p w14:paraId="21187C8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95</w:t>
                  </w:r>
                </w:p>
              </w:tc>
              <w:tc>
                <w:tcPr>
                  <w:tcW w:w="1841" w:type="dxa"/>
                  <w:tcBorders>
                    <w:tl2br w:val="nil"/>
                    <w:tr2bl w:val="nil"/>
                  </w:tcBorders>
                  <w:vAlign w:val="center"/>
                </w:tcPr>
                <w:p w14:paraId="2E50692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消声、基础减振</w:t>
                  </w:r>
                </w:p>
              </w:tc>
              <w:tc>
                <w:tcPr>
                  <w:tcW w:w="883" w:type="dxa"/>
                  <w:tcBorders>
                    <w:tl2br w:val="nil"/>
                    <w:tr2bl w:val="nil"/>
                  </w:tcBorders>
                  <w:vAlign w:val="center"/>
                </w:tcPr>
                <w:p w14:paraId="5092F2B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w:t>
                  </w:r>
                </w:p>
              </w:tc>
              <w:tc>
                <w:tcPr>
                  <w:tcW w:w="883" w:type="dxa"/>
                  <w:tcBorders>
                    <w:tl2br w:val="nil"/>
                    <w:tr2bl w:val="nil"/>
                  </w:tcBorders>
                  <w:vAlign w:val="center"/>
                </w:tcPr>
                <w:p w14:paraId="0F92385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48</w:t>
                  </w:r>
                </w:p>
              </w:tc>
              <w:tc>
                <w:tcPr>
                  <w:tcW w:w="883" w:type="dxa"/>
                  <w:tcBorders>
                    <w:tl2br w:val="nil"/>
                    <w:tr2bl w:val="nil"/>
                  </w:tcBorders>
                  <w:vAlign w:val="center"/>
                </w:tcPr>
                <w:p w14:paraId="12537BB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w:t>
                  </w:r>
                </w:p>
              </w:tc>
              <w:tc>
                <w:tcPr>
                  <w:tcW w:w="936" w:type="dxa"/>
                  <w:tcBorders>
                    <w:tl2br w:val="nil"/>
                    <w:tr2bl w:val="nil"/>
                  </w:tcBorders>
                  <w:vAlign w:val="center"/>
                </w:tcPr>
                <w:p w14:paraId="0D3BC59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昼</w:t>
                  </w:r>
                </w:p>
              </w:tc>
            </w:tr>
            <w:tr w14:paraId="02731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174" w:type="dxa"/>
                  <w:tcBorders>
                    <w:tl2br w:val="nil"/>
                    <w:tr2bl w:val="nil"/>
                  </w:tcBorders>
                  <w:vAlign w:val="center"/>
                </w:tcPr>
                <w:p w14:paraId="6D0F984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风机3</w:t>
                  </w:r>
                </w:p>
              </w:tc>
              <w:tc>
                <w:tcPr>
                  <w:tcW w:w="1037" w:type="dxa"/>
                  <w:tcBorders>
                    <w:tl2br w:val="nil"/>
                    <w:tr2bl w:val="nil"/>
                  </w:tcBorders>
                  <w:vAlign w:val="center"/>
                </w:tcPr>
                <w:p w14:paraId="30F9675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4800m</w:t>
                  </w:r>
                  <w:r>
                    <w:rPr>
                      <w:rFonts w:hint="eastAsia" w:ascii="Times New Roman" w:hAnsi="Times New Roman" w:cs="Times New Roman"/>
                      <w:b w:val="0"/>
                      <w:bCs/>
                      <w:color w:val="auto"/>
                      <w:vertAlign w:val="superscript"/>
                      <w:lang w:val="en-US" w:eastAsia="zh-CN"/>
                    </w:rPr>
                    <w:t>3</w:t>
                  </w:r>
                  <w:r>
                    <w:rPr>
                      <w:rFonts w:hint="eastAsia" w:ascii="Times New Roman" w:hAnsi="Times New Roman" w:cs="Times New Roman"/>
                      <w:b w:val="0"/>
                      <w:bCs/>
                      <w:color w:val="auto"/>
                      <w:lang w:val="en-US" w:eastAsia="zh-CN"/>
                    </w:rPr>
                    <w:t>/h</w:t>
                  </w:r>
                </w:p>
              </w:tc>
              <w:tc>
                <w:tcPr>
                  <w:tcW w:w="1147" w:type="dxa"/>
                  <w:tcBorders>
                    <w:tl2br w:val="nil"/>
                    <w:tr2bl w:val="nil"/>
                  </w:tcBorders>
                  <w:vAlign w:val="center"/>
                </w:tcPr>
                <w:p w14:paraId="27980C3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95</w:t>
                  </w:r>
                </w:p>
              </w:tc>
              <w:tc>
                <w:tcPr>
                  <w:tcW w:w="1841" w:type="dxa"/>
                  <w:tcBorders>
                    <w:tl2br w:val="nil"/>
                    <w:tr2bl w:val="nil"/>
                  </w:tcBorders>
                  <w:vAlign w:val="center"/>
                </w:tcPr>
                <w:p w14:paraId="3D63377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消声、基础减振</w:t>
                  </w:r>
                </w:p>
              </w:tc>
              <w:tc>
                <w:tcPr>
                  <w:tcW w:w="883" w:type="dxa"/>
                  <w:tcBorders>
                    <w:tl2br w:val="nil"/>
                    <w:tr2bl w:val="nil"/>
                  </w:tcBorders>
                  <w:vAlign w:val="center"/>
                </w:tcPr>
                <w:p w14:paraId="56990D9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w:t>
                  </w:r>
                </w:p>
              </w:tc>
              <w:tc>
                <w:tcPr>
                  <w:tcW w:w="883" w:type="dxa"/>
                  <w:tcBorders>
                    <w:tl2br w:val="nil"/>
                    <w:tr2bl w:val="nil"/>
                  </w:tcBorders>
                  <w:vAlign w:val="center"/>
                </w:tcPr>
                <w:p w14:paraId="1BE5927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42</w:t>
                  </w:r>
                </w:p>
              </w:tc>
              <w:tc>
                <w:tcPr>
                  <w:tcW w:w="883" w:type="dxa"/>
                  <w:tcBorders>
                    <w:tl2br w:val="nil"/>
                    <w:tr2bl w:val="nil"/>
                  </w:tcBorders>
                  <w:vAlign w:val="center"/>
                </w:tcPr>
                <w:p w14:paraId="4FFCAA1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w:t>
                  </w:r>
                </w:p>
              </w:tc>
              <w:tc>
                <w:tcPr>
                  <w:tcW w:w="936" w:type="dxa"/>
                  <w:tcBorders>
                    <w:tl2br w:val="nil"/>
                    <w:tr2bl w:val="nil"/>
                  </w:tcBorders>
                  <w:vAlign w:val="center"/>
                </w:tcPr>
                <w:p w14:paraId="57D2AB0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昼</w:t>
                  </w:r>
                </w:p>
              </w:tc>
            </w:tr>
            <w:tr w14:paraId="690D8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174" w:type="dxa"/>
                  <w:tcBorders>
                    <w:tl2br w:val="nil"/>
                    <w:tr2bl w:val="nil"/>
                  </w:tcBorders>
                  <w:vAlign w:val="center"/>
                </w:tcPr>
                <w:p w14:paraId="52FB32F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无油</w:t>
                  </w:r>
                  <w:r>
                    <w:rPr>
                      <w:rFonts w:hint="default" w:ascii="Times New Roman" w:hAnsi="Times New Roman" w:cs="Times New Roman"/>
                      <w:b w:val="0"/>
                      <w:bCs/>
                      <w:color w:val="auto"/>
                      <w:sz w:val="21"/>
                      <w:szCs w:val="21"/>
                      <w:lang w:val="en-US" w:eastAsia="zh-CN"/>
                    </w:rPr>
                    <w:t>空压机</w:t>
                  </w:r>
                  <w:r>
                    <w:rPr>
                      <w:rFonts w:hint="eastAsia" w:ascii="Times New Roman" w:hAnsi="Times New Roman" w:cs="Times New Roman"/>
                      <w:b w:val="0"/>
                      <w:bCs/>
                      <w:color w:val="auto"/>
                      <w:sz w:val="21"/>
                      <w:szCs w:val="21"/>
                      <w:lang w:val="en-US" w:eastAsia="zh-CN"/>
                    </w:rPr>
                    <w:t>1</w:t>
                  </w:r>
                </w:p>
              </w:tc>
              <w:tc>
                <w:tcPr>
                  <w:tcW w:w="1037" w:type="dxa"/>
                  <w:tcBorders>
                    <w:tl2br w:val="nil"/>
                    <w:tr2bl w:val="nil"/>
                  </w:tcBorders>
                  <w:vAlign w:val="center"/>
                </w:tcPr>
                <w:p w14:paraId="6EFCF84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1.0/12.5三相</w:t>
                  </w:r>
                </w:p>
              </w:tc>
              <w:tc>
                <w:tcPr>
                  <w:tcW w:w="1147" w:type="dxa"/>
                  <w:tcBorders>
                    <w:tl2br w:val="nil"/>
                    <w:tr2bl w:val="nil"/>
                  </w:tcBorders>
                  <w:vAlign w:val="center"/>
                </w:tcPr>
                <w:p w14:paraId="20A7021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100</w:t>
                  </w:r>
                </w:p>
              </w:tc>
              <w:tc>
                <w:tcPr>
                  <w:tcW w:w="1841" w:type="dxa"/>
                  <w:tcBorders>
                    <w:tl2br w:val="nil"/>
                    <w:tr2bl w:val="nil"/>
                  </w:tcBorders>
                  <w:vAlign w:val="center"/>
                </w:tcPr>
                <w:p w14:paraId="66EF893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消声、基础减振</w:t>
                  </w:r>
                </w:p>
              </w:tc>
              <w:tc>
                <w:tcPr>
                  <w:tcW w:w="883" w:type="dxa"/>
                  <w:tcBorders>
                    <w:tl2br w:val="nil"/>
                    <w:tr2bl w:val="nil"/>
                  </w:tcBorders>
                  <w:vAlign w:val="center"/>
                </w:tcPr>
                <w:p w14:paraId="2D063EE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w:t>
                  </w:r>
                </w:p>
              </w:tc>
              <w:tc>
                <w:tcPr>
                  <w:tcW w:w="883" w:type="dxa"/>
                  <w:tcBorders>
                    <w:tl2br w:val="nil"/>
                    <w:tr2bl w:val="nil"/>
                  </w:tcBorders>
                  <w:vAlign w:val="center"/>
                </w:tcPr>
                <w:p w14:paraId="6C36D31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40</w:t>
                  </w:r>
                </w:p>
              </w:tc>
              <w:tc>
                <w:tcPr>
                  <w:tcW w:w="883" w:type="dxa"/>
                  <w:tcBorders>
                    <w:tl2br w:val="nil"/>
                    <w:tr2bl w:val="nil"/>
                  </w:tcBorders>
                  <w:vAlign w:val="center"/>
                </w:tcPr>
                <w:p w14:paraId="4D34EFB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w:t>
                  </w:r>
                </w:p>
              </w:tc>
              <w:tc>
                <w:tcPr>
                  <w:tcW w:w="936" w:type="dxa"/>
                  <w:tcBorders>
                    <w:tl2br w:val="nil"/>
                    <w:tr2bl w:val="nil"/>
                  </w:tcBorders>
                  <w:vAlign w:val="center"/>
                </w:tcPr>
                <w:p w14:paraId="7265CC7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昼</w:t>
                  </w:r>
                </w:p>
              </w:tc>
            </w:tr>
            <w:tr w14:paraId="412DF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174" w:type="dxa"/>
                  <w:tcBorders>
                    <w:tl2br w:val="nil"/>
                    <w:tr2bl w:val="nil"/>
                  </w:tcBorders>
                  <w:vAlign w:val="center"/>
                </w:tcPr>
                <w:p w14:paraId="5B8B743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无油</w:t>
                  </w:r>
                  <w:r>
                    <w:rPr>
                      <w:rFonts w:hint="default" w:ascii="Times New Roman" w:hAnsi="Times New Roman" w:cs="Times New Roman"/>
                      <w:b w:val="0"/>
                      <w:bCs/>
                      <w:color w:val="auto"/>
                      <w:sz w:val="21"/>
                      <w:szCs w:val="21"/>
                      <w:lang w:val="en-US" w:eastAsia="zh-CN"/>
                    </w:rPr>
                    <w:t>空压机</w:t>
                  </w:r>
                  <w:r>
                    <w:rPr>
                      <w:rFonts w:hint="eastAsia" w:ascii="Times New Roman" w:hAnsi="Times New Roman" w:cs="Times New Roman"/>
                      <w:b w:val="0"/>
                      <w:bCs/>
                      <w:color w:val="auto"/>
                      <w:sz w:val="21"/>
                      <w:szCs w:val="21"/>
                      <w:lang w:val="en-US" w:eastAsia="zh-CN"/>
                    </w:rPr>
                    <w:t>2</w:t>
                  </w:r>
                </w:p>
              </w:tc>
              <w:tc>
                <w:tcPr>
                  <w:tcW w:w="1037" w:type="dxa"/>
                  <w:tcBorders>
                    <w:tl2br w:val="nil"/>
                    <w:tr2bl w:val="nil"/>
                  </w:tcBorders>
                  <w:vAlign w:val="center"/>
                </w:tcPr>
                <w:p w14:paraId="537B231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1.0/12.5三相</w:t>
                  </w:r>
                </w:p>
              </w:tc>
              <w:tc>
                <w:tcPr>
                  <w:tcW w:w="1147" w:type="dxa"/>
                  <w:tcBorders>
                    <w:tl2br w:val="nil"/>
                    <w:tr2bl w:val="nil"/>
                  </w:tcBorders>
                  <w:vAlign w:val="center"/>
                </w:tcPr>
                <w:p w14:paraId="21036F7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100</w:t>
                  </w:r>
                </w:p>
              </w:tc>
              <w:tc>
                <w:tcPr>
                  <w:tcW w:w="1841" w:type="dxa"/>
                  <w:tcBorders>
                    <w:tl2br w:val="nil"/>
                    <w:tr2bl w:val="nil"/>
                  </w:tcBorders>
                  <w:vAlign w:val="center"/>
                </w:tcPr>
                <w:p w14:paraId="05BB266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消声、基础减振</w:t>
                  </w:r>
                </w:p>
              </w:tc>
              <w:tc>
                <w:tcPr>
                  <w:tcW w:w="883" w:type="dxa"/>
                  <w:tcBorders>
                    <w:tl2br w:val="nil"/>
                    <w:tr2bl w:val="nil"/>
                  </w:tcBorders>
                  <w:vAlign w:val="center"/>
                </w:tcPr>
                <w:p w14:paraId="76CA6F0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w:t>
                  </w:r>
                </w:p>
              </w:tc>
              <w:tc>
                <w:tcPr>
                  <w:tcW w:w="883" w:type="dxa"/>
                  <w:tcBorders>
                    <w:tl2br w:val="nil"/>
                    <w:tr2bl w:val="nil"/>
                  </w:tcBorders>
                  <w:vAlign w:val="center"/>
                </w:tcPr>
                <w:p w14:paraId="23544D7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45</w:t>
                  </w:r>
                </w:p>
              </w:tc>
              <w:tc>
                <w:tcPr>
                  <w:tcW w:w="883" w:type="dxa"/>
                  <w:tcBorders>
                    <w:tl2br w:val="nil"/>
                    <w:tr2bl w:val="nil"/>
                  </w:tcBorders>
                  <w:vAlign w:val="center"/>
                </w:tcPr>
                <w:p w14:paraId="1F4DB50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1.0</w:t>
                  </w:r>
                </w:p>
              </w:tc>
              <w:tc>
                <w:tcPr>
                  <w:tcW w:w="936" w:type="dxa"/>
                  <w:tcBorders>
                    <w:tl2br w:val="nil"/>
                    <w:tr2bl w:val="nil"/>
                  </w:tcBorders>
                  <w:vAlign w:val="center"/>
                </w:tcPr>
                <w:p w14:paraId="2121DCD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昼</w:t>
                  </w:r>
                </w:p>
              </w:tc>
            </w:tr>
          </w:tbl>
          <w:p w14:paraId="4CA6A2EE">
            <w:pPr>
              <w:bidi w:val="0"/>
              <w:ind w:left="0" w:leftChars="0" w:firstLine="0" w:firstLineChars="0"/>
              <w:rPr>
                <w:rFonts w:hint="default" w:ascii="Times New Roman" w:hAnsi="Times New Roman" w:cs="Times New Roman"/>
                <w:color w:val="auto"/>
                <w:lang w:val="en-US" w:eastAsia="zh-CN"/>
              </w:rPr>
            </w:pPr>
          </w:p>
        </w:tc>
      </w:tr>
    </w:tbl>
    <w:p w14:paraId="30E1F964">
      <w:pPr>
        <w:bidi w:val="0"/>
        <w:rPr>
          <w:rFonts w:hint="eastAsia"/>
          <w:color w:val="auto"/>
        </w:rPr>
        <w:sectPr>
          <w:footerReference r:id="rId9" w:type="default"/>
          <w:pgSz w:w="11905" w:h="16838"/>
          <w:pgMar w:top="1701" w:right="1531" w:bottom="1701" w:left="1531" w:header="1134" w:footer="1020" w:gutter="0"/>
          <w:pgBorders>
            <w:top w:val="none" w:sz="0" w:space="0"/>
            <w:left w:val="none" w:sz="0" w:space="0"/>
            <w:bottom w:val="none" w:sz="0" w:space="0"/>
            <w:right w:val="none" w:sz="0" w:space="0"/>
          </w:pgBorders>
          <w:pgNumType w:fmt="decimal"/>
          <w:cols w:space="720" w:num="1"/>
          <w:rtlGutter w:val="0"/>
          <w:docGrid w:linePitch="312" w:charSpace="0"/>
        </w:sectPr>
      </w:pP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6" w:space="0"/>
        </w:tblBorders>
        <w:tblLayout w:type="fixed"/>
        <w:tblCellMar>
          <w:top w:w="0" w:type="dxa"/>
          <w:left w:w="108" w:type="dxa"/>
          <w:bottom w:w="0" w:type="dxa"/>
          <w:right w:w="108" w:type="dxa"/>
        </w:tblCellMar>
      </w:tblPr>
      <w:tblGrid>
        <w:gridCol w:w="650"/>
        <w:gridCol w:w="13561"/>
      </w:tblGrid>
      <w:tr w14:paraId="72F80DC7">
        <w:tblPrEx>
          <w:tblBorders>
            <w:top w:val="single" w:color="auto" w:sz="12" w:space="0"/>
            <w:left w:val="single" w:color="auto" w:sz="12" w:space="0"/>
            <w:bottom w:val="single" w:color="auto" w:sz="12" w:space="0"/>
            <w:right w:val="single" w:color="auto" w:sz="12" w:space="0"/>
            <w:insideH w:val="single" w:color="auto" w:sz="8" w:space="0"/>
            <w:insideV w:val="single" w:color="auto" w:sz="6" w:space="0"/>
          </w:tblBorders>
          <w:tblCellMar>
            <w:top w:w="0" w:type="dxa"/>
            <w:left w:w="108" w:type="dxa"/>
            <w:bottom w:w="0" w:type="dxa"/>
            <w:right w:w="108" w:type="dxa"/>
          </w:tblCellMar>
        </w:tblPrEx>
        <w:trPr>
          <w:trHeight w:val="5263" w:hRule="atLeast"/>
          <w:jc w:val="center"/>
        </w:trPr>
        <w:tc>
          <w:tcPr>
            <w:tcW w:w="650" w:type="dxa"/>
            <w:tcBorders>
              <w:tl2br w:val="nil"/>
              <w:tr2bl w:val="nil"/>
            </w:tcBorders>
            <w:vAlign w:val="center"/>
          </w:tcPr>
          <w:p w14:paraId="745B54EB">
            <w:pPr>
              <w:pStyle w:val="37"/>
              <w:bidi w:val="0"/>
              <w:rPr>
                <w:rFonts w:hint="eastAsia"/>
                <w:color w:val="auto"/>
              </w:rPr>
            </w:pPr>
            <w:r>
              <w:rPr>
                <w:rFonts w:hint="eastAsia" w:ascii="宋体" w:hAnsi="宋体" w:cs="宋体"/>
                <w:b w:val="0"/>
                <w:bCs w:val="0"/>
                <w:color w:val="auto"/>
                <w:spacing w:val="0"/>
                <w:w w:val="100"/>
                <w:position w:val="0"/>
                <w:sz w:val="21"/>
                <w:szCs w:val="21"/>
              </w:rPr>
              <w:t>运营期环境影响和保护措施</w:t>
            </w:r>
          </w:p>
        </w:tc>
        <w:tc>
          <w:tcPr>
            <w:tcW w:w="13561" w:type="dxa"/>
            <w:tcBorders>
              <w:tl2br w:val="nil"/>
              <w:tr2bl w:val="nil"/>
            </w:tcBorders>
            <w:vAlign w:val="center"/>
          </w:tcPr>
          <w:p w14:paraId="4C7C88CB">
            <w:pPr>
              <w:pStyle w:val="38"/>
              <w:bidi w:val="0"/>
              <w:rPr>
                <w:rFonts w:hint="eastAsia"/>
                <w:color w:val="auto"/>
                <w:lang w:val="en-US" w:eastAsia="zh-CN"/>
              </w:rPr>
            </w:pPr>
            <w:r>
              <w:rPr>
                <w:rFonts w:hint="eastAsia"/>
                <w:color w:val="auto"/>
                <w:lang w:val="en-US" w:eastAsia="zh-CN"/>
              </w:rPr>
              <w:t>表4-13  工业企业噪声源强调查清单（</w:t>
            </w:r>
            <w:r>
              <w:rPr>
                <w:rFonts w:hint="eastAsia" w:ascii="Times New Roman" w:hAnsi="Times New Roman" w:cs="Times New Roman"/>
                <w:b/>
                <w:bCs/>
                <w:color w:val="auto"/>
                <w:kern w:val="0"/>
                <w:sz w:val="21"/>
                <w:szCs w:val="21"/>
                <w:lang w:val="en-US" w:eastAsia="zh-CN" w:bidi="en-US"/>
              </w:rPr>
              <w:t>室内声源</w:t>
            </w:r>
            <w:r>
              <w:rPr>
                <w:rFonts w:hint="eastAsia"/>
                <w:color w:val="auto"/>
                <w:lang w:val="en-US" w:eastAsia="zh-CN"/>
              </w:rPr>
              <w:t>）</w:t>
            </w:r>
          </w:p>
          <w:tbl>
            <w:tblPr>
              <w:tblStyle w:val="32"/>
              <w:tblW w:w="134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26"/>
              <w:gridCol w:w="1569"/>
              <w:gridCol w:w="1479"/>
              <w:gridCol w:w="1147"/>
              <w:gridCol w:w="694"/>
              <w:gridCol w:w="729"/>
              <w:gridCol w:w="766"/>
              <w:gridCol w:w="797"/>
              <w:gridCol w:w="1042"/>
              <w:gridCol w:w="975"/>
              <w:gridCol w:w="817"/>
              <w:gridCol w:w="1103"/>
              <w:gridCol w:w="1598"/>
            </w:tblGrid>
            <w:tr w14:paraId="67552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6" w:hRule="atLeast"/>
                <w:tblHeader/>
                <w:jc w:val="center"/>
              </w:trPr>
              <w:tc>
                <w:tcPr>
                  <w:tcW w:w="726" w:type="dxa"/>
                  <w:vMerge w:val="restart"/>
                  <w:tcBorders>
                    <w:tl2br w:val="nil"/>
                    <w:tr2bl w:val="nil"/>
                  </w:tcBorders>
                  <w:vAlign w:val="center"/>
                </w:tcPr>
                <w:p w14:paraId="49C6E989">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建筑物名称</w:t>
                  </w:r>
                </w:p>
              </w:tc>
              <w:tc>
                <w:tcPr>
                  <w:tcW w:w="1569" w:type="dxa"/>
                  <w:vMerge w:val="restart"/>
                  <w:tcBorders>
                    <w:tl2br w:val="nil"/>
                    <w:tr2bl w:val="nil"/>
                  </w:tcBorders>
                  <w:vAlign w:val="center"/>
                </w:tcPr>
                <w:p w14:paraId="40F4CEBB">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声源名称</w:t>
                  </w:r>
                </w:p>
              </w:tc>
              <w:tc>
                <w:tcPr>
                  <w:tcW w:w="1479" w:type="dxa"/>
                  <w:vMerge w:val="restart"/>
                  <w:tcBorders>
                    <w:tl2br w:val="nil"/>
                    <w:tr2bl w:val="nil"/>
                  </w:tcBorders>
                  <w:vAlign w:val="center"/>
                </w:tcPr>
                <w:p w14:paraId="16FF96BE">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型号</w:t>
                  </w:r>
                </w:p>
              </w:tc>
              <w:tc>
                <w:tcPr>
                  <w:tcW w:w="1147" w:type="dxa"/>
                  <w:vMerge w:val="restart"/>
                  <w:tcBorders>
                    <w:tl2br w:val="nil"/>
                    <w:tr2bl w:val="nil"/>
                  </w:tcBorders>
                  <w:vAlign w:val="center"/>
                </w:tcPr>
                <w:p w14:paraId="6F9FD814">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声源源强/（声压级/dB（A））</w:t>
                  </w:r>
                </w:p>
              </w:tc>
              <w:tc>
                <w:tcPr>
                  <w:tcW w:w="694" w:type="dxa"/>
                  <w:vMerge w:val="restart"/>
                  <w:tcBorders>
                    <w:tl2br w:val="nil"/>
                    <w:tr2bl w:val="nil"/>
                  </w:tcBorders>
                  <w:vAlign w:val="center"/>
                </w:tcPr>
                <w:p w14:paraId="44DE023A">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声源控制措施</w:t>
                  </w:r>
                </w:p>
              </w:tc>
              <w:tc>
                <w:tcPr>
                  <w:tcW w:w="2292" w:type="dxa"/>
                  <w:gridSpan w:val="3"/>
                  <w:tcBorders>
                    <w:tl2br w:val="nil"/>
                    <w:tr2bl w:val="nil"/>
                  </w:tcBorders>
                  <w:vAlign w:val="center"/>
                </w:tcPr>
                <w:p w14:paraId="325CEEC3">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空间相对位置/m</w:t>
                  </w:r>
                </w:p>
              </w:tc>
              <w:tc>
                <w:tcPr>
                  <w:tcW w:w="1042" w:type="dxa"/>
                  <w:vMerge w:val="restart"/>
                  <w:tcBorders>
                    <w:tl2br w:val="nil"/>
                    <w:tr2bl w:val="nil"/>
                  </w:tcBorders>
                  <w:vAlign w:val="center"/>
                </w:tcPr>
                <w:p w14:paraId="79B88DF0">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距室内边界距离/m</w:t>
                  </w:r>
                </w:p>
              </w:tc>
              <w:tc>
                <w:tcPr>
                  <w:tcW w:w="975" w:type="dxa"/>
                  <w:vMerge w:val="restart"/>
                  <w:tcBorders>
                    <w:tl2br w:val="nil"/>
                    <w:tr2bl w:val="nil"/>
                  </w:tcBorders>
                  <w:vAlign w:val="center"/>
                </w:tcPr>
                <w:p w14:paraId="106D5AF4">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室内边界声级dB（A）</w:t>
                  </w:r>
                </w:p>
              </w:tc>
              <w:tc>
                <w:tcPr>
                  <w:tcW w:w="817" w:type="dxa"/>
                  <w:vMerge w:val="restart"/>
                  <w:tcBorders>
                    <w:tl2br w:val="nil"/>
                    <w:tr2bl w:val="nil"/>
                  </w:tcBorders>
                  <w:vAlign w:val="center"/>
                </w:tcPr>
                <w:p w14:paraId="41C91AC0">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运行时段</w:t>
                  </w:r>
                </w:p>
              </w:tc>
              <w:tc>
                <w:tcPr>
                  <w:tcW w:w="1103" w:type="dxa"/>
                  <w:vMerge w:val="restart"/>
                  <w:tcBorders>
                    <w:tl2br w:val="nil"/>
                    <w:tr2bl w:val="nil"/>
                  </w:tcBorders>
                  <w:vAlign w:val="center"/>
                </w:tcPr>
                <w:p w14:paraId="35658D34">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建筑物插入损失</w:t>
                  </w:r>
                  <w:r>
                    <w:rPr>
                      <w:rFonts w:hint="default" w:ascii="Times New Roman" w:hAnsi="Times New Roman" w:cs="Times New Roman"/>
                      <w:b/>
                      <w:bCs/>
                      <w:color w:val="auto"/>
                      <w:sz w:val="21"/>
                      <w:szCs w:val="21"/>
                    </w:rPr>
                    <w:t>/dB（A）</w:t>
                  </w:r>
                </w:p>
              </w:tc>
              <w:tc>
                <w:tcPr>
                  <w:tcW w:w="1598" w:type="dxa"/>
                  <w:tcBorders>
                    <w:tl2br w:val="nil"/>
                    <w:tr2bl w:val="nil"/>
                  </w:tcBorders>
                  <w:vAlign w:val="center"/>
                </w:tcPr>
                <w:p w14:paraId="63A4B8E7">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建筑物外噪声</w:t>
                  </w:r>
                </w:p>
              </w:tc>
            </w:tr>
            <w:tr w14:paraId="5710E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3" w:hRule="atLeast"/>
                <w:tblHeader/>
                <w:jc w:val="center"/>
              </w:trPr>
              <w:tc>
                <w:tcPr>
                  <w:tcW w:w="726" w:type="dxa"/>
                  <w:vMerge w:val="continue"/>
                  <w:tcBorders>
                    <w:tl2br w:val="nil"/>
                    <w:tr2bl w:val="nil"/>
                  </w:tcBorders>
                  <w:vAlign w:val="center"/>
                </w:tcPr>
                <w:p w14:paraId="24332212">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rPr>
                  </w:pPr>
                </w:p>
              </w:tc>
              <w:tc>
                <w:tcPr>
                  <w:tcW w:w="1569" w:type="dxa"/>
                  <w:vMerge w:val="continue"/>
                  <w:tcBorders>
                    <w:tl2br w:val="nil"/>
                    <w:tr2bl w:val="nil"/>
                  </w:tcBorders>
                  <w:vAlign w:val="center"/>
                </w:tcPr>
                <w:p w14:paraId="3B5CBDDF">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rPr>
                  </w:pPr>
                </w:p>
              </w:tc>
              <w:tc>
                <w:tcPr>
                  <w:tcW w:w="1479" w:type="dxa"/>
                  <w:vMerge w:val="continue"/>
                  <w:tcBorders>
                    <w:tl2br w:val="nil"/>
                    <w:tr2bl w:val="nil"/>
                  </w:tcBorders>
                  <w:vAlign w:val="center"/>
                </w:tcPr>
                <w:p w14:paraId="2B387F18">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rPr>
                  </w:pPr>
                </w:p>
              </w:tc>
              <w:tc>
                <w:tcPr>
                  <w:tcW w:w="1147" w:type="dxa"/>
                  <w:vMerge w:val="continue"/>
                  <w:tcBorders>
                    <w:tl2br w:val="nil"/>
                    <w:tr2bl w:val="nil"/>
                  </w:tcBorders>
                  <w:vAlign w:val="center"/>
                </w:tcPr>
                <w:p w14:paraId="3455E18D">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rPr>
                  </w:pPr>
                </w:p>
              </w:tc>
              <w:tc>
                <w:tcPr>
                  <w:tcW w:w="694" w:type="dxa"/>
                  <w:vMerge w:val="continue"/>
                  <w:tcBorders>
                    <w:tl2br w:val="nil"/>
                    <w:tr2bl w:val="nil"/>
                  </w:tcBorders>
                  <w:vAlign w:val="center"/>
                </w:tcPr>
                <w:p w14:paraId="36D1942C">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rPr>
                  </w:pPr>
                </w:p>
              </w:tc>
              <w:tc>
                <w:tcPr>
                  <w:tcW w:w="729" w:type="dxa"/>
                  <w:tcBorders>
                    <w:tl2br w:val="nil"/>
                    <w:tr2bl w:val="nil"/>
                  </w:tcBorders>
                  <w:vAlign w:val="center"/>
                </w:tcPr>
                <w:p w14:paraId="0742FF5F">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X</w:t>
                  </w:r>
                </w:p>
              </w:tc>
              <w:tc>
                <w:tcPr>
                  <w:tcW w:w="766" w:type="dxa"/>
                  <w:tcBorders>
                    <w:tl2br w:val="nil"/>
                    <w:tr2bl w:val="nil"/>
                  </w:tcBorders>
                  <w:vAlign w:val="center"/>
                </w:tcPr>
                <w:p w14:paraId="57F95B4B">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Y</w:t>
                  </w:r>
                </w:p>
              </w:tc>
              <w:tc>
                <w:tcPr>
                  <w:tcW w:w="797" w:type="dxa"/>
                  <w:tcBorders>
                    <w:tl2br w:val="nil"/>
                    <w:tr2bl w:val="nil"/>
                  </w:tcBorders>
                  <w:vAlign w:val="center"/>
                </w:tcPr>
                <w:p w14:paraId="619C0EA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Z</w:t>
                  </w:r>
                </w:p>
              </w:tc>
              <w:tc>
                <w:tcPr>
                  <w:tcW w:w="1042" w:type="dxa"/>
                  <w:vMerge w:val="continue"/>
                  <w:tcBorders>
                    <w:tl2br w:val="nil"/>
                    <w:tr2bl w:val="nil"/>
                  </w:tcBorders>
                  <w:vAlign w:val="center"/>
                </w:tcPr>
                <w:p w14:paraId="60C7C75C">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p>
              </w:tc>
              <w:tc>
                <w:tcPr>
                  <w:tcW w:w="975" w:type="dxa"/>
                  <w:vMerge w:val="continue"/>
                  <w:tcBorders>
                    <w:tl2br w:val="nil"/>
                    <w:tr2bl w:val="nil"/>
                  </w:tcBorders>
                  <w:vAlign w:val="center"/>
                </w:tcPr>
                <w:p w14:paraId="784A998A">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p>
              </w:tc>
              <w:tc>
                <w:tcPr>
                  <w:tcW w:w="817" w:type="dxa"/>
                  <w:vMerge w:val="continue"/>
                  <w:tcBorders>
                    <w:tl2br w:val="nil"/>
                    <w:tr2bl w:val="nil"/>
                  </w:tcBorders>
                  <w:vAlign w:val="center"/>
                </w:tcPr>
                <w:p w14:paraId="5B725AD1">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p>
              </w:tc>
              <w:tc>
                <w:tcPr>
                  <w:tcW w:w="1103" w:type="dxa"/>
                  <w:vMerge w:val="continue"/>
                  <w:tcBorders>
                    <w:tl2br w:val="nil"/>
                    <w:tr2bl w:val="nil"/>
                  </w:tcBorders>
                  <w:vAlign w:val="center"/>
                </w:tcPr>
                <w:p w14:paraId="3BA59CBF">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p>
              </w:tc>
              <w:tc>
                <w:tcPr>
                  <w:tcW w:w="1598" w:type="dxa"/>
                  <w:tcBorders>
                    <w:tl2br w:val="nil"/>
                    <w:tr2bl w:val="nil"/>
                  </w:tcBorders>
                  <w:vAlign w:val="center"/>
                </w:tcPr>
                <w:p w14:paraId="5BA4628A">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rPr>
                    <w:t>声压级dB（A）</w:t>
                  </w:r>
                </w:p>
              </w:tc>
            </w:tr>
            <w:tr w14:paraId="7E89F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restart"/>
                  <w:tcBorders>
                    <w:tl2br w:val="nil"/>
                    <w:tr2bl w:val="nil"/>
                  </w:tcBorders>
                  <w:vAlign w:val="center"/>
                </w:tcPr>
                <w:p w14:paraId="0B80A5BD">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厂房</w:t>
                  </w:r>
                </w:p>
              </w:tc>
              <w:tc>
                <w:tcPr>
                  <w:tcW w:w="1569" w:type="dxa"/>
                  <w:tcBorders>
                    <w:tl2br w:val="nil"/>
                    <w:tr2bl w:val="nil"/>
                  </w:tcBorders>
                  <w:vAlign w:val="center"/>
                </w:tcPr>
                <w:p w14:paraId="6B14411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lang w:val="en-US" w:eastAsia="zh-CN"/>
                    </w:rPr>
                    <w:t>锯床1</w:t>
                  </w:r>
                </w:p>
              </w:tc>
              <w:tc>
                <w:tcPr>
                  <w:tcW w:w="1479" w:type="dxa"/>
                  <w:tcBorders>
                    <w:tl2br w:val="nil"/>
                    <w:tr2bl w:val="nil"/>
                  </w:tcBorders>
                  <w:vAlign w:val="center"/>
                </w:tcPr>
                <w:p w14:paraId="7A654617">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rPr>
                    <w:t>恒威V42</w:t>
                  </w:r>
                </w:p>
              </w:tc>
              <w:tc>
                <w:tcPr>
                  <w:tcW w:w="1147" w:type="dxa"/>
                  <w:tcBorders>
                    <w:tl2br w:val="nil"/>
                    <w:tr2bl w:val="nil"/>
                  </w:tcBorders>
                  <w:vAlign w:val="center"/>
                </w:tcPr>
                <w:p w14:paraId="5CBB3A9B">
                  <w:pPr>
                    <w:pStyle w:val="37"/>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694" w:type="dxa"/>
                  <w:vMerge w:val="restart"/>
                  <w:tcBorders>
                    <w:tl2br w:val="nil"/>
                    <w:tr2bl w:val="nil"/>
                  </w:tcBorders>
                  <w:vAlign w:val="center"/>
                </w:tcPr>
                <w:p w14:paraId="20E33EC2">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eastAsia="宋体" w:cs="Times New Roman"/>
                      <w:b w:val="0"/>
                      <w:bCs/>
                      <w:color w:val="auto"/>
                      <w:kern w:val="0"/>
                      <w:sz w:val="21"/>
                      <w:szCs w:val="21"/>
                    </w:rPr>
                    <w:t>基础减振、厂房隔声</w:t>
                  </w:r>
                </w:p>
              </w:tc>
              <w:tc>
                <w:tcPr>
                  <w:tcW w:w="729" w:type="dxa"/>
                  <w:tcBorders>
                    <w:tl2br w:val="nil"/>
                    <w:tr2bl w:val="nil"/>
                  </w:tcBorders>
                  <w:vAlign w:val="center"/>
                </w:tcPr>
                <w:p w14:paraId="0D5A67ED">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16.25</w:t>
                  </w:r>
                </w:p>
              </w:tc>
              <w:tc>
                <w:tcPr>
                  <w:tcW w:w="766" w:type="dxa"/>
                  <w:tcBorders>
                    <w:tl2br w:val="nil"/>
                    <w:tr2bl w:val="nil"/>
                  </w:tcBorders>
                  <w:vAlign w:val="center"/>
                </w:tcPr>
                <w:p w14:paraId="49B74BB1">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4E3CA9DA">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w:t>
                  </w:r>
                </w:p>
              </w:tc>
              <w:tc>
                <w:tcPr>
                  <w:tcW w:w="1042" w:type="dxa"/>
                  <w:tcBorders>
                    <w:tl2br w:val="nil"/>
                    <w:tr2bl w:val="nil"/>
                  </w:tcBorders>
                  <w:vAlign w:val="center"/>
                </w:tcPr>
                <w:p w14:paraId="6A96DC0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5B518C0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64.75</w:t>
                  </w:r>
                </w:p>
                <w:p w14:paraId="3FACCF7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23DC62E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16.25</w:t>
                  </w:r>
                </w:p>
              </w:tc>
              <w:tc>
                <w:tcPr>
                  <w:tcW w:w="975" w:type="dxa"/>
                  <w:tcBorders>
                    <w:tl2br w:val="nil"/>
                    <w:tr2bl w:val="nil"/>
                  </w:tcBorders>
                  <w:vAlign w:val="center"/>
                </w:tcPr>
                <w:p w14:paraId="7BC7238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66.9</w:t>
                  </w:r>
                </w:p>
                <w:p w14:paraId="448170B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43.8</w:t>
                  </w:r>
                </w:p>
                <w:p w14:paraId="4067304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48.3</w:t>
                  </w:r>
                </w:p>
                <w:p w14:paraId="54A417F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55.8</w:t>
                  </w:r>
                </w:p>
              </w:tc>
              <w:tc>
                <w:tcPr>
                  <w:tcW w:w="817" w:type="dxa"/>
                  <w:tcBorders>
                    <w:tl2br w:val="nil"/>
                    <w:tr2bl w:val="nil"/>
                  </w:tcBorders>
                  <w:vAlign w:val="center"/>
                </w:tcPr>
                <w:p w14:paraId="49E63CB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6F268CF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0C33F24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51.9</w:t>
                  </w:r>
                </w:p>
                <w:p w14:paraId="7F1ABA7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28.8</w:t>
                  </w:r>
                </w:p>
                <w:p w14:paraId="01BD06B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33.3</w:t>
                  </w:r>
                </w:p>
                <w:p w14:paraId="762453D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40.8</w:t>
                  </w:r>
                </w:p>
              </w:tc>
            </w:tr>
            <w:tr w14:paraId="66A02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5B58FAE3">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51E639A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lang w:val="en-US" w:eastAsia="zh-CN"/>
                    </w:rPr>
                    <w:t>锯床2</w:t>
                  </w:r>
                </w:p>
              </w:tc>
              <w:tc>
                <w:tcPr>
                  <w:tcW w:w="1479" w:type="dxa"/>
                  <w:tcBorders>
                    <w:tl2br w:val="nil"/>
                    <w:tr2bl w:val="nil"/>
                  </w:tcBorders>
                  <w:vAlign w:val="center"/>
                </w:tcPr>
                <w:p w14:paraId="660DC20A">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rPr>
                    <w:t>恒威V42</w:t>
                  </w:r>
                </w:p>
              </w:tc>
              <w:tc>
                <w:tcPr>
                  <w:tcW w:w="1147" w:type="dxa"/>
                  <w:tcBorders>
                    <w:tl2br w:val="nil"/>
                    <w:tr2bl w:val="nil"/>
                  </w:tcBorders>
                  <w:vAlign w:val="center"/>
                </w:tcPr>
                <w:p w14:paraId="3942E3A9">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694" w:type="dxa"/>
                  <w:vMerge w:val="continue"/>
                  <w:tcBorders>
                    <w:tl2br w:val="nil"/>
                    <w:tr2bl w:val="nil"/>
                  </w:tcBorders>
                  <w:vAlign w:val="center"/>
                </w:tcPr>
                <w:p w14:paraId="303B6C29">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6CE81F7D">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19.5</w:t>
                  </w:r>
                </w:p>
              </w:tc>
              <w:tc>
                <w:tcPr>
                  <w:tcW w:w="766" w:type="dxa"/>
                  <w:tcBorders>
                    <w:tl2br w:val="nil"/>
                    <w:tr2bl w:val="nil"/>
                  </w:tcBorders>
                  <w:vAlign w:val="center"/>
                </w:tcPr>
                <w:p w14:paraId="0E69809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438EC244">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w:t>
                  </w:r>
                </w:p>
              </w:tc>
              <w:tc>
                <w:tcPr>
                  <w:tcW w:w="1042" w:type="dxa"/>
                  <w:tcBorders>
                    <w:tl2br w:val="nil"/>
                    <w:tr2bl w:val="nil"/>
                  </w:tcBorders>
                  <w:vAlign w:val="center"/>
                </w:tcPr>
                <w:p w14:paraId="2ED5AB9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1D2B93A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61.5</w:t>
                  </w:r>
                </w:p>
                <w:p w14:paraId="249CFE9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10675DD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19.5</w:t>
                  </w:r>
                </w:p>
              </w:tc>
              <w:tc>
                <w:tcPr>
                  <w:tcW w:w="975" w:type="dxa"/>
                  <w:tcBorders>
                    <w:tl2br w:val="nil"/>
                    <w:tr2bl w:val="nil"/>
                  </w:tcBorders>
                  <w:vAlign w:val="center"/>
                </w:tcPr>
                <w:p w14:paraId="5F61DB7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66.9</w:t>
                  </w:r>
                </w:p>
                <w:p w14:paraId="563B2C6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44.2</w:t>
                  </w:r>
                </w:p>
                <w:p w14:paraId="7BA108E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48.3</w:t>
                  </w:r>
                </w:p>
                <w:p w14:paraId="44C3E74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54.2</w:t>
                  </w:r>
                </w:p>
              </w:tc>
              <w:tc>
                <w:tcPr>
                  <w:tcW w:w="817" w:type="dxa"/>
                  <w:tcBorders>
                    <w:tl2br w:val="nil"/>
                    <w:tr2bl w:val="nil"/>
                  </w:tcBorders>
                  <w:vAlign w:val="center"/>
                </w:tcPr>
                <w:p w14:paraId="54EDA7F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44298417">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7B80370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51.9</w:t>
                  </w:r>
                </w:p>
                <w:p w14:paraId="7779F87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29.2</w:t>
                  </w:r>
                </w:p>
                <w:p w14:paraId="77342E0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33.3</w:t>
                  </w:r>
                </w:p>
                <w:p w14:paraId="72317A36">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39.2</w:t>
                  </w:r>
                </w:p>
              </w:tc>
            </w:tr>
            <w:tr w14:paraId="114399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02491D2D">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0EE9336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激光切割机</w:t>
                  </w:r>
                  <w:r>
                    <w:rPr>
                      <w:rFonts w:hint="eastAsia" w:ascii="Times New Roman" w:hAnsi="Times New Roman" w:cs="Times New Roman"/>
                      <w:b w:val="0"/>
                      <w:bCs/>
                      <w:color w:val="auto"/>
                      <w:lang w:val="en-US" w:eastAsia="zh-CN"/>
                    </w:rPr>
                    <w:t>1</w:t>
                  </w:r>
                </w:p>
              </w:tc>
              <w:tc>
                <w:tcPr>
                  <w:tcW w:w="1479" w:type="dxa"/>
                  <w:tcBorders>
                    <w:tl2br w:val="nil"/>
                    <w:tr2bl w:val="nil"/>
                  </w:tcBorders>
                  <w:vAlign w:val="center"/>
                </w:tcPr>
                <w:p w14:paraId="2726C81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20000W</w:t>
                  </w:r>
                </w:p>
              </w:tc>
              <w:tc>
                <w:tcPr>
                  <w:tcW w:w="1147" w:type="dxa"/>
                  <w:tcBorders>
                    <w:tl2br w:val="nil"/>
                    <w:tr2bl w:val="nil"/>
                  </w:tcBorders>
                  <w:vAlign w:val="center"/>
                </w:tcPr>
                <w:p w14:paraId="5B4A33C8">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694" w:type="dxa"/>
                  <w:vMerge w:val="continue"/>
                  <w:tcBorders>
                    <w:tl2br w:val="nil"/>
                    <w:tr2bl w:val="nil"/>
                  </w:tcBorders>
                  <w:vAlign w:val="center"/>
                </w:tcPr>
                <w:p w14:paraId="0559D5A6">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2739E9B7">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22.75</w:t>
                  </w:r>
                </w:p>
              </w:tc>
              <w:tc>
                <w:tcPr>
                  <w:tcW w:w="766" w:type="dxa"/>
                  <w:tcBorders>
                    <w:tl2br w:val="nil"/>
                    <w:tr2bl w:val="nil"/>
                  </w:tcBorders>
                  <w:vAlign w:val="center"/>
                </w:tcPr>
                <w:p w14:paraId="4AE4F316">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55BBDB06">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w:t>
                  </w:r>
                </w:p>
              </w:tc>
              <w:tc>
                <w:tcPr>
                  <w:tcW w:w="1042" w:type="dxa"/>
                  <w:tcBorders>
                    <w:tl2br w:val="nil"/>
                    <w:tr2bl w:val="nil"/>
                  </w:tcBorders>
                  <w:vAlign w:val="center"/>
                </w:tcPr>
                <w:p w14:paraId="6F34CA7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328ECEF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58.25</w:t>
                  </w:r>
                </w:p>
                <w:p w14:paraId="7B12EE4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38.50</w:t>
                  </w:r>
                </w:p>
                <w:p w14:paraId="51C9925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22.75</w:t>
                  </w:r>
                </w:p>
              </w:tc>
              <w:tc>
                <w:tcPr>
                  <w:tcW w:w="975" w:type="dxa"/>
                  <w:tcBorders>
                    <w:tl2br w:val="nil"/>
                    <w:tr2bl w:val="nil"/>
                  </w:tcBorders>
                  <w:vAlign w:val="center"/>
                </w:tcPr>
                <w:p w14:paraId="2B4FE538">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66.9</w:t>
                  </w:r>
                </w:p>
                <w:p w14:paraId="5450363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44.7</w:t>
                  </w:r>
                </w:p>
                <w:p w14:paraId="5BEBEC5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48.3</w:t>
                  </w:r>
                </w:p>
                <w:p w14:paraId="6581D01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54.2</w:t>
                  </w:r>
                </w:p>
              </w:tc>
              <w:tc>
                <w:tcPr>
                  <w:tcW w:w="817" w:type="dxa"/>
                  <w:tcBorders>
                    <w:tl2br w:val="nil"/>
                    <w:tr2bl w:val="nil"/>
                  </w:tcBorders>
                  <w:vAlign w:val="center"/>
                </w:tcPr>
                <w:p w14:paraId="2E905D8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28CF575F">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11D2122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51.9</w:t>
                  </w:r>
                </w:p>
                <w:p w14:paraId="29654B8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29.7</w:t>
                  </w:r>
                </w:p>
                <w:p w14:paraId="5F1CFDD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33.3</w:t>
                  </w:r>
                </w:p>
                <w:p w14:paraId="20C34E64">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39.2</w:t>
                  </w:r>
                </w:p>
              </w:tc>
            </w:tr>
            <w:tr w14:paraId="6E2A4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288A2868">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0A0052E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eastAsia="zh-CN"/>
                    </w:rPr>
                    <w:t>剪板机</w:t>
                  </w:r>
                  <w:r>
                    <w:rPr>
                      <w:rFonts w:hint="eastAsia" w:ascii="Times New Roman" w:hAnsi="Times New Roman" w:cs="Times New Roman"/>
                      <w:b w:val="0"/>
                      <w:bCs/>
                      <w:color w:val="auto"/>
                      <w:lang w:val="en-US" w:eastAsia="zh-CN"/>
                    </w:rPr>
                    <w:t>1</w:t>
                  </w:r>
                </w:p>
              </w:tc>
              <w:tc>
                <w:tcPr>
                  <w:tcW w:w="1479" w:type="dxa"/>
                  <w:tcBorders>
                    <w:tl2br w:val="nil"/>
                    <w:tr2bl w:val="nil"/>
                  </w:tcBorders>
                  <w:vAlign w:val="center"/>
                </w:tcPr>
                <w:p w14:paraId="56E6E05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QC11Y</w:t>
                  </w:r>
                </w:p>
              </w:tc>
              <w:tc>
                <w:tcPr>
                  <w:tcW w:w="1147" w:type="dxa"/>
                  <w:tcBorders>
                    <w:tl2br w:val="nil"/>
                    <w:tr2bl w:val="nil"/>
                  </w:tcBorders>
                  <w:vAlign w:val="center"/>
                </w:tcPr>
                <w:p w14:paraId="0163C648">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80</w:t>
                  </w:r>
                </w:p>
              </w:tc>
              <w:tc>
                <w:tcPr>
                  <w:tcW w:w="694" w:type="dxa"/>
                  <w:vMerge w:val="continue"/>
                  <w:tcBorders>
                    <w:tl2br w:val="nil"/>
                    <w:tr2bl w:val="nil"/>
                  </w:tcBorders>
                  <w:vAlign w:val="center"/>
                </w:tcPr>
                <w:p w14:paraId="675BE077">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3C1FF19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26</w:t>
                  </w:r>
                </w:p>
              </w:tc>
              <w:tc>
                <w:tcPr>
                  <w:tcW w:w="766" w:type="dxa"/>
                  <w:tcBorders>
                    <w:tl2br w:val="nil"/>
                    <w:tr2bl w:val="nil"/>
                  </w:tcBorders>
                  <w:vAlign w:val="center"/>
                </w:tcPr>
                <w:p w14:paraId="0FA5B0A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771DE47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1.0</w:t>
                  </w:r>
                </w:p>
              </w:tc>
              <w:tc>
                <w:tcPr>
                  <w:tcW w:w="1042" w:type="dxa"/>
                  <w:tcBorders>
                    <w:tl2br w:val="nil"/>
                    <w:tr2bl w:val="nil"/>
                  </w:tcBorders>
                  <w:vAlign w:val="center"/>
                </w:tcPr>
                <w:p w14:paraId="6C945B9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5B5A86D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55.0</w:t>
                  </w:r>
                </w:p>
                <w:p w14:paraId="49A35E38">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38.50</w:t>
                  </w:r>
                </w:p>
                <w:p w14:paraId="4D287E68">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26.0</w:t>
                  </w:r>
                </w:p>
              </w:tc>
              <w:tc>
                <w:tcPr>
                  <w:tcW w:w="975" w:type="dxa"/>
                  <w:tcBorders>
                    <w:tl2br w:val="nil"/>
                    <w:tr2bl w:val="nil"/>
                  </w:tcBorders>
                  <w:vAlign w:val="center"/>
                </w:tcPr>
                <w:p w14:paraId="3B2EA04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66.9</w:t>
                  </w:r>
                </w:p>
                <w:p w14:paraId="3D3FC9C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45.2</w:t>
                  </w:r>
                </w:p>
                <w:p w14:paraId="7747A4B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48.3</w:t>
                  </w:r>
                </w:p>
                <w:p w14:paraId="013CAD98">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51.7</w:t>
                  </w:r>
                </w:p>
              </w:tc>
              <w:tc>
                <w:tcPr>
                  <w:tcW w:w="817" w:type="dxa"/>
                  <w:tcBorders>
                    <w:tl2br w:val="nil"/>
                    <w:tr2bl w:val="nil"/>
                  </w:tcBorders>
                  <w:vAlign w:val="center"/>
                </w:tcPr>
                <w:p w14:paraId="329F5FFD">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2BC68F3B">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472B54F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51.9</w:t>
                  </w:r>
                </w:p>
                <w:p w14:paraId="32A9B85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30.2</w:t>
                  </w:r>
                </w:p>
                <w:p w14:paraId="025B81C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33.3</w:t>
                  </w:r>
                </w:p>
                <w:p w14:paraId="41FDD95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36.7</w:t>
                  </w:r>
                </w:p>
              </w:tc>
            </w:tr>
            <w:tr w14:paraId="202B7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1ACCF81F">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19943AF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eastAsia="zh-CN"/>
                    </w:rPr>
                    <w:t>剪板机</w:t>
                  </w:r>
                  <w:r>
                    <w:rPr>
                      <w:rFonts w:hint="eastAsia" w:ascii="Times New Roman" w:hAnsi="Times New Roman" w:cs="Times New Roman"/>
                      <w:b w:val="0"/>
                      <w:bCs/>
                      <w:color w:val="auto"/>
                      <w:lang w:val="en-US" w:eastAsia="zh-CN"/>
                    </w:rPr>
                    <w:t>2</w:t>
                  </w:r>
                </w:p>
              </w:tc>
              <w:tc>
                <w:tcPr>
                  <w:tcW w:w="1479" w:type="dxa"/>
                  <w:tcBorders>
                    <w:tl2br w:val="nil"/>
                    <w:tr2bl w:val="nil"/>
                  </w:tcBorders>
                  <w:vAlign w:val="center"/>
                </w:tcPr>
                <w:p w14:paraId="2152DF8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QC11Y</w:t>
                  </w:r>
                </w:p>
              </w:tc>
              <w:tc>
                <w:tcPr>
                  <w:tcW w:w="1147" w:type="dxa"/>
                  <w:tcBorders>
                    <w:tl2br w:val="nil"/>
                    <w:tr2bl w:val="nil"/>
                  </w:tcBorders>
                  <w:vAlign w:val="center"/>
                </w:tcPr>
                <w:p w14:paraId="450D0C58">
                  <w:pPr>
                    <w:pStyle w:val="37"/>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80</w:t>
                  </w:r>
                </w:p>
              </w:tc>
              <w:tc>
                <w:tcPr>
                  <w:tcW w:w="694" w:type="dxa"/>
                  <w:vMerge w:val="continue"/>
                  <w:tcBorders>
                    <w:tl2br w:val="nil"/>
                    <w:tr2bl w:val="nil"/>
                  </w:tcBorders>
                  <w:vAlign w:val="center"/>
                </w:tcPr>
                <w:p w14:paraId="34744F3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1682F22B">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30</w:t>
                  </w:r>
                </w:p>
              </w:tc>
              <w:tc>
                <w:tcPr>
                  <w:tcW w:w="766" w:type="dxa"/>
                  <w:tcBorders>
                    <w:tl2br w:val="nil"/>
                    <w:tr2bl w:val="nil"/>
                  </w:tcBorders>
                  <w:vAlign w:val="center"/>
                </w:tcPr>
                <w:p w14:paraId="3C893DC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3E4C90AA">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0.8</w:t>
                  </w:r>
                </w:p>
              </w:tc>
              <w:tc>
                <w:tcPr>
                  <w:tcW w:w="1042" w:type="dxa"/>
                  <w:tcBorders>
                    <w:tl2br w:val="nil"/>
                    <w:tr2bl w:val="nil"/>
                  </w:tcBorders>
                  <w:vAlign w:val="center"/>
                </w:tcPr>
                <w:p w14:paraId="549D1D7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0244913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51.0</w:t>
                  </w:r>
                </w:p>
                <w:p w14:paraId="197FBA2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1B01592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23.0</w:t>
                  </w:r>
                </w:p>
              </w:tc>
              <w:tc>
                <w:tcPr>
                  <w:tcW w:w="975" w:type="dxa"/>
                  <w:tcBorders>
                    <w:tl2br w:val="nil"/>
                    <w:tr2bl w:val="nil"/>
                  </w:tcBorders>
                  <w:vAlign w:val="center"/>
                </w:tcPr>
                <w:p w14:paraId="1B9F2FB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71.9</w:t>
                  </w:r>
                </w:p>
                <w:p w14:paraId="5B0D245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50.8</w:t>
                  </w:r>
                </w:p>
                <w:p w14:paraId="6D2BDC6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53.3</w:t>
                  </w:r>
                </w:p>
                <w:p w14:paraId="44D10C2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57.8</w:t>
                  </w:r>
                </w:p>
              </w:tc>
              <w:tc>
                <w:tcPr>
                  <w:tcW w:w="817" w:type="dxa"/>
                  <w:tcBorders>
                    <w:tl2br w:val="nil"/>
                    <w:tr2bl w:val="nil"/>
                  </w:tcBorders>
                  <w:vAlign w:val="center"/>
                </w:tcPr>
                <w:p w14:paraId="54B75C26">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725EDE2E">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33DA5AA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56.9</w:t>
                  </w:r>
                </w:p>
                <w:p w14:paraId="5C5A68C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35.8</w:t>
                  </w:r>
                </w:p>
                <w:p w14:paraId="285E58D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38.3</w:t>
                  </w:r>
                </w:p>
                <w:p w14:paraId="16B1E531">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42.8</w:t>
                  </w:r>
                </w:p>
              </w:tc>
            </w:tr>
            <w:tr w14:paraId="291AC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4F0D6E2C">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42626B1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eastAsia="zh-CN"/>
                    </w:rPr>
                    <w:t>折弯机</w:t>
                  </w:r>
                </w:p>
              </w:tc>
              <w:tc>
                <w:tcPr>
                  <w:tcW w:w="1479" w:type="dxa"/>
                  <w:tcBorders>
                    <w:tl2br w:val="nil"/>
                    <w:tr2bl w:val="nil"/>
                  </w:tcBorders>
                  <w:vAlign w:val="center"/>
                </w:tcPr>
                <w:p w14:paraId="768B1C8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30T</w:t>
                  </w:r>
                </w:p>
              </w:tc>
              <w:tc>
                <w:tcPr>
                  <w:tcW w:w="1147" w:type="dxa"/>
                  <w:tcBorders>
                    <w:tl2br w:val="nil"/>
                    <w:tr2bl w:val="nil"/>
                  </w:tcBorders>
                  <w:vAlign w:val="center"/>
                </w:tcPr>
                <w:p w14:paraId="3CF409DC">
                  <w:pPr>
                    <w:pStyle w:val="3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85</w:t>
                  </w:r>
                </w:p>
              </w:tc>
              <w:tc>
                <w:tcPr>
                  <w:tcW w:w="694" w:type="dxa"/>
                  <w:vMerge w:val="continue"/>
                  <w:tcBorders>
                    <w:tl2br w:val="nil"/>
                    <w:tr2bl w:val="nil"/>
                  </w:tcBorders>
                  <w:vAlign w:val="center"/>
                </w:tcPr>
                <w:p w14:paraId="16DCAA7A">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0E0C35DE">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34</w:t>
                  </w:r>
                </w:p>
              </w:tc>
              <w:tc>
                <w:tcPr>
                  <w:tcW w:w="766" w:type="dxa"/>
                  <w:tcBorders>
                    <w:tl2br w:val="nil"/>
                    <w:tr2bl w:val="nil"/>
                  </w:tcBorders>
                  <w:vAlign w:val="center"/>
                </w:tcPr>
                <w:p w14:paraId="4FF571EB">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5EC404F2">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0.8</w:t>
                  </w:r>
                </w:p>
              </w:tc>
              <w:tc>
                <w:tcPr>
                  <w:tcW w:w="1042" w:type="dxa"/>
                  <w:tcBorders>
                    <w:tl2br w:val="nil"/>
                    <w:tr2bl w:val="nil"/>
                  </w:tcBorders>
                  <w:vAlign w:val="center"/>
                </w:tcPr>
                <w:p w14:paraId="2EEB31D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5BA38F6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47.0</w:t>
                  </w:r>
                </w:p>
                <w:p w14:paraId="32D40F7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73C3CE6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37.0</w:t>
                  </w:r>
                </w:p>
              </w:tc>
              <w:tc>
                <w:tcPr>
                  <w:tcW w:w="975" w:type="dxa"/>
                  <w:tcBorders>
                    <w:tl2br w:val="nil"/>
                    <w:tr2bl w:val="nil"/>
                  </w:tcBorders>
                  <w:vAlign w:val="center"/>
                </w:tcPr>
                <w:p w14:paraId="51941E1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71.9</w:t>
                  </w:r>
                </w:p>
                <w:p w14:paraId="321081F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51.6</w:t>
                  </w:r>
                </w:p>
                <w:p w14:paraId="33942EC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53.3</w:t>
                  </w:r>
                </w:p>
                <w:p w14:paraId="413DE5E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53.6</w:t>
                  </w:r>
                </w:p>
              </w:tc>
              <w:tc>
                <w:tcPr>
                  <w:tcW w:w="817" w:type="dxa"/>
                  <w:tcBorders>
                    <w:tl2br w:val="nil"/>
                    <w:tr2bl w:val="nil"/>
                  </w:tcBorders>
                  <w:vAlign w:val="center"/>
                </w:tcPr>
                <w:p w14:paraId="46B7F4AB">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58D1AA1B">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6E3EBE7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56.9</w:t>
                  </w:r>
                </w:p>
                <w:p w14:paraId="4F2909E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36.6</w:t>
                  </w:r>
                </w:p>
                <w:p w14:paraId="0871DEF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38.3</w:t>
                  </w:r>
                </w:p>
                <w:p w14:paraId="0B3FF84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38.6</w:t>
                  </w:r>
                </w:p>
              </w:tc>
            </w:tr>
            <w:tr w14:paraId="12423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6898364B">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5C528E7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eastAsia="zh-CN"/>
                    </w:rPr>
                    <w:t>数控车床</w:t>
                  </w:r>
                  <w:r>
                    <w:rPr>
                      <w:rFonts w:hint="eastAsia" w:ascii="Times New Roman" w:hAnsi="Times New Roman" w:cs="Times New Roman"/>
                      <w:b w:val="0"/>
                      <w:bCs/>
                      <w:color w:val="auto"/>
                      <w:lang w:val="en-US" w:eastAsia="zh-CN"/>
                    </w:rPr>
                    <w:t>1</w:t>
                  </w:r>
                </w:p>
              </w:tc>
              <w:tc>
                <w:tcPr>
                  <w:tcW w:w="1479" w:type="dxa"/>
                  <w:tcBorders>
                    <w:tl2br w:val="nil"/>
                    <w:tr2bl w:val="nil"/>
                  </w:tcBorders>
                  <w:vAlign w:val="center"/>
                </w:tcPr>
                <w:p w14:paraId="2654A91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eastAsia="宋体" w:cs="Times New Roman"/>
                      <w:b w:val="0"/>
                      <w:bCs/>
                      <w:color w:val="auto"/>
                      <w:kern w:val="2"/>
                      <w:sz w:val="21"/>
                      <w:szCs w:val="21"/>
                      <w:lang w:val="en-US" w:eastAsia="zh-CN" w:bidi="ar-SA"/>
                    </w:rPr>
                    <w:t>CK6136</w:t>
                  </w:r>
                </w:p>
              </w:tc>
              <w:tc>
                <w:tcPr>
                  <w:tcW w:w="1147" w:type="dxa"/>
                  <w:tcBorders>
                    <w:tl2br w:val="nil"/>
                    <w:tr2bl w:val="nil"/>
                  </w:tcBorders>
                  <w:vAlign w:val="center"/>
                </w:tcPr>
                <w:p w14:paraId="54054AD2">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694" w:type="dxa"/>
                  <w:vMerge w:val="continue"/>
                  <w:tcBorders>
                    <w:tl2br w:val="nil"/>
                    <w:tr2bl w:val="nil"/>
                  </w:tcBorders>
                  <w:vAlign w:val="center"/>
                </w:tcPr>
                <w:p w14:paraId="6745C68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4F9FF26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w:t>
                  </w:r>
                </w:p>
              </w:tc>
              <w:tc>
                <w:tcPr>
                  <w:tcW w:w="766" w:type="dxa"/>
                  <w:tcBorders>
                    <w:tl2br w:val="nil"/>
                    <w:tr2bl w:val="nil"/>
                  </w:tcBorders>
                  <w:vAlign w:val="center"/>
                </w:tcPr>
                <w:p w14:paraId="52DDCE8D">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4387E69F">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0.8</w:t>
                  </w:r>
                </w:p>
              </w:tc>
              <w:tc>
                <w:tcPr>
                  <w:tcW w:w="1042" w:type="dxa"/>
                  <w:tcBorders>
                    <w:tl2br w:val="nil"/>
                    <w:tr2bl w:val="nil"/>
                  </w:tcBorders>
                  <w:vAlign w:val="center"/>
                </w:tcPr>
                <w:p w14:paraId="54DA30E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66B9B74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43.0</w:t>
                  </w:r>
                </w:p>
                <w:p w14:paraId="7C95F60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4F47547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31.0</w:t>
                  </w:r>
                </w:p>
              </w:tc>
              <w:tc>
                <w:tcPr>
                  <w:tcW w:w="975" w:type="dxa"/>
                  <w:tcBorders>
                    <w:tl2br w:val="nil"/>
                    <w:tr2bl w:val="nil"/>
                  </w:tcBorders>
                  <w:vAlign w:val="center"/>
                </w:tcPr>
                <w:p w14:paraId="5361AAD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71.9</w:t>
                  </w:r>
                </w:p>
                <w:p w14:paraId="1C293A2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E52.3</w:t>
                  </w:r>
                </w:p>
                <w:p w14:paraId="7CA2DE98">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53.3</w:t>
                  </w:r>
                </w:p>
                <w:p w14:paraId="3DFB9C1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55.2</w:t>
                  </w:r>
                </w:p>
              </w:tc>
              <w:tc>
                <w:tcPr>
                  <w:tcW w:w="817" w:type="dxa"/>
                  <w:tcBorders>
                    <w:tl2br w:val="nil"/>
                    <w:tr2bl w:val="nil"/>
                  </w:tcBorders>
                  <w:vAlign w:val="center"/>
                </w:tcPr>
                <w:p w14:paraId="5DF7ED8F">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6130EBBF">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736CC52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56.9</w:t>
                  </w:r>
                </w:p>
                <w:p w14:paraId="23B8FB0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37.3</w:t>
                  </w:r>
                </w:p>
                <w:p w14:paraId="2C041FA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38.3</w:t>
                  </w:r>
                </w:p>
                <w:p w14:paraId="287C19E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40.2</w:t>
                  </w:r>
                </w:p>
              </w:tc>
            </w:tr>
            <w:tr w14:paraId="64E787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9" w:hRule="atLeast"/>
                <w:jc w:val="center"/>
              </w:trPr>
              <w:tc>
                <w:tcPr>
                  <w:tcW w:w="726" w:type="dxa"/>
                  <w:vMerge w:val="continue"/>
                  <w:tcBorders>
                    <w:tl2br w:val="nil"/>
                    <w:tr2bl w:val="nil"/>
                  </w:tcBorders>
                  <w:vAlign w:val="center"/>
                </w:tcPr>
                <w:p w14:paraId="41132CD6">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01B2E8C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eastAsia="zh-CN"/>
                    </w:rPr>
                    <w:t>数控车床</w:t>
                  </w:r>
                  <w:r>
                    <w:rPr>
                      <w:rFonts w:hint="eastAsia" w:ascii="Times New Roman" w:hAnsi="Times New Roman" w:cs="Times New Roman"/>
                      <w:b w:val="0"/>
                      <w:bCs/>
                      <w:color w:val="auto"/>
                      <w:lang w:val="en-US" w:eastAsia="zh-CN"/>
                    </w:rPr>
                    <w:t>2</w:t>
                  </w:r>
                </w:p>
              </w:tc>
              <w:tc>
                <w:tcPr>
                  <w:tcW w:w="1479" w:type="dxa"/>
                  <w:tcBorders>
                    <w:tl2br w:val="nil"/>
                    <w:tr2bl w:val="nil"/>
                  </w:tcBorders>
                  <w:vAlign w:val="center"/>
                </w:tcPr>
                <w:p w14:paraId="3B61D64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eastAsia="宋体" w:cs="Times New Roman"/>
                      <w:b w:val="0"/>
                      <w:bCs/>
                      <w:color w:val="auto"/>
                      <w:kern w:val="2"/>
                      <w:sz w:val="21"/>
                      <w:szCs w:val="21"/>
                      <w:lang w:val="en-US" w:eastAsia="zh-CN" w:bidi="ar-SA"/>
                    </w:rPr>
                    <w:t>CK6136</w:t>
                  </w:r>
                </w:p>
              </w:tc>
              <w:tc>
                <w:tcPr>
                  <w:tcW w:w="1147" w:type="dxa"/>
                  <w:tcBorders>
                    <w:tl2br w:val="nil"/>
                    <w:tr2bl w:val="nil"/>
                  </w:tcBorders>
                  <w:vAlign w:val="center"/>
                </w:tcPr>
                <w:p w14:paraId="6BB49A2B">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694" w:type="dxa"/>
                  <w:vMerge w:val="continue"/>
                  <w:tcBorders>
                    <w:tl2br w:val="nil"/>
                    <w:tr2bl w:val="nil"/>
                  </w:tcBorders>
                  <w:vAlign w:val="center"/>
                </w:tcPr>
                <w:p w14:paraId="370D275B">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6A4933F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42</w:t>
                  </w:r>
                </w:p>
              </w:tc>
              <w:tc>
                <w:tcPr>
                  <w:tcW w:w="766" w:type="dxa"/>
                  <w:tcBorders>
                    <w:tl2br w:val="nil"/>
                    <w:tr2bl w:val="nil"/>
                  </w:tcBorders>
                  <w:vAlign w:val="center"/>
                </w:tcPr>
                <w:p w14:paraId="28A245B4">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19A3E9DA">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0.8</w:t>
                  </w:r>
                </w:p>
              </w:tc>
              <w:tc>
                <w:tcPr>
                  <w:tcW w:w="1042" w:type="dxa"/>
                  <w:tcBorders>
                    <w:tl2br w:val="nil"/>
                    <w:tr2bl w:val="nil"/>
                  </w:tcBorders>
                  <w:vAlign w:val="center"/>
                </w:tcPr>
                <w:p w14:paraId="1F378BE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3CB57F98">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39.0</w:t>
                  </w:r>
                </w:p>
                <w:p w14:paraId="6A6A93B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267517F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35.0</w:t>
                  </w:r>
                </w:p>
              </w:tc>
              <w:tc>
                <w:tcPr>
                  <w:tcW w:w="975" w:type="dxa"/>
                  <w:tcBorders>
                    <w:tl2br w:val="nil"/>
                    <w:tr2bl w:val="nil"/>
                  </w:tcBorders>
                  <w:vAlign w:val="center"/>
                </w:tcPr>
                <w:p w14:paraId="187CCA1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71.9</w:t>
                  </w:r>
                </w:p>
                <w:p w14:paraId="6CDB6C5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53.2</w:t>
                  </w:r>
                </w:p>
                <w:p w14:paraId="29F017D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53.3</w:t>
                  </w:r>
                </w:p>
                <w:p w14:paraId="1888447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51.9</w:t>
                  </w:r>
                </w:p>
              </w:tc>
              <w:tc>
                <w:tcPr>
                  <w:tcW w:w="817" w:type="dxa"/>
                  <w:tcBorders>
                    <w:tl2br w:val="nil"/>
                    <w:tr2bl w:val="nil"/>
                  </w:tcBorders>
                  <w:vAlign w:val="center"/>
                </w:tcPr>
                <w:p w14:paraId="44F94851">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1CDFBFF7">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59EDB7C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56.9</w:t>
                  </w:r>
                </w:p>
                <w:p w14:paraId="477A6D68">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38.2</w:t>
                  </w:r>
                </w:p>
                <w:p w14:paraId="33CA5ED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38.3</w:t>
                  </w:r>
                </w:p>
                <w:p w14:paraId="059CDAAB">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36.9</w:t>
                  </w:r>
                </w:p>
              </w:tc>
            </w:tr>
            <w:tr w14:paraId="6488F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21DF3303">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1893F00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摇臂钻床</w:t>
                  </w:r>
                  <w:r>
                    <w:rPr>
                      <w:rFonts w:hint="eastAsia" w:ascii="Times New Roman" w:hAnsi="Times New Roman" w:cs="Times New Roman"/>
                      <w:b w:val="0"/>
                      <w:bCs/>
                      <w:color w:val="auto"/>
                      <w:lang w:val="en-US" w:eastAsia="zh-CN"/>
                    </w:rPr>
                    <w:t>1</w:t>
                  </w:r>
                </w:p>
              </w:tc>
              <w:tc>
                <w:tcPr>
                  <w:tcW w:w="1479" w:type="dxa"/>
                  <w:tcBorders>
                    <w:tl2br w:val="nil"/>
                    <w:tr2bl w:val="nil"/>
                  </w:tcBorders>
                  <w:vAlign w:val="center"/>
                </w:tcPr>
                <w:p w14:paraId="3636AE7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Z3050-16型</w:t>
                  </w:r>
                </w:p>
              </w:tc>
              <w:tc>
                <w:tcPr>
                  <w:tcW w:w="1147" w:type="dxa"/>
                  <w:tcBorders>
                    <w:tl2br w:val="nil"/>
                    <w:tr2bl w:val="nil"/>
                  </w:tcBorders>
                  <w:vAlign w:val="center"/>
                </w:tcPr>
                <w:p w14:paraId="0E79E282">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694" w:type="dxa"/>
                  <w:vMerge w:val="continue"/>
                  <w:tcBorders>
                    <w:tl2br w:val="nil"/>
                    <w:tr2bl w:val="nil"/>
                  </w:tcBorders>
                  <w:vAlign w:val="center"/>
                </w:tcPr>
                <w:p w14:paraId="4090BD0D">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073F33C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46</w:t>
                  </w:r>
                </w:p>
              </w:tc>
              <w:tc>
                <w:tcPr>
                  <w:tcW w:w="766" w:type="dxa"/>
                  <w:tcBorders>
                    <w:tl2br w:val="nil"/>
                    <w:tr2bl w:val="nil"/>
                  </w:tcBorders>
                  <w:vAlign w:val="center"/>
                </w:tcPr>
                <w:p w14:paraId="3084B46A">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3F973FFE">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0.8</w:t>
                  </w:r>
                </w:p>
              </w:tc>
              <w:tc>
                <w:tcPr>
                  <w:tcW w:w="1042" w:type="dxa"/>
                  <w:tcBorders>
                    <w:tl2br w:val="nil"/>
                    <w:tr2bl w:val="nil"/>
                  </w:tcBorders>
                  <w:vAlign w:val="center"/>
                </w:tcPr>
                <w:p w14:paraId="3F54098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w:t>
                  </w:r>
                </w:p>
                <w:p w14:paraId="4AC5C4B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35.0</w:t>
                  </w:r>
                </w:p>
                <w:p w14:paraId="3AA2223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3A47FA4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39.0</w:t>
                  </w:r>
                </w:p>
              </w:tc>
              <w:tc>
                <w:tcPr>
                  <w:tcW w:w="975" w:type="dxa"/>
                  <w:tcBorders>
                    <w:tl2br w:val="nil"/>
                    <w:tr2bl w:val="nil"/>
                  </w:tcBorders>
                  <w:vAlign w:val="center"/>
                </w:tcPr>
                <w:p w14:paraId="478D3B4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71.9</w:t>
                  </w:r>
                </w:p>
                <w:p w14:paraId="689BFA6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54.1</w:t>
                  </w:r>
                </w:p>
                <w:p w14:paraId="35B15F0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53.3</w:t>
                  </w:r>
                </w:p>
                <w:p w14:paraId="32DFFF7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51.2</w:t>
                  </w:r>
                </w:p>
              </w:tc>
              <w:tc>
                <w:tcPr>
                  <w:tcW w:w="817" w:type="dxa"/>
                  <w:tcBorders>
                    <w:tl2br w:val="nil"/>
                    <w:tr2bl w:val="nil"/>
                  </w:tcBorders>
                  <w:vAlign w:val="center"/>
                </w:tcPr>
                <w:p w14:paraId="7265B01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6DE07CC0">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0EFB580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56.9</w:t>
                  </w:r>
                </w:p>
                <w:p w14:paraId="7541CAC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39.1</w:t>
                  </w:r>
                </w:p>
                <w:p w14:paraId="52D41D9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38.3</w:t>
                  </w:r>
                </w:p>
                <w:p w14:paraId="51F11DBE">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36.2</w:t>
                  </w:r>
                </w:p>
              </w:tc>
            </w:tr>
            <w:tr w14:paraId="0323D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2456789A">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00EC31D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摇臂钻床</w:t>
                  </w:r>
                  <w:r>
                    <w:rPr>
                      <w:rFonts w:hint="eastAsia" w:ascii="Times New Roman" w:hAnsi="Times New Roman" w:cs="Times New Roman"/>
                      <w:b w:val="0"/>
                      <w:bCs/>
                      <w:color w:val="auto"/>
                      <w:lang w:val="en-US" w:eastAsia="zh-CN"/>
                    </w:rPr>
                    <w:t>2</w:t>
                  </w:r>
                </w:p>
              </w:tc>
              <w:tc>
                <w:tcPr>
                  <w:tcW w:w="1479" w:type="dxa"/>
                  <w:tcBorders>
                    <w:tl2br w:val="nil"/>
                    <w:tr2bl w:val="nil"/>
                  </w:tcBorders>
                  <w:vAlign w:val="center"/>
                </w:tcPr>
                <w:p w14:paraId="549C86B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Z3050-16型</w:t>
                  </w:r>
                </w:p>
              </w:tc>
              <w:tc>
                <w:tcPr>
                  <w:tcW w:w="1147" w:type="dxa"/>
                  <w:tcBorders>
                    <w:tl2br w:val="nil"/>
                    <w:tr2bl w:val="nil"/>
                  </w:tcBorders>
                  <w:vAlign w:val="center"/>
                </w:tcPr>
                <w:p w14:paraId="119CF6B5">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694" w:type="dxa"/>
                  <w:vMerge w:val="continue"/>
                  <w:tcBorders>
                    <w:tl2br w:val="nil"/>
                    <w:tr2bl w:val="nil"/>
                  </w:tcBorders>
                  <w:vAlign w:val="center"/>
                </w:tcPr>
                <w:p w14:paraId="75511F8D">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4EEE658D">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50</w:t>
                  </w:r>
                </w:p>
              </w:tc>
              <w:tc>
                <w:tcPr>
                  <w:tcW w:w="766" w:type="dxa"/>
                  <w:tcBorders>
                    <w:tl2br w:val="nil"/>
                    <w:tr2bl w:val="nil"/>
                  </w:tcBorders>
                  <w:vAlign w:val="center"/>
                </w:tcPr>
                <w:p w14:paraId="2BEE585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79FE931A">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0.8</w:t>
                  </w:r>
                </w:p>
              </w:tc>
              <w:tc>
                <w:tcPr>
                  <w:tcW w:w="1042" w:type="dxa"/>
                  <w:tcBorders>
                    <w:tl2br w:val="nil"/>
                    <w:tr2bl w:val="nil"/>
                  </w:tcBorders>
                  <w:vAlign w:val="center"/>
                </w:tcPr>
                <w:p w14:paraId="5FD33C4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7BD8AC0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31.0</w:t>
                  </w:r>
                </w:p>
                <w:p w14:paraId="68C4B54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005BF89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43.0</w:t>
                  </w:r>
                </w:p>
              </w:tc>
              <w:tc>
                <w:tcPr>
                  <w:tcW w:w="975" w:type="dxa"/>
                  <w:tcBorders>
                    <w:tl2br w:val="nil"/>
                    <w:tr2bl w:val="nil"/>
                  </w:tcBorders>
                  <w:vAlign w:val="center"/>
                </w:tcPr>
                <w:p w14:paraId="09AF914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71.9</w:t>
                  </w:r>
                </w:p>
                <w:p w14:paraId="6D312598">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55.2</w:t>
                  </w:r>
                </w:p>
                <w:p w14:paraId="7C773F9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53.3</w:t>
                  </w:r>
                </w:p>
                <w:p w14:paraId="370F504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54.5</w:t>
                  </w:r>
                </w:p>
              </w:tc>
              <w:tc>
                <w:tcPr>
                  <w:tcW w:w="817" w:type="dxa"/>
                  <w:tcBorders>
                    <w:tl2br w:val="nil"/>
                    <w:tr2bl w:val="nil"/>
                  </w:tcBorders>
                  <w:vAlign w:val="center"/>
                </w:tcPr>
                <w:p w14:paraId="045FC41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1ABDA7B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091AC7A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56.9</w:t>
                  </w:r>
                </w:p>
                <w:p w14:paraId="755E6F8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40.2</w:t>
                  </w:r>
                </w:p>
                <w:p w14:paraId="4646E52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38.3</w:t>
                  </w:r>
                </w:p>
                <w:p w14:paraId="7CBB6F5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39.5</w:t>
                  </w:r>
                </w:p>
              </w:tc>
            </w:tr>
            <w:tr w14:paraId="311B2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31E1111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65A7930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铣床</w:t>
                  </w:r>
                  <w:r>
                    <w:rPr>
                      <w:rFonts w:hint="eastAsia" w:ascii="Times New Roman" w:hAnsi="Times New Roman" w:cs="Times New Roman"/>
                      <w:b w:val="0"/>
                      <w:bCs/>
                      <w:color w:val="auto"/>
                      <w:lang w:val="en-US" w:eastAsia="zh-CN"/>
                    </w:rPr>
                    <w:t>1</w:t>
                  </w:r>
                </w:p>
              </w:tc>
              <w:tc>
                <w:tcPr>
                  <w:tcW w:w="1479" w:type="dxa"/>
                  <w:tcBorders>
                    <w:tl2br w:val="nil"/>
                    <w:tr2bl w:val="nil"/>
                  </w:tcBorders>
                  <w:vAlign w:val="center"/>
                </w:tcPr>
                <w:p w14:paraId="6F62EFF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X52K</w:t>
                  </w:r>
                  <w:r>
                    <w:rPr>
                      <w:rFonts w:hint="eastAsia" w:ascii="Times New Roman" w:hAnsi="Times New Roman" w:cs="Times New Roman"/>
                      <w:b w:val="0"/>
                      <w:bCs/>
                      <w:color w:val="auto"/>
                      <w:lang w:val="en-US" w:eastAsia="zh-CN"/>
                    </w:rPr>
                    <w:t>（</w:t>
                  </w:r>
                  <w:r>
                    <w:rPr>
                      <w:rFonts w:hint="default" w:ascii="Times New Roman" w:hAnsi="Times New Roman" w:cs="Times New Roman"/>
                      <w:b w:val="0"/>
                      <w:bCs/>
                      <w:color w:val="auto"/>
                      <w:lang w:val="en-US" w:eastAsia="zh-CN"/>
                    </w:rPr>
                    <w:t>X5032</w:t>
                  </w:r>
                  <w:r>
                    <w:rPr>
                      <w:rFonts w:hint="eastAsia" w:ascii="Times New Roman" w:hAnsi="Times New Roman" w:cs="Times New Roman"/>
                      <w:b w:val="0"/>
                      <w:bCs/>
                      <w:color w:val="auto"/>
                      <w:lang w:val="en-US" w:eastAsia="zh-CN"/>
                    </w:rPr>
                    <w:t>）</w:t>
                  </w:r>
                </w:p>
              </w:tc>
              <w:tc>
                <w:tcPr>
                  <w:tcW w:w="1147" w:type="dxa"/>
                  <w:tcBorders>
                    <w:tl2br w:val="nil"/>
                    <w:tr2bl w:val="nil"/>
                  </w:tcBorders>
                  <w:vAlign w:val="center"/>
                </w:tcPr>
                <w:p w14:paraId="1354E4C5">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694" w:type="dxa"/>
                  <w:vMerge w:val="continue"/>
                  <w:tcBorders>
                    <w:tl2br w:val="nil"/>
                    <w:tr2bl w:val="nil"/>
                  </w:tcBorders>
                  <w:vAlign w:val="center"/>
                </w:tcPr>
                <w:p w14:paraId="752F598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2B6B4782">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54</w:t>
                  </w:r>
                </w:p>
              </w:tc>
              <w:tc>
                <w:tcPr>
                  <w:tcW w:w="766" w:type="dxa"/>
                  <w:tcBorders>
                    <w:tl2br w:val="nil"/>
                    <w:tr2bl w:val="nil"/>
                  </w:tcBorders>
                  <w:vAlign w:val="center"/>
                </w:tcPr>
                <w:p w14:paraId="5FF88EA0">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34025354">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0.8</w:t>
                  </w:r>
                </w:p>
              </w:tc>
              <w:tc>
                <w:tcPr>
                  <w:tcW w:w="1042" w:type="dxa"/>
                  <w:tcBorders>
                    <w:tl2br w:val="nil"/>
                    <w:tr2bl w:val="nil"/>
                  </w:tcBorders>
                  <w:vAlign w:val="center"/>
                </w:tcPr>
                <w:p w14:paraId="468B8E9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2BFC277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27.0</w:t>
                  </w:r>
                </w:p>
                <w:p w14:paraId="086A4F5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2776CA3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47.0</w:t>
                  </w:r>
                </w:p>
              </w:tc>
              <w:tc>
                <w:tcPr>
                  <w:tcW w:w="975" w:type="dxa"/>
                  <w:tcBorders>
                    <w:tl2br w:val="nil"/>
                    <w:tr2bl w:val="nil"/>
                  </w:tcBorders>
                  <w:vAlign w:val="center"/>
                </w:tcPr>
                <w:p w14:paraId="1282A17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71.9</w:t>
                  </w:r>
                </w:p>
                <w:p w14:paraId="6110F0E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56.4</w:t>
                  </w:r>
                </w:p>
                <w:p w14:paraId="18B64AC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53.3</w:t>
                  </w:r>
                </w:p>
                <w:p w14:paraId="359984A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49.9</w:t>
                  </w:r>
                </w:p>
              </w:tc>
              <w:tc>
                <w:tcPr>
                  <w:tcW w:w="817" w:type="dxa"/>
                  <w:tcBorders>
                    <w:tl2br w:val="nil"/>
                    <w:tr2bl w:val="nil"/>
                  </w:tcBorders>
                  <w:vAlign w:val="center"/>
                </w:tcPr>
                <w:p w14:paraId="1147F3FD">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7685375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590E2B7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56.9</w:t>
                  </w:r>
                </w:p>
                <w:p w14:paraId="2857382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41.4</w:t>
                  </w:r>
                </w:p>
                <w:p w14:paraId="3427208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38.3</w:t>
                  </w:r>
                </w:p>
                <w:p w14:paraId="10C09254">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34.9</w:t>
                  </w:r>
                </w:p>
              </w:tc>
            </w:tr>
            <w:tr w14:paraId="7CB08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2F4EEC9C">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0700D1B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铣床</w:t>
                  </w:r>
                  <w:r>
                    <w:rPr>
                      <w:rFonts w:hint="eastAsia" w:ascii="Times New Roman" w:hAnsi="Times New Roman" w:cs="Times New Roman"/>
                      <w:b w:val="0"/>
                      <w:bCs/>
                      <w:color w:val="auto"/>
                      <w:lang w:val="en-US" w:eastAsia="zh-CN"/>
                    </w:rPr>
                    <w:t>2</w:t>
                  </w:r>
                </w:p>
              </w:tc>
              <w:tc>
                <w:tcPr>
                  <w:tcW w:w="1479" w:type="dxa"/>
                  <w:tcBorders>
                    <w:tl2br w:val="nil"/>
                    <w:tr2bl w:val="nil"/>
                  </w:tcBorders>
                  <w:vAlign w:val="center"/>
                </w:tcPr>
                <w:p w14:paraId="1042FF5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X52K</w:t>
                  </w:r>
                  <w:r>
                    <w:rPr>
                      <w:rFonts w:hint="eastAsia" w:ascii="Times New Roman" w:hAnsi="Times New Roman" w:cs="Times New Roman"/>
                      <w:b w:val="0"/>
                      <w:bCs/>
                      <w:color w:val="auto"/>
                      <w:lang w:val="en-US" w:eastAsia="zh-CN"/>
                    </w:rPr>
                    <w:t>（</w:t>
                  </w:r>
                  <w:r>
                    <w:rPr>
                      <w:rFonts w:hint="default" w:ascii="Times New Roman" w:hAnsi="Times New Roman" w:cs="Times New Roman"/>
                      <w:b w:val="0"/>
                      <w:bCs/>
                      <w:color w:val="auto"/>
                      <w:lang w:val="en-US" w:eastAsia="zh-CN"/>
                    </w:rPr>
                    <w:t>X5032</w:t>
                  </w:r>
                  <w:r>
                    <w:rPr>
                      <w:rFonts w:hint="eastAsia" w:ascii="Times New Roman" w:hAnsi="Times New Roman" w:cs="Times New Roman"/>
                      <w:b w:val="0"/>
                      <w:bCs/>
                      <w:color w:val="auto"/>
                      <w:lang w:val="en-US" w:eastAsia="zh-CN"/>
                    </w:rPr>
                    <w:t>）</w:t>
                  </w:r>
                </w:p>
              </w:tc>
              <w:tc>
                <w:tcPr>
                  <w:tcW w:w="1147" w:type="dxa"/>
                  <w:tcBorders>
                    <w:tl2br w:val="nil"/>
                    <w:tr2bl w:val="nil"/>
                  </w:tcBorders>
                  <w:vAlign w:val="center"/>
                </w:tcPr>
                <w:p w14:paraId="50447C45">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694" w:type="dxa"/>
                  <w:vMerge w:val="continue"/>
                  <w:tcBorders>
                    <w:tl2br w:val="nil"/>
                    <w:tr2bl w:val="nil"/>
                  </w:tcBorders>
                  <w:vAlign w:val="center"/>
                </w:tcPr>
                <w:p w14:paraId="0C680FD1">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14D87376">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58</w:t>
                  </w:r>
                </w:p>
              </w:tc>
              <w:tc>
                <w:tcPr>
                  <w:tcW w:w="766" w:type="dxa"/>
                  <w:tcBorders>
                    <w:tl2br w:val="nil"/>
                    <w:tr2bl w:val="nil"/>
                  </w:tcBorders>
                  <w:vAlign w:val="center"/>
                </w:tcPr>
                <w:p w14:paraId="3EEEC774">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6E66ACE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0.8</w:t>
                  </w:r>
                </w:p>
              </w:tc>
              <w:tc>
                <w:tcPr>
                  <w:tcW w:w="1042" w:type="dxa"/>
                  <w:tcBorders>
                    <w:tl2br w:val="nil"/>
                    <w:tr2bl w:val="nil"/>
                  </w:tcBorders>
                  <w:vAlign w:val="center"/>
                </w:tcPr>
                <w:p w14:paraId="5971A4C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738EE7A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23.0</w:t>
                  </w:r>
                </w:p>
                <w:p w14:paraId="2970DED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4AEDE87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51.0</w:t>
                  </w:r>
                </w:p>
              </w:tc>
              <w:tc>
                <w:tcPr>
                  <w:tcW w:w="975" w:type="dxa"/>
                  <w:tcBorders>
                    <w:tl2br w:val="nil"/>
                    <w:tr2bl w:val="nil"/>
                  </w:tcBorders>
                  <w:vAlign w:val="center"/>
                </w:tcPr>
                <w:p w14:paraId="5AAFEC8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71.9</w:t>
                  </w:r>
                </w:p>
                <w:p w14:paraId="5C727A1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57.8</w:t>
                  </w:r>
                </w:p>
                <w:p w14:paraId="23EEBAB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53.3</w:t>
                  </w:r>
                </w:p>
                <w:p w14:paraId="15AC045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50.8</w:t>
                  </w:r>
                </w:p>
              </w:tc>
              <w:tc>
                <w:tcPr>
                  <w:tcW w:w="817" w:type="dxa"/>
                  <w:tcBorders>
                    <w:tl2br w:val="nil"/>
                    <w:tr2bl w:val="nil"/>
                  </w:tcBorders>
                  <w:vAlign w:val="center"/>
                </w:tcPr>
                <w:p w14:paraId="262A555E">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0E2D1DCB">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6718942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56.9</w:t>
                  </w:r>
                </w:p>
                <w:p w14:paraId="17CC395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42.8</w:t>
                  </w:r>
                </w:p>
                <w:p w14:paraId="498D06B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38.3</w:t>
                  </w:r>
                </w:p>
                <w:p w14:paraId="69F1DFD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35.8</w:t>
                  </w:r>
                </w:p>
              </w:tc>
            </w:tr>
            <w:tr w14:paraId="08DA0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6E09EF99">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7BC9724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台钻</w:t>
                  </w:r>
                  <w:r>
                    <w:rPr>
                      <w:rFonts w:hint="eastAsia" w:ascii="Times New Roman" w:hAnsi="Times New Roman" w:cs="Times New Roman"/>
                      <w:b w:val="0"/>
                      <w:bCs/>
                      <w:color w:val="auto"/>
                      <w:sz w:val="21"/>
                      <w:szCs w:val="21"/>
                      <w:lang w:val="en-US" w:eastAsia="zh-CN"/>
                    </w:rPr>
                    <w:t>1</w:t>
                  </w:r>
                </w:p>
              </w:tc>
              <w:tc>
                <w:tcPr>
                  <w:tcW w:w="1479" w:type="dxa"/>
                  <w:tcBorders>
                    <w:tl2br w:val="nil"/>
                    <w:tr2bl w:val="nil"/>
                  </w:tcBorders>
                  <w:vAlign w:val="center"/>
                </w:tcPr>
                <w:p w14:paraId="18DF0A3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1147" w:type="dxa"/>
                  <w:tcBorders>
                    <w:tl2br w:val="nil"/>
                    <w:tr2bl w:val="nil"/>
                  </w:tcBorders>
                  <w:vAlign w:val="center"/>
                </w:tcPr>
                <w:p w14:paraId="3E682743">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694" w:type="dxa"/>
                  <w:vMerge w:val="continue"/>
                  <w:tcBorders>
                    <w:tl2br w:val="nil"/>
                    <w:tr2bl w:val="nil"/>
                  </w:tcBorders>
                  <w:vAlign w:val="center"/>
                </w:tcPr>
                <w:p w14:paraId="77AFFB11">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2285173A">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62</w:t>
                  </w:r>
                </w:p>
              </w:tc>
              <w:tc>
                <w:tcPr>
                  <w:tcW w:w="766" w:type="dxa"/>
                  <w:tcBorders>
                    <w:tl2br w:val="nil"/>
                    <w:tr2bl w:val="nil"/>
                  </w:tcBorders>
                  <w:vAlign w:val="center"/>
                </w:tcPr>
                <w:p w14:paraId="54550C2D">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25B095E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0.8</w:t>
                  </w:r>
                </w:p>
              </w:tc>
              <w:tc>
                <w:tcPr>
                  <w:tcW w:w="1042" w:type="dxa"/>
                  <w:tcBorders>
                    <w:tl2br w:val="nil"/>
                    <w:tr2bl w:val="nil"/>
                  </w:tcBorders>
                  <w:vAlign w:val="center"/>
                </w:tcPr>
                <w:p w14:paraId="7B604FF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3E44FB8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19.0</w:t>
                  </w:r>
                </w:p>
                <w:p w14:paraId="6846609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6B7F780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55.0</w:t>
                  </w:r>
                </w:p>
              </w:tc>
              <w:tc>
                <w:tcPr>
                  <w:tcW w:w="975" w:type="dxa"/>
                  <w:tcBorders>
                    <w:tl2br w:val="nil"/>
                    <w:tr2bl w:val="nil"/>
                  </w:tcBorders>
                  <w:vAlign w:val="center"/>
                </w:tcPr>
                <w:p w14:paraId="798E113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71.9</w:t>
                  </w:r>
                </w:p>
                <w:p w14:paraId="77CEB12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59.4</w:t>
                  </w:r>
                </w:p>
                <w:p w14:paraId="101553F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53.3</w:t>
                  </w:r>
                </w:p>
                <w:p w14:paraId="153D9B7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50.2</w:t>
                  </w:r>
                </w:p>
              </w:tc>
              <w:tc>
                <w:tcPr>
                  <w:tcW w:w="817" w:type="dxa"/>
                  <w:tcBorders>
                    <w:tl2br w:val="nil"/>
                    <w:tr2bl w:val="nil"/>
                  </w:tcBorders>
                  <w:vAlign w:val="center"/>
                </w:tcPr>
                <w:p w14:paraId="6F203EFB">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37831A2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5B20BB7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56.9</w:t>
                  </w:r>
                </w:p>
                <w:p w14:paraId="162C0AC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44.4</w:t>
                  </w:r>
                </w:p>
                <w:p w14:paraId="73E1004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38.3</w:t>
                  </w:r>
                </w:p>
                <w:p w14:paraId="74FBADD7">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35.2</w:t>
                  </w:r>
                </w:p>
              </w:tc>
            </w:tr>
            <w:tr w14:paraId="557CE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0D27DF2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424D2DA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台钻</w:t>
                  </w:r>
                  <w:r>
                    <w:rPr>
                      <w:rFonts w:hint="eastAsia" w:ascii="Times New Roman" w:hAnsi="Times New Roman" w:cs="Times New Roman"/>
                      <w:b w:val="0"/>
                      <w:bCs/>
                      <w:color w:val="auto"/>
                      <w:sz w:val="21"/>
                      <w:szCs w:val="21"/>
                      <w:lang w:val="en-US" w:eastAsia="zh-CN"/>
                    </w:rPr>
                    <w:t>2</w:t>
                  </w:r>
                </w:p>
              </w:tc>
              <w:tc>
                <w:tcPr>
                  <w:tcW w:w="1479" w:type="dxa"/>
                  <w:tcBorders>
                    <w:tl2br w:val="nil"/>
                    <w:tr2bl w:val="nil"/>
                  </w:tcBorders>
                  <w:vAlign w:val="center"/>
                </w:tcPr>
                <w:p w14:paraId="3256EBC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1147" w:type="dxa"/>
                  <w:tcBorders>
                    <w:tl2br w:val="nil"/>
                    <w:tr2bl w:val="nil"/>
                  </w:tcBorders>
                  <w:vAlign w:val="center"/>
                </w:tcPr>
                <w:p w14:paraId="52EA071D">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90</w:t>
                  </w:r>
                </w:p>
              </w:tc>
              <w:tc>
                <w:tcPr>
                  <w:tcW w:w="694" w:type="dxa"/>
                  <w:vMerge w:val="continue"/>
                  <w:tcBorders>
                    <w:tl2br w:val="nil"/>
                    <w:tr2bl w:val="nil"/>
                  </w:tcBorders>
                  <w:vAlign w:val="center"/>
                </w:tcPr>
                <w:p w14:paraId="2A8C1ED6">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1E57B12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66</w:t>
                  </w:r>
                </w:p>
              </w:tc>
              <w:tc>
                <w:tcPr>
                  <w:tcW w:w="766" w:type="dxa"/>
                  <w:tcBorders>
                    <w:tl2br w:val="nil"/>
                    <w:tr2bl w:val="nil"/>
                  </w:tcBorders>
                  <w:vAlign w:val="center"/>
                </w:tcPr>
                <w:p w14:paraId="3B94A04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38.5</w:t>
                  </w:r>
                </w:p>
              </w:tc>
              <w:tc>
                <w:tcPr>
                  <w:tcW w:w="797" w:type="dxa"/>
                  <w:tcBorders>
                    <w:tl2br w:val="nil"/>
                    <w:tr2bl w:val="nil"/>
                  </w:tcBorders>
                  <w:vAlign w:val="center"/>
                </w:tcPr>
                <w:p w14:paraId="7111EFEF">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0.8</w:t>
                  </w:r>
                </w:p>
              </w:tc>
              <w:tc>
                <w:tcPr>
                  <w:tcW w:w="1042" w:type="dxa"/>
                  <w:tcBorders>
                    <w:tl2br w:val="nil"/>
                    <w:tr2bl w:val="nil"/>
                  </w:tcBorders>
                  <w:vAlign w:val="center"/>
                </w:tcPr>
                <w:p w14:paraId="1009936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4.50</w:t>
                  </w:r>
                </w:p>
                <w:p w14:paraId="7573799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15.0</w:t>
                  </w:r>
                </w:p>
                <w:p w14:paraId="3366438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38.5</w:t>
                  </w:r>
                </w:p>
                <w:p w14:paraId="1FCD9B4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59.0</w:t>
                  </w:r>
                </w:p>
              </w:tc>
              <w:tc>
                <w:tcPr>
                  <w:tcW w:w="975" w:type="dxa"/>
                  <w:tcBorders>
                    <w:tl2br w:val="nil"/>
                    <w:tr2bl w:val="nil"/>
                  </w:tcBorders>
                  <w:vAlign w:val="center"/>
                </w:tcPr>
                <w:p w14:paraId="752C7B4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71.9</w:t>
                  </w:r>
                </w:p>
                <w:p w14:paraId="7F82546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61.5</w:t>
                  </w:r>
                </w:p>
                <w:p w14:paraId="23AFAF6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53.3</w:t>
                  </w:r>
                </w:p>
                <w:p w14:paraId="5DE1990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49.6</w:t>
                  </w:r>
                </w:p>
              </w:tc>
              <w:tc>
                <w:tcPr>
                  <w:tcW w:w="817" w:type="dxa"/>
                  <w:tcBorders>
                    <w:tl2br w:val="nil"/>
                    <w:tr2bl w:val="nil"/>
                  </w:tcBorders>
                  <w:vAlign w:val="center"/>
                </w:tcPr>
                <w:p w14:paraId="17822BD7">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16A7EA2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73E54B2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56.9</w:t>
                  </w:r>
                </w:p>
                <w:p w14:paraId="0F42BD2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46.5</w:t>
                  </w:r>
                </w:p>
                <w:p w14:paraId="540B4F6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38.3</w:t>
                  </w:r>
                </w:p>
                <w:p w14:paraId="35CFC86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34.6</w:t>
                  </w:r>
                </w:p>
              </w:tc>
            </w:tr>
            <w:tr w14:paraId="18C68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52FEEB88">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63283DB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氩弧焊机</w:t>
                  </w:r>
                  <w:r>
                    <w:rPr>
                      <w:rFonts w:hint="eastAsia" w:ascii="Times New Roman" w:hAnsi="Times New Roman" w:cs="Times New Roman"/>
                      <w:b w:val="0"/>
                      <w:bCs/>
                      <w:color w:val="auto"/>
                      <w:lang w:val="en-US" w:eastAsia="zh-CN"/>
                    </w:rPr>
                    <w:t>1</w:t>
                  </w:r>
                </w:p>
              </w:tc>
              <w:tc>
                <w:tcPr>
                  <w:tcW w:w="1479" w:type="dxa"/>
                  <w:tcBorders>
                    <w:tl2br w:val="nil"/>
                    <w:tr2bl w:val="nil"/>
                  </w:tcBorders>
                  <w:vAlign w:val="center"/>
                </w:tcPr>
                <w:p w14:paraId="7C3A869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1147" w:type="dxa"/>
                  <w:tcBorders>
                    <w:tl2br w:val="nil"/>
                    <w:tr2bl w:val="nil"/>
                  </w:tcBorders>
                  <w:vAlign w:val="center"/>
                </w:tcPr>
                <w:p w14:paraId="5BCA052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85</w:t>
                  </w:r>
                </w:p>
              </w:tc>
              <w:tc>
                <w:tcPr>
                  <w:tcW w:w="694" w:type="dxa"/>
                  <w:vMerge w:val="continue"/>
                  <w:tcBorders>
                    <w:tl2br w:val="nil"/>
                    <w:tr2bl w:val="nil"/>
                  </w:tcBorders>
                  <w:vAlign w:val="center"/>
                </w:tcPr>
                <w:p w14:paraId="45080E04">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08B5E07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16.25</w:t>
                  </w:r>
                </w:p>
              </w:tc>
              <w:tc>
                <w:tcPr>
                  <w:tcW w:w="766" w:type="dxa"/>
                  <w:tcBorders>
                    <w:tl2br w:val="nil"/>
                    <w:tr2bl w:val="nil"/>
                  </w:tcBorders>
                  <w:vAlign w:val="center"/>
                </w:tcPr>
                <w:p w14:paraId="73262912">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29.5</w:t>
                  </w:r>
                </w:p>
              </w:tc>
              <w:tc>
                <w:tcPr>
                  <w:tcW w:w="797" w:type="dxa"/>
                  <w:tcBorders>
                    <w:tl2br w:val="nil"/>
                    <w:tr2bl w:val="nil"/>
                  </w:tcBorders>
                  <w:vAlign w:val="center"/>
                </w:tcPr>
                <w:p w14:paraId="7352AB2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0.9</w:t>
                  </w:r>
                </w:p>
              </w:tc>
              <w:tc>
                <w:tcPr>
                  <w:tcW w:w="1042" w:type="dxa"/>
                  <w:tcBorders>
                    <w:tl2br w:val="nil"/>
                    <w:tr2bl w:val="nil"/>
                  </w:tcBorders>
                  <w:vAlign w:val="center"/>
                </w:tcPr>
                <w:p w14:paraId="392D540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13.50</w:t>
                  </w:r>
                </w:p>
                <w:p w14:paraId="3D11FF9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64.75</w:t>
                  </w:r>
                </w:p>
                <w:p w14:paraId="485F144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22.50</w:t>
                  </w:r>
                </w:p>
                <w:p w14:paraId="7F1FBF6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9.25</w:t>
                  </w:r>
                </w:p>
              </w:tc>
              <w:tc>
                <w:tcPr>
                  <w:tcW w:w="975" w:type="dxa"/>
                  <w:tcBorders>
                    <w:tl2br w:val="nil"/>
                    <w:tr2bl w:val="nil"/>
                  </w:tcBorders>
                  <w:vAlign w:val="center"/>
                </w:tcPr>
                <w:p w14:paraId="043C935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62.4</w:t>
                  </w:r>
                </w:p>
                <w:p w14:paraId="0B2ED17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48.8</w:t>
                  </w:r>
                </w:p>
                <w:p w14:paraId="7233325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58.0</w:t>
                  </w:r>
                </w:p>
                <w:p w14:paraId="43730BB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65.7</w:t>
                  </w:r>
                </w:p>
              </w:tc>
              <w:tc>
                <w:tcPr>
                  <w:tcW w:w="817" w:type="dxa"/>
                  <w:tcBorders>
                    <w:tl2br w:val="nil"/>
                    <w:tr2bl w:val="nil"/>
                  </w:tcBorders>
                  <w:vAlign w:val="center"/>
                </w:tcPr>
                <w:p w14:paraId="476F4F80">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24CBCE6D">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4B3AD8E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47.4</w:t>
                  </w:r>
                </w:p>
                <w:p w14:paraId="4C90096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33.8</w:t>
                  </w:r>
                </w:p>
                <w:p w14:paraId="185F4B3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43.0</w:t>
                  </w:r>
                </w:p>
                <w:p w14:paraId="7A57A630">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50.7</w:t>
                  </w:r>
                </w:p>
              </w:tc>
            </w:tr>
            <w:tr w14:paraId="0B6BA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7B8F394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1AF1F04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氩弧焊机</w:t>
                  </w:r>
                  <w:r>
                    <w:rPr>
                      <w:rFonts w:hint="eastAsia" w:ascii="Times New Roman" w:hAnsi="Times New Roman" w:cs="Times New Roman"/>
                      <w:b w:val="0"/>
                      <w:bCs/>
                      <w:color w:val="auto"/>
                      <w:lang w:val="en-US" w:eastAsia="zh-CN"/>
                    </w:rPr>
                    <w:t>2</w:t>
                  </w:r>
                </w:p>
              </w:tc>
              <w:tc>
                <w:tcPr>
                  <w:tcW w:w="1479" w:type="dxa"/>
                  <w:tcBorders>
                    <w:tl2br w:val="nil"/>
                    <w:tr2bl w:val="nil"/>
                  </w:tcBorders>
                  <w:vAlign w:val="center"/>
                </w:tcPr>
                <w:p w14:paraId="097CE4F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1147" w:type="dxa"/>
                  <w:tcBorders>
                    <w:tl2br w:val="nil"/>
                    <w:tr2bl w:val="nil"/>
                  </w:tcBorders>
                  <w:vAlign w:val="center"/>
                </w:tcPr>
                <w:p w14:paraId="7DE3E64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85</w:t>
                  </w:r>
                </w:p>
              </w:tc>
              <w:tc>
                <w:tcPr>
                  <w:tcW w:w="694" w:type="dxa"/>
                  <w:vMerge w:val="continue"/>
                  <w:tcBorders>
                    <w:tl2br w:val="nil"/>
                    <w:tr2bl w:val="nil"/>
                  </w:tcBorders>
                  <w:vAlign w:val="center"/>
                </w:tcPr>
                <w:p w14:paraId="5E88904B">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5F68C2C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19.5</w:t>
                  </w:r>
                </w:p>
              </w:tc>
              <w:tc>
                <w:tcPr>
                  <w:tcW w:w="766" w:type="dxa"/>
                  <w:tcBorders>
                    <w:tl2br w:val="nil"/>
                    <w:tr2bl w:val="nil"/>
                  </w:tcBorders>
                  <w:vAlign w:val="center"/>
                </w:tcPr>
                <w:p w14:paraId="1CEA7E4E">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29.5</w:t>
                  </w:r>
                </w:p>
              </w:tc>
              <w:tc>
                <w:tcPr>
                  <w:tcW w:w="797" w:type="dxa"/>
                  <w:tcBorders>
                    <w:tl2br w:val="nil"/>
                    <w:tr2bl w:val="nil"/>
                  </w:tcBorders>
                  <w:vAlign w:val="center"/>
                </w:tcPr>
                <w:p w14:paraId="143C0346">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0.9</w:t>
                  </w:r>
                </w:p>
              </w:tc>
              <w:tc>
                <w:tcPr>
                  <w:tcW w:w="1042" w:type="dxa"/>
                  <w:tcBorders>
                    <w:tl2br w:val="nil"/>
                    <w:tr2bl w:val="nil"/>
                  </w:tcBorders>
                  <w:vAlign w:val="center"/>
                </w:tcPr>
                <w:p w14:paraId="28E2274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13.5</w:t>
                  </w:r>
                </w:p>
                <w:p w14:paraId="01211A0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61.5</w:t>
                  </w:r>
                </w:p>
                <w:p w14:paraId="3B6D09D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22.5</w:t>
                  </w:r>
                </w:p>
                <w:p w14:paraId="1D9C2ED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12.5</w:t>
                  </w:r>
                </w:p>
              </w:tc>
              <w:tc>
                <w:tcPr>
                  <w:tcW w:w="975" w:type="dxa"/>
                  <w:tcBorders>
                    <w:tl2br w:val="nil"/>
                    <w:tr2bl w:val="nil"/>
                  </w:tcBorders>
                  <w:vAlign w:val="center"/>
                </w:tcPr>
                <w:p w14:paraId="2BF85B5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62.4</w:t>
                  </w:r>
                </w:p>
                <w:p w14:paraId="35C53A1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49.2</w:t>
                  </w:r>
                </w:p>
                <w:p w14:paraId="653ADF9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58.0</w:t>
                  </w:r>
                </w:p>
                <w:p w14:paraId="3DC0827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65.7</w:t>
                  </w:r>
                </w:p>
              </w:tc>
              <w:tc>
                <w:tcPr>
                  <w:tcW w:w="817" w:type="dxa"/>
                  <w:tcBorders>
                    <w:tl2br w:val="nil"/>
                    <w:tr2bl w:val="nil"/>
                  </w:tcBorders>
                  <w:vAlign w:val="center"/>
                </w:tcPr>
                <w:p w14:paraId="36BF701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0D942E7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1437D88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47.4</w:t>
                  </w:r>
                </w:p>
                <w:p w14:paraId="7D77F178">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34.2</w:t>
                  </w:r>
                </w:p>
                <w:p w14:paraId="4E2CEEB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43.0</w:t>
                  </w:r>
                </w:p>
                <w:p w14:paraId="001AACD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50.7</w:t>
                  </w:r>
                </w:p>
              </w:tc>
            </w:tr>
            <w:tr w14:paraId="6264E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4" w:hRule="atLeast"/>
                <w:jc w:val="center"/>
              </w:trPr>
              <w:tc>
                <w:tcPr>
                  <w:tcW w:w="726" w:type="dxa"/>
                  <w:vMerge w:val="continue"/>
                  <w:tcBorders>
                    <w:tl2br w:val="nil"/>
                    <w:tr2bl w:val="nil"/>
                  </w:tcBorders>
                  <w:vAlign w:val="center"/>
                </w:tcPr>
                <w:p w14:paraId="47B1D548">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252DCCA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电弧焊机</w:t>
                  </w:r>
                  <w:r>
                    <w:rPr>
                      <w:rFonts w:hint="eastAsia" w:ascii="Times New Roman" w:hAnsi="Times New Roman" w:cs="Times New Roman"/>
                      <w:b w:val="0"/>
                      <w:bCs/>
                      <w:color w:val="auto"/>
                      <w:lang w:val="en-US" w:eastAsia="zh-CN"/>
                    </w:rPr>
                    <w:t>1</w:t>
                  </w:r>
                </w:p>
              </w:tc>
              <w:tc>
                <w:tcPr>
                  <w:tcW w:w="1479" w:type="dxa"/>
                  <w:tcBorders>
                    <w:tl2br w:val="nil"/>
                    <w:tr2bl w:val="nil"/>
                  </w:tcBorders>
                  <w:vAlign w:val="center"/>
                </w:tcPr>
                <w:p w14:paraId="663310D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1147" w:type="dxa"/>
                  <w:tcBorders>
                    <w:tl2br w:val="nil"/>
                    <w:tr2bl w:val="nil"/>
                  </w:tcBorders>
                  <w:vAlign w:val="center"/>
                </w:tcPr>
                <w:p w14:paraId="01813FD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85</w:t>
                  </w:r>
                </w:p>
              </w:tc>
              <w:tc>
                <w:tcPr>
                  <w:tcW w:w="694" w:type="dxa"/>
                  <w:vMerge w:val="continue"/>
                  <w:tcBorders>
                    <w:tl2br w:val="nil"/>
                    <w:tr2bl w:val="nil"/>
                  </w:tcBorders>
                  <w:vAlign w:val="center"/>
                </w:tcPr>
                <w:p w14:paraId="1590D843">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7CD80E0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22.75</w:t>
                  </w:r>
                </w:p>
              </w:tc>
              <w:tc>
                <w:tcPr>
                  <w:tcW w:w="766" w:type="dxa"/>
                  <w:tcBorders>
                    <w:tl2br w:val="nil"/>
                    <w:tr2bl w:val="nil"/>
                  </w:tcBorders>
                  <w:vAlign w:val="center"/>
                </w:tcPr>
                <w:p w14:paraId="5B094DF6">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29.5</w:t>
                  </w:r>
                </w:p>
              </w:tc>
              <w:tc>
                <w:tcPr>
                  <w:tcW w:w="797" w:type="dxa"/>
                  <w:tcBorders>
                    <w:tl2br w:val="nil"/>
                    <w:tr2bl w:val="nil"/>
                  </w:tcBorders>
                  <w:vAlign w:val="center"/>
                </w:tcPr>
                <w:p w14:paraId="5AAB774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0.9</w:t>
                  </w:r>
                </w:p>
              </w:tc>
              <w:tc>
                <w:tcPr>
                  <w:tcW w:w="1042" w:type="dxa"/>
                  <w:tcBorders>
                    <w:tl2br w:val="nil"/>
                    <w:tr2bl w:val="nil"/>
                  </w:tcBorders>
                  <w:vAlign w:val="center"/>
                </w:tcPr>
                <w:p w14:paraId="21F7AB1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13.5</w:t>
                  </w:r>
                </w:p>
                <w:p w14:paraId="7B312DD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58.25</w:t>
                  </w:r>
                </w:p>
                <w:p w14:paraId="0548ED58">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22.5</w:t>
                  </w:r>
                </w:p>
                <w:p w14:paraId="4EA4A4A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15.75</w:t>
                  </w:r>
                </w:p>
              </w:tc>
              <w:tc>
                <w:tcPr>
                  <w:tcW w:w="975" w:type="dxa"/>
                  <w:tcBorders>
                    <w:tl2br w:val="nil"/>
                    <w:tr2bl w:val="nil"/>
                  </w:tcBorders>
                  <w:vAlign w:val="center"/>
                </w:tcPr>
                <w:p w14:paraId="2BA81BB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62.4</w:t>
                  </w:r>
                </w:p>
                <w:p w14:paraId="6EAD8E7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49.7</w:t>
                  </w:r>
                </w:p>
                <w:p w14:paraId="1CD684D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58.0</w:t>
                  </w:r>
                </w:p>
                <w:p w14:paraId="6CD57B5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61.4</w:t>
                  </w:r>
                </w:p>
              </w:tc>
              <w:tc>
                <w:tcPr>
                  <w:tcW w:w="817" w:type="dxa"/>
                  <w:tcBorders>
                    <w:tl2br w:val="nil"/>
                    <w:tr2bl w:val="nil"/>
                  </w:tcBorders>
                  <w:vAlign w:val="center"/>
                </w:tcPr>
                <w:p w14:paraId="23DAA28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2E39999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5EE51CF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47.4</w:t>
                  </w:r>
                </w:p>
                <w:p w14:paraId="2D321C2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34.7</w:t>
                  </w:r>
                </w:p>
                <w:p w14:paraId="3F4A46C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43.0</w:t>
                  </w:r>
                </w:p>
                <w:p w14:paraId="45E389F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46.4</w:t>
                  </w:r>
                </w:p>
              </w:tc>
            </w:tr>
            <w:tr w14:paraId="31EE3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682D1CD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0A787A0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电弧焊机</w:t>
                  </w:r>
                  <w:r>
                    <w:rPr>
                      <w:rFonts w:hint="eastAsia" w:ascii="Times New Roman" w:hAnsi="Times New Roman" w:cs="Times New Roman"/>
                      <w:b w:val="0"/>
                      <w:bCs/>
                      <w:color w:val="auto"/>
                      <w:lang w:val="en-US" w:eastAsia="zh-CN"/>
                    </w:rPr>
                    <w:t>2</w:t>
                  </w:r>
                </w:p>
              </w:tc>
              <w:tc>
                <w:tcPr>
                  <w:tcW w:w="1479" w:type="dxa"/>
                  <w:tcBorders>
                    <w:tl2br w:val="nil"/>
                    <w:tr2bl w:val="nil"/>
                  </w:tcBorders>
                  <w:vAlign w:val="center"/>
                </w:tcPr>
                <w:p w14:paraId="501A7BB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1147" w:type="dxa"/>
                  <w:tcBorders>
                    <w:tl2br w:val="nil"/>
                    <w:tr2bl w:val="nil"/>
                  </w:tcBorders>
                  <w:vAlign w:val="center"/>
                </w:tcPr>
                <w:p w14:paraId="3DFAA05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85</w:t>
                  </w:r>
                </w:p>
              </w:tc>
              <w:tc>
                <w:tcPr>
                  <w:tcW w:w="694" w:type="dxa"/>
                  <w:vMerge w:val="continue"/>
                  <w:tcBorders>
                    <w:tl2br w:val="nil"/>
                    <w:tr2bl w:val="nil"/>
                  </w:tcBorders>
                  <w:vAlign w:val="center"/>
                </w:tcPr>
                <w:p w14:paraId="5B166AE8">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4624E91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26</w:t>
                  </w:r>
                </w:p>
              </w:tc>
              <w:tc>
                <w:tcPr>
                  <w:tcW w:w="766" w:type="dxa"/>
                  <w:tcBorders>
                    <w:tl2br w:val="nil"/>
                    <w:tr2bl w:val="nil"/>
                  </w:tcBorders>
                  <w:vAlign w:val="center"/>
                </w:tcPr>
                <w:p w14:paraId="2DB9EF5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29.5</w:t>
                  </w:r>
                </w:p>
              </w:tc>
              <w:tc>
                <w:tcPr>
                  <w:tcW w:w="797" w:type="dxa"/>
                  <w:tcBorders>
                    <w:tl2br w:val="nil"/>
                    <w:tr2bl w:val="nil"/>
                  </w:tcBorders>
                  <w:vAlign w:val="center"/>
                </w:tcPr>
                <w:p w14:paraId="55E8E642">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0.9</w:t>
                  </w:r>
                </w:p>
              </w:tc>
              <w:tc>
                <w:tcPr>
                  <w:tcW w:w="1042" w:type="dxa"/>
                  <w:tcBorders>
                    <w:tl2br w:val="nil"/>
                    <w:tr2bl w:val="nil"/>
                  </w:tcBorders>
                  <w:vAlign w:val="center"/>
                </w:tcPr>
                <w:p w14:paraId="4A8F5BD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13.5</w:t>
                  </w:r>
                </w:p>
                <w:p w14:paraId="0F0C6F1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55.0</w:t>
                  </w:r>
                </w:p>
                <w:p w14:paraId="18DAAE9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22.5</w:t>
                  </w:r>
                </w:p>
                <w:p w14:paraId="7D9E879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19.0</w:t>
                  </w:r>
                </w:p>
              </w:tc>
              <w:tc>
                <w:tcPr>
                  <w:tcW w:w="975" w:type="dxa"/>
                  <w:tcBorders>
                    <w:tl2br w:val="nil"/>
                    <w:tr2bl w:val="nil"/>
                  </w:tcBorders>
                  <w:vAlign w:val="center"/>
                </w:tcPr>
                <w:p w14:paraId="39DF289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62.4</w:t>
                  </w:r>
                </w:p>
                <w:p w14:paraId="083ED95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50.2</w:t>
                  </w:r>
                </w:p>
                <w:p w14:paraId="081A32E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58.0</w:t>
                  </w:r>
                </w:p>
                <w:p w14:paraId="76E52F0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61.1</w:t>
                  </w:r>
                </w:p>
              </w:tc>
              <w:tc>
                <w:tcPr>
                  <w:tcW w:w="817" w:type="dxa"/>
                  <w:tcBorders>
                    <w:tl2br w:val="nil"/>
                    <w:tr2bl w:val="nil"/>
                  </w:tcBorders>
                  <w:vAlign w:val="center"/>
                </w:tcPr>
                <w:p w14:paraId="4888BB74">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19F7F2F7">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3CCA971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47.4</w:t>
                  </w:r>
                </w:p>
                <w:p w14:paraId="7D4A2589">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35.2</w:t>
                  </w:r>
                </w:p>
                <w:p w14:paraId="4EBCC03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43.0</w:t>
                  </w:r>
                </w:p>
                <w:p w14:paraId="2D2472F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46.1</w:t>
                  </w:r>
                </w:p>
              </w:tc>
            </w:tr>
            <w:tr w14:paraId="01F90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71DCC9D7">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4476525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CO2气体保护焊机</w:t>
                  </w:r>
                  <w:r>
                    <w:rPr>
                      <w:rFonts w:hint="eastAsia" w:ascii="Times New Roman" w:hAnsi="Times New Roman" w:cs="Times New Roman"/>
                      <w:b w:val="0"/>
                      <w:bCs/>
                      <w:color w:val="auto"/>
                      <w:lang w:val="en-US" w:eastAsia="zh-CN"/>
                    </w:rPr>
                    <w:t>1</w:t>
                  </w:r>
                </w:p>
              </w:tc>
              <w:tc>
                <w:tcPr>
                  <w:tcW w:w="1479" w:type="dxa"/>
                  <w:tcBorders>
                    <w:tl2br w:val="nil"/>
                    <w:tr2bl w:val="nil"/>
                  </w:tcBorders>
                  <w:vAlign w:val="center"/>
                </w:tcPr>
                <w:p w14:paraId="3836F43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1147" w:type="dxa"/>
                  <w:tcBorders>
                    <w:tl2br w:val="nil"/>
                    <w:tr2bl w:val="nil"/>
                  </w:tcBorders>
                  <w:vAlign w:val="center"/>
                </w:tcPr>
                <w:p w14:paraId="1843DC44">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85</w:t>
                  </w:r>
                </w:p>
              </w:tc>
              <w:tc>
                <w:tcPr>
                  <w:tcW w:w="694" w:type="dxa"/>
                  <w:vMerge w:val="continue"/>
                  <w:tcBorders>
                    <w:tl2br w:val="nil"/>
                    <w:tr2bl w:val="nil"/>
                  </w:tcBorders>
                  <w:vAlign w:val="center"/>
                </w:tcPr>
                <w:p w14:paraId="3BC3B304">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252EDC3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29.25</w:t>
                  </w:r>
                </w:p>
              </w:tc>
              <w:tc>
                <w:tcPr>
                  <w:tcW w:w="766" w:type="dxa"/>
                  <w:tcBorders>
                    <w:tl2br w:val="nil"/>
                    <w:tr2bl w:val="nil"/>
                  </w:tcBorders>
                  <w:vAlign w:val="center"/>
                </w:tcPr>
                <w:p w14:paraId="32556E3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29.5</w:t>
                  </w:r>
                </w:p>
              </w:tc>
              <w:tc>
                <w:tcPr>
                  <w:tcW w:w="797" w:type="dxa"/>
                  <w:tcBorders>
                    <w:tl2br w:val="nil"/>
                    <w:tr2bl w:val="nil"/>
                  </w:tcBorders>
                  <w:vAlign w:val="center"/>
                </w:tcPr>
                <w:p w14:paraId="40815D6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0.9</w:t>
                  </w:r>
                </w:p>
              </w:tc>
              <w:tc>
                <w:tcPr>
                  <w:tcW w:w="1042" w:type="dxa"/>
                  <w:tcBorders>
                    <w:tl2br w:val="nil"/>
                    <w:tr2bl w:val="nil"/>
                  </w:tcBorders>
                  <w:vAlign w:val="center"/>
                </w:tcPr>
                <w:p w14:paraId="2E97B61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13.50</w:t>
                  </w:r>
                </w:p>
                <w:p w14:paraId="37FA902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51.75</w:t>
                  </w:r>
                </w:p>
                <w:p w14:paraId="2C233D7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22.50</w:t>
                  </w:r>
                </w:p>
                <w:p w14:paraId="55FEA7B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22.25</w:t>
                  </w:r>
                </w:p>
              </w:tc>
              <w:tc>
                <w:tcPr>
                  <w:tcW w:w="975" w:type="dxa"/>
                  <w:tcBorders>
                    <w:tl2br w:val="nil"/>
                    <w:tr2bl w:val="nil"/>
                  </w:tcBorders>
                  <w:vAlign w:val="center"/>
                </w:tcPr>
                <w:p w14:paraId="340A805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62.4</w:t>
                  </w:r>
                </w:p>
                <w:p w14:paraId="63D33EE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50.7</w:t>
                  </w:r>
                </w:p>
                <w:p w14:paraId="2E9C383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58.0</w:t>
                  </w:r>
                </w:p>
                <w:p w14:paraId="72439AD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58.1</w:t>
                  </w:r>
                </w:p>
              </w:tc>
              <w:tc>
                <w:tcPr>
                  <w:tcW w:w="817" w:type="dxa"/>
                  <w:tcBorders>
                    <w:tl2br w:val="nil"/>
                    <w:tr2bl w:val="nil"/>
                  </w:tcBorders>
                  <w:vAlign w:val="center"/>
                </w:tcPr>
                <w:p w14:paraId="37AA2AB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553B541E">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760FDC5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47.4</w:t>
                  </w:r>
                </w:p>
                <w:p w14:paraId="39F540E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35.7</w:t>
                  </w:r>
                </w:p>
                <w:p w14:paraId="2B4090A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43.0</w:t>
                  </w:r>
                </w:p>
                <w:p w14:paraId="714BDF9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43.1</w:t>
                  </w:r>
                </w:p>
              </w:tc>
            </w:tr>
            <w:tr w14:paraId="72377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3EEAB9E8">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27E33B2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CO2气体保护焊机</w:t>
                  </w:r>
                  <w:r>
                    <w:rPr>
                      <w:rFonts w:hint="eastAsia" w:ascii="Times New Roman" w:hAnsi="Times New Roman" w:cs="Times New Roman"/>
                      <w:b w:val="0"/>
                      <w:bCs/>
                      <w:color w:val="auto"/>
                      <w:lang w:val="en-US" w:eastAsia="zh-CN"/>
                    </w:rPr>
                    <w:t>2</w:t>
                  </w:r>
                </w:p>
              </w:tc>
              <w:tc>
                <w:tcPr>
                  <w:tcW w:w="1479" w:type="dxa"/>
                  <w:tcBorders>
                    <w:tl2br w:val="nil"/>
                    <w:tr2bl w:val="nil"/>
                  </w:tcBorders>
                  <w:vAlign w:val="center"/>
                </w:tcPr>
                <w:p w14:paraId="5D497DC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1147" w:type="dxa"/>
                  <w:tcBorders>
                    <w:tl2br w:val="nil"/>
                    <w:tr2bl w:val="nil"/>
                  </w:tcBorders>
                  <w:vAlign w:val="center"/>
                </w:tcPr>
                <w:p w14:paraId="7F5A4B01">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85</w:t>
                  </w:r>
                </w:p>
              </w:tc>
              <w:tc>
                <w:tcPr>
                  <w:tcW w:w="694" w:type="dxa"/>
                  <w:vMerge w:val="continue"/>
                  <w:tcBorders>
                    <w:tl2br w:val="nil"/>
                    <w:tr2bl w:val="nil"/>
                  </w:tcBorders>
                  <w:vAlign w:val="center"/>
                </w:tcPr>
                <w:p w14:paraId="18F3B5B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506D846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32.5</w:t>
                  </w:r>
                </w:p>
              </w:tc>
              <w:tc>
                <w:tcPr>
                  <w:tcW w:w="766" w:type="dxa"/>
                  <w:tcBorders>
                    <w:tl2br w:val="nil"/>
                    <w:tr2bl w:val="nil"/>
                  </w:tcBorders>
                  <w:vAlign w:val="center"/>
                </w:tcPr>
                <w:p w14:paraId="149B3C30">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29.5</w:t>
                  </w:r>
                </w:p>
              </w:tc>
              <w:tc>
                <w:tcPr>
                  <w:tcW w:w="797" w:type="dxa"/>
                  <w:tcBorders>
                    <w:tl2br w:val="nil"/>
                    <w:tr2bl w:val="nil"/>
                  </w:tcBorders>
                  <w:vAlign w:val="center"/>
                </w:tcPr>
                <w:p w14:paraId="4D55898A">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0.9</w:t>
                  </w:r>
                </w:p>
              </w:tc>
              <w:tc>
                <w:tcPr>
                  <w:tcW w:w="1042" w:type="dxa"/>
                  <w:tcBorders>
                    <w:tl2br w:val="nil"/>
                    <w:tr2bl w:val="nil"/>
                  </w:tcBorders>
                  <w:vAlign w:val="center"/>
                </w:tcPr>
                <w:p w14:paraId="1C807950">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13.5</w:t>
                  </w:r>
                </w:p>
                <w:p w14:paraId="038448E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48.5</w:t>
                  </w:r>
                </w:p>
                <w:p w14:paraId="41F3126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22.5</w:t>
                  </w:r>
                </w:p>
                <w:p w14:paraId="2C6AC10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25.5</w:t>
                  </w:r>
                </w:p>
              </w:tc>
              <w:tc>
                <w:tcPr>
                  <w:tcW w:w="975" w:type="dxa"/>
                  <w:tcBorders>
                    <w:tl2br w:val="nil"/>
                    <w:tr2bl w:val="nil"/>
                  </w:tcBorders>
                  <w:vAlign w:val="center"/>
                </w:tcPr>
                <w:p w14:paraId="1027A2A3">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62.4</w:t>
                  </w:r>
                </w:p>
                <w:p w14:paraId="3B19E9D1">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51.3</w:t>
                  </w:r>
                </w:p>
                <w:p w14:paraId="4A11ABB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58.0</w:t>
                  </w:r>
                </w:p>
                <w:p w14:paraId="14DEFA1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56.9</w:t>
                  </w:r>
                </w:p>
              </w:tc>
              <w:tc>
                <w:tcPr>
                  <w:tcW w:w="817" w:type="dxa"/>
                  <w:tcBorders>
                    <w:tl2br w:val="nil"/>
                    <w:tr2bl w:val="nil"/>
                  </w:tcBorders>
                  <w:vAlign w:val="center"/>
                </w:tcPr>
                <w:p w14:paraId="5CBC2554">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3156F77E">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267FAE2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47.4</w:t>
                  </w:r>
                </w:p>
                <w:p w14:paraId="746B720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36.3</w:t>
                  </w:r>
                </w:p>
                <w:p w14:paraId="3F67663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43.0</w:t>
                  </w:r>
                </w:p>
                <w:p w14:paraId="29797206">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41.9</w:t>
                  </w:r>
                </w:p>
              </w:tc>
            </w:tr>
            <w:tr w14:paraId="4B9F4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5FF14517">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3417F09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手电钻</w:t>
                  </w:r>
                  <w:r>
                    <w:rPr>
                      <w:rFonts w:hint="eastAsia" w:ascii="Times New Roman" w:hAnsi="Times New Roman" w:cs="Times New Roman"/>
                      <w:b w:val="0"/>
                      <w:bCs/>
                      <w:color w:val="auto"/>
                      <w:lang w:val="en-US" w:eastAsia="zh-CN"/>
                    </w:rPr>
                    <w:t>1</w:t>
                  </w:r>
                </w:p>
              </w:tc>
              <w:tc>
                <w:tcPr>
                  <w:tcW w:w="1479" w:type="dxa"/>
                  <w:tcBorders>
                    <w:tl2br w:val="nil"/>
                    <w:tr2bl w:val="nil"/>
                  </w:tcBorders>
                  <w:vAlign w:val="center"/>
                </w:tcPr>
                <w:p w14:paraId="3CC4519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1147" w:type="dxa"/>
                  <w:tcBorders>
                    <w:tl2br w:val="nil"/>
                    <w:tr2bl w:val="nil"/>
                  </w:tcBorders>
                  <w:vAlign w:val="center"/>
                </w:tcPr>
                <w:p w14:paraId="1D7CB71E">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85</w:t>
                  </w:r>
                </w:p>
              </w:tc>
              <w:tc>
                <w:tcPr>
                  <w:tcW w:w="694" w:type="dxa"/>
                  <w:vMerge w:val="continue"/>
                  <w:tcBorders>
                    <w:tl2br w:val="nil"/>
                    <w:tr2bl w:val="nil"/>
                  </w:tcBorders>
                  <w:vAlign w:val="center"/>
                </w:tcPr>
                <w:p w14:paraId="7E326A1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73655BF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35.75</w:t>
                  </w:r>
                </w:p>
              </w:tc>
              <w:tc>
                <w:tcPr>
                  <w:tcW w:w="766" w:type="dxa"/>
                  <w:tcBorders>
                    <w:tl2br w:val="nil"/>
                    <w:tr2bl w:val="nil"/>
                  </w:tcBorders>
                  <w:vAlign w:val="center"/>
                </w:tcPr>
                <w:p w14:paraId="61B375ED">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29.5</w:t>
                  </w:r>
                </w:p>
              </w:tc>
              <w:tc>
                <w:tcPr>
                  <w:tcW w:w="797" w:type="dxa"/>
                  <w:tcBorders>
                    <w:tl2br w:val="nil"/>
                    <w:tr2bl w:val="nil"/>
                  </w:tcBorders>
                  <w:vAlign w:val="center"/>
                </w:tcPr>
                <w:p w14:paraId="54E9A31A">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0.9</w:t>
                  </w:r>
                </w:p>
              </w:tc>
              <w:tc>
                <w:tcPr>
                  <w:tcW w:w="1042" w:type="dxa"/>
                  <w:tcBorders>
                    <w:tl2br w:val="nil"/>
                    <w:tr2bl w:val="nil"/>
                  </w:tcBorders>
                  <w:vAlign w:val="center"/>
                </w:tcPr>
                <w:p w14:paraId="3EEF090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13.5</w:t>
                  </w:r>
                </w:p>
                <w:p w14:paraId="47955FF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45.25</w:t>
                  </w:r>
                </w:p>
                <w:p w14:paraId="0A20C3FB">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22.50</w:t>
                  </w:r>
                </w:p>
                <w:p w14:paraId="75918DB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28.75</w:t>
                  </w:r>
                </w:p>
              </w:tc>
              <w:tc>
                <w:tcPr>
                  <w:tcW w:w="975" w:type="dxa"/>
                  <w:tcBorders>
                    <w:tl2br w:val="nil"/>
                    <w:tr2bl w:val="nil"/>
                  </w:tcBorders>
                  <w:vAlign w:val="center"/>
                </w:tcPr>
                <w:p w14:paraId="0565D2C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62.4</w:t>
                  </w:r>
                </w:p>
                <w:p w14:paraId="02F2A45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51.9</w:t>
                  </w:r>
                </w:p>
                <w:p w14:paraId="1A1D9F4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58.0</w:t>
                  </w:r>
                </w:p>
                <w:p w14:paraId="0A98424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55.8</w:t>
                  </w:r>
                </w:p>
              </w:tc>
              <w:tc>
                <w:tcPr>
                  <w:tcW w:w="817" w:type="dxa"/>
                  <w:tcBorders>
                    <w:tl2br w:val="nil"/>
                    <w:tr2bl w:val="nil"/>
                  </w:tcBorders>
                  <w:vAlign w:val="center"/>
                </w:tcPr>
                <w:p w14:paraId="4D5E859F">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24B3B340">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25AF4E22">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47.4</w:t>
                  </w:r>
                </w:p>
                <w:p w14:paraId="33734F6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36.9</w:t>
                  </w:r>
                </w:p>
                <w:p w14:paraId="56AC376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43.0</w:t>
                  </w:r>
                </w:p>
                <w:p w14:paraId="294BA9E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40.8</w:t>
                  </w:r>
                </w:p>
              </w:tc>
            </w:tr>
            <w:tr w14:paraId="1EEB2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26" w:type="dxa"/>
                  <w:vMerge w:val="continue"/>
                  <w:tcBorders>
                    <w:tl2br w:val="nil"/>
                    <w:tr2bl w:val="nil"/>
                  </w:tcBorders>
                  <w:vAlign w:val="center"/>
                </w:tcPr>
                <w:p w14:paraId="665355C2">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27C34E4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手电钻</w:t>
                  </w:r>
                  <w:r>
                    <w:rPr>
                      <w:rFonts w:hint="eastAsia" w:ascii="Times New Roman" w:hAnsi="Times New Roman" w:cs="Times New Roman"/>
                      <w:b w:val="0"/>
                      <w:bCs/>
                      <w:color w:val="auto"/>
                      <w:lang w:val="en-US" w:eastAsia="zh-CN"/>
                    </w:rPr>
                    <w:t>2</w:t>
                  </w:r>
                </w:p>
              </w:tc>
              <w:tc>
                <w:tcPr>
                  <w:tcW w:w="1479" w:type="dxa"/>
                  <w:tcBorders>
                    <w:tl2br w:val="nil"/>
                    <w:tr2bl w:val="nil"/>
                  </w:tcBorders>
                  <w:vAlign w:val="center"/>
                </w:tcPr>
                <w:p w14:paraId="70C933B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t>
                  </w:r>
                </w:p>
              </w:tc>
              <w:tc>
                <w:tcPr>
                  <w:tcW w:w="1147" w:type="dxa"/>
                  <w:tcBorders>
                    <w:tl2br w:val="nil"/>
                    <w:tr2bl w:val="nil"/>
                  </w:tcBorders>
                  <w:vAlign w:val="center"/>
                </w:tcPr>
                <w:p w14:paraId="002253E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85</w:t>
                  </w:r>
                </w:p>
              </w:tc>
              <w:tc>
                <w:tcPr>
                  <w:tcW w:w="694" w:type="dxa"/>
                  <w:vMerge w:val="continue"/>
                  <w:tcBorders>
                    <w:tl2br w:val="nil"/>
                    <w:tr2bl w:val="nil"/>
                  </w:tcBorders>
                  <w:vAlign w:val="center"/>
                </w:tcPr>
                <w:p w14:paraId="685018E0">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52E5D07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39</w:t>
                  </w:r>
                </w:p>
              </w:tc>
              <w:tc>
                <w:tcPr>
                  <w:tcW w:w="766" w:type="dxa"/>
                  <w:tcBorders>
                    <w:tl2br w:val="nil"/>
                    <w:tr2bl w:val="nil"/>
                  </w:tcBorders>
                  <w:vAlign w:val="center"/>
                </w:tcPr>
                <w:p w14:paraId="39B729D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29.5</w:t>
                  </w:r>
                </w:p>
              </w:tc>
              <w:tc>
                <w:tcPr>
                  <w:tcW w:w="797" w:type="dxa"/>
                  <w:tcBorders>
                    <w:tl2br w:val="nil"/>
                    <w:tr2bl w:val="nil"/>
                  </w:tcBorders>
                  <w:vAlign w:val="center"/>
                </w:tcPr>
                <w:p w14:paraId="125BC5C4">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0.9</w:t>
                  </w:r>
                </w:p>
              </w:tc>
              <w:tc>
                <w:tcPr>
                  <w:tcW w:w="1042" w:type="dxa"/>
                  <w:tcBorders>
                    <w:tl2br w:val="nil"/>
                    <w:tr2bl w:val="nil"/>
                  </w:tcBorders>
                  <w:vAlign w:val="center"/>
                </w:tcPr>
                <w:p w14:paraId="7D225CF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13.5</w:t>
                  </w:r>
                </w:p>
                <w:p w14:paraId="2B2CCD1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42.0</w:t>
                  </w:r>
                </w:p>
                <w:p w14:paraId="0BD9277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22.5</w:t>
                  </w:r>
                </w:p>
                <w:p w14:paraId="6E92B06C">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32.0</w:t>
                  </w:r>
                </w:p>
              </w:tc>
              <w:tc>
                <w:tcPr>
                  <w:tcW w:w="975" w:type="dxa"/>
                  <w:tcBorders>
                    <w:tl2br w:val="nil"/>
                    <w:tr2bl w:val="nil"/>
                  </w:tcBorders>
                  <w:vAlign w:val="center"/>
                </w:tcPr>
                <w:p w14:paraId="67A66D1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62.4</w:t>
                  </w:r>
                </w:p>
                <w:p w14:paraId="7998F2F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52.5</w:t>
                  </w:r>
                </w:p>
                <w:p w14:paraId="5383C43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58.0</w:t>
                  </w:r>
                </w:p>
                <w:p w14:paraId="284385C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54.9</w:t>
                  </w:r>
                </w:p>
              </w:tc>
              <w:tc>
                <w:tcPr>
                  <w:tcW w:w="817" w:type="dxa"/>
                  <w:tcBorders>
                    <w:tl2br w:val="nil"/>
                    <w:tr2bl w:val="nil"/>
                  </w:tcBorders>
                  <w:vAlign w:val="center"/>
                </w:tcPr>
                <w:p w14:paraId="519CDB31">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7BFD37B2">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4708438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47.4</w:t>
                  </w:r>
                </w:p>
                <w:p w14:paraId="32D654EE">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37.5</w:t>
                  </w:r>
                </w:p>
                <w:p w14:paraId="73488EE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43.0</w:t>
                  </w:r>
                </w:p>
                <w:p w14:paraId="775521F1">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ascii="Times New Roman" w:hAnsi="Times New Roman" w:cs="Times New Roman"/>
                      <w:b w:val="0"/>
                      <w:bCs w:val="0"/>
                      <w:color w:val="auto"/>
                      <w:sz w:val="21"/>
                      <w:szCs w:val="21"/>
                      <w:highlight w:val="none"/>
                      <w:lang w:val="en-US" w:eastAsia="zh-CN"/>
                    </w:rPr>
                    <w:t>39.0</w:t>
                  </w:r>
                </w:p>
              </w:tc>
            </w:tr>
            <w:tr w14:paraId="26AF5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726" w:type="dxa"/>
                  <w:vMerge w:val="continue"/>
                  <w:tcBorders>
                    <w:tl2br w:val="nil"/>
                    <w:tr2bl w:val="nil"/>
                  </w:tcBorders>
                  <w:vAlign w:val="center"/>
                </w:tcPr>
                <w:p w14:paraId="669F0334">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763F032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喷枪</w:t>
                  </w:r>
                  <w:r>
                    <w:rPr>
                      <w:rFonts w:hint="eastAsia" w:ascii="Times New Roman" w:hAnsi="Times New Roman" w:cs="Times New Roman"/>
                      <w:b w:val="0"/>
                      <w:bCs/>
                      <w:color w:val="auto"/>
                      <w:lang w:val="en-US" w:eastAsia="zh-CN"/>
                    </w:rPr>
                    <w:t>1</w:t>
                  </w:r>
                </w:p>
              </w:tc>
              <w:tc>
                <w:tcPr>
                  <w:tcW w:w="1479" w:type="dxa"/>
                  <w:tcBorders>
                    <w:tl2br w:val="nil"/>
                    <w:tr2bl w:val="nil"/>
                  </w:tcBorders>
                  <w:vAlign w:val="center"/>
                </w:tcPr>
                <w:p w14:paraId="429B4B8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WA-101</w:t>
                  </w:r>
                </w:p>
              </w:tc>
              <w:tc>
                <w:tcPr>
                  <w:tcW w:w="1147" w:type="dxa"/>
                  <w:tcBorders>
                    <w:tl2br w:val="nil"/>
                    <w:tr2bl w:val="nil"/>
                  </w:tcBorders>
                  <w:vAlign w:val="center"/>
                </w:tcPr>
                <w:p w14:paraId="0CBF0957">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80</w:t>
                  </w:r>
                </w:p>
              </w:tc>
              <w:tc>
                <w:tcPr>
                  <w:tcW w:w="694" w:type="dxa"/>
                  <w:vMerge w:val="continue"/>
                  <w:tcBorders>
                    <w:tl2br w:val="nil"/>
                    <w:tr2bl w:val="nil"/>
                  </w:tcBorders>
                  <w:vAlign w:val="center"/>
                </w:tcPr>
                <w:p w14:paraId="5EBED49C">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615D2CA0">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42.25</w:t>
                  </w:r>
                </w:p>
              </w:tc>
              <w:tc>
                <w:tcPr>
                  <w:tcW w:w="766" w:type="dxa"/>
                  <w:tcBorders>
                    <w:tl2br w:val="nil"/>
                    <w:tr2bl w:val="nil"/>
                  </w:tcBorders>
                  <w:vAlign w:val="center"/>
                </w:tcPr>
                <w:p w14:paraId="5B778426">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29.5</w:t>
                  </w:r>
                </w:p>
              </w:tc>
              <w:tc>
                <w:tcPr>
                  <w:tcW w:w="797" w:type="dxa"/>
                  <w:tcBorders>
                    <w:tl2br w:val="nil"/>
                    <w:tr2bl w:val="nil"/>
                  </w:tcBorders>
                  <w:vAlign w:val="center"/>
                </w:tcPr>
                <w:p w14:paraId="7801D132">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0.9</w:t>
                  </w:r>
                </w:p>
              </w:tc>
              <w:tc>
                <w:tcPr>
                  <w:tcW w:w="1042" w:type="dxa"/>
                  <w:tcBorders>
                    <w:tl2br w:val="nil"/>
                    <w:tr2bl w:val="nil"/>
                  </w:tcBorders>
                  <w:vAlign w:val="center"/>
                </w:tcPr>
                <w:p w14:paraId="5BF632A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13.50</w:t>
                  </w:r>
                </w:p>
                <w:p w14:paraId="13E5A2E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38.75</w:t>
                  </w:r>
                </w:p>
                <w:p w14:paraId="33B91904">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22.50</w:t>
                  </w:r>
                </w:p>
                <w:p w14:paraId="1C1AB09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35.25</w:t>
                  </w:r>
                </w:p>
              </w:tc>
              <w:tc>
                <w:tcPr>
                  <w:tcW w:w="975" w:type="dxa"/>
                  <w:tcBorders>
                    <w:tl2br w:val="nil"/>
                    <w:tr2bl w:val="nil"/>
                  </w:tcBorders>
                  <w:vAlign w:val="center"/>
                </w:tcPr>
                <w:p w14:paraId="2595338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57.4</w:t>
                  </w:r>
                </w:p>
                <w:p w14:paraId="678877E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48.2</w:t>
                  </w:r>
                </w:p>
                <w:p w14:paraId="18E6B067">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58.0</w:t>
                  </w:r>
                </w:p>
                <w:p w14:paraId="4DBAE20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54.1</w:t>
                  </w:r>
                </w:p>
              </w:tc>
              <w:tc>
                <w:tcPr>
                  <w:tcW w:w="817" w:type="dxa"/>
                  <w:tcBorders>
                    <w:tl2br w:val="nil"/>
                    <w:tr2bl w:val="nil"/>
                  </w:tcBorders>
                  <w:vAlign w:val="center"/>
                </w:tcPr>
                <w:p w14:paraId="2DF82D02">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61198685">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5009159C">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val="0"/>
                      <w:color w:val="auto"/>
                      <w:sz w:val="21"/>
                      <w:szCs w:val="21"/>
                    </w:rPr>
                  </w:pPr>
                  <w:r>
                    <w:rPr>
                      <w:rFonts w:hint="eastAsia" w:ascii="Times New Roman" w:hAnsi="Times New Roman" w:cs="Times New Roman"/>
                      <w:b w:val="0"/>
                      <w:bCs w:val="0"/>
                      <w:color w:val="auto"/>
                      <w:sz w:val="21"/>
                      <w:szCs w:val="21"/>
                      <w:lang w:val="en-US" w:eastAsia="zh-CN"/>
                    </w:rPr>
                    <w:t>N</w:t>
                  </w:r>
                  <w:r>
                    <w:rPr>
                      <w:rFonts w:hint="default" w:ascii="Times New Roman" w:hAnsi="Times New Roman" w:cs="Times New Roman"/>
                      <w:b w:val="0"/>
                      <w:bCs w:val="0"/>
                      <w:color w:val="auto"/>
                      <w:sz w:val="21"/>
                      <w:szCs w:val="21"/>
                    </w:rPr>
                    <w:t>47.4</w:t>
                  </w:r>
                </w:p>
                <w:p w14:paraId="3D8E0211">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val="0"/>
                      <w:color w:val="auto"/>
                      <w:sz w:val="21"/>
                      <w:szCs w:val="21"/>
                    </w:rPr>
                  </w:pPr>
                  <w:r>
                    <w:rPr>
                      <w:rFonts w:hint="eastAsia" w:ascii="Times New Roman" w:hAnsi="Times New Roman" w:cs="Times New Roman"/>
                      <w:b w:val="0"/>
                      <w:bCs w:val="0"/>
                      <w:color w:val="auto"/>
                      <w:sz w:val="21"/>
                      <w:szCs w:val="21"/>
                      <w:lang w:val="en-US" w:eastAsia="zh-CN"/>
                    </w:rPr>
                    <w:t>E</w:t>
                  </w:r>
                  <w:r>
                    <w:rPr>
                      <w:rFonts w:hint="default" w:ascii="Times New Roman" w:hAnsi="Times New Roman" w:cs="Times New Roman"/>
                      <w:b w:val="0"/>
                      <w:bCs w:val="0"/>
                      <w:color w:val="auto"/>
                      <w:sz w:val="21"/>
                      <w:szCs w:val="21"/>
                    </w:rPr>
                    <w:t>38.2</w:t>
                  </w:r>
                </w:p>
                <w:p w14:paraId="116D334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S</w:t>
                  </w:r>
                  <w:r>
                    <w:rPr>
                      <w:rFonts w:hint="default" w:ascii="Times New Roman" w:hAnsi="Times New Roman" w:cs="Times New Roman"/>
                      <w:b w:val="0"/>
                      <w:bCs w:val="0"/>
                      <w:color w:val="auto"/>
                      <w:sz w:val="21"/>
                      <w:szCs w:val="21"/>
                    </w:rPr>
                    <w:t>43</w:t>
                  </w:r>
                  <w:r>
                    <w:rPr>
                      <w:rFonts w:hint="eastAsia" w:ascii="Times New Roman" w:hAnsi="Times New Roman" w:cs="Times New Roman"/>
                      <w:b w:val="0"/>
                      <w:bCs w:val="0"/>
                      <w:color w:val="auto"/>
                      <w:sz w:val="21"/>
                      <w:szCs w:val="21"/>
                      <w:lang w:val="en-US" w:eastAsia="zh-CN"/>
                    </w:rPr>
                    <w:t>.0</w:t>
                  </w:r>
                </w:p>
                <w:p w14:paraId="750E8237">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sz w:val="21"/>
                      <w:szCs w:val="21"/>
                      <w:lang w:val="en-US" w:eastAsia="zh-CN"/>
                    </w:rPr>
                    <w:t>W</w:t>
                  </w:r>
                  <w:r>
                    <w:rPr>
                      <w:rFonts w:hint="default" w:ascii="Times New Roman" w:hAnsi="Times New Roman" w:cs="Times New Roman"/>
                      <w:b w:val="0"/>
                      <w:bCs w:val="0"/>
                      <w:color w:val="auto"/>
                      <w:sz w:val="21"/>
                      <w:szCs w:val="21"/>
                    </w:rPr>
                    <w:t>39.1</w:t>
                  </w:r>
                </w:p>
              </w:tc>
            </w:tr>
            <w:tr w14:paraId="47A54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726" w:type="dxa"/>
                  <w:vMerge w:val="continue"/>
                  <w:tcBorders>
                    <w:tl2br w:val="nil"/>
                    <w:tr2bl w:val="nil"/>
                  </w:tcBorders>
                  <w:vAlign w:val="center"/>
                </w:tcPr>
                <w:p w14:paraId="6814169B">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Times New Roman" w:hAnsi="Times New Roman" w:cs="Times New Roman"/>
                      <w:color w:val="auto"/>
                      <w:sz w:val="21"/>
                      <w:szCs w:val="21"/>
                      <w:lang w:val="en-US" w:eastAsia="zh-CN"/>
                    </w:rPr>
                  </w:pPr>
                </w:p>
              </w:tc>
              <w:tc>
                <w:tcPr>
                  <w:tcW w:w="1569" w:type="dxa"/>
                  <w:tcBorders>
                    <w:tl2br w:val="nil"/>
                    <w:tr2bl w:val="nil"/>
                  </w:tcBorders>
                  <w:vAlign w:val="center"/>
                </w:tcPr>
                <w:p w14:paraId="4D5BC69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lang w:val="en-US" w:eastAsia="zh-CN"/>
                    </w:rPr>
                    <w:t>喷枪</w:t>
                  </w:r>
                  <w:r>
                    <w:rPr>
                      <w:rFonts w:hint="eastAsia" w:ascii="Times New Roman" w:hAnsi="Times New Roman" w:cs="Times New Roman"/>
                      <w:b w:val="0"/>
                      <w:bCs/>
                      <w:color w:val="auto"/>
                      <w:lang w:val="en-US" w:eastAsia="zh-CN"/>
                    </w:rPr>
                    <w:t>2</w:t>
                  </w:r>
                </w:p>
              </w:tc>
              <w:tc>
                <w:tcPr>
                  <w:tcW w:w="1479" w:type="dxa"/>
                  <w:tcBorders>
                    <w:tl2br w:val="nil"/>
                    <w:tr2bl w:val="nil"/>
                  </w:tcBorders>
                  <w:vAlign w:val="center"/>
                </w:tcPr>
                <w:p w14:paraId="027F392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WA-101</w:t>
                  </w:r>
                </w:p>
              </w:tc>
              <w:tc>
                <w:tcPr>
                  <w:tcW w:w="1147" w:type="dxa"/>
                  <w:tcBorders>
                    <w:tl2br w:val="nil"/>
                    <w:tr2bl w:val="nil"/>
                  </w:tcBorders>
                  <w:vAlign w:val="center"/>
                </w:tcPr>
                <w:p w14:paraId="15693727">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80</w:t>
                  </w:r>
                </w:p>
              </w:tc>
              <w:tc>
                <w:tcPr>
                  <w:tcW w:w="694" w:type="dxa"/>
                  <w:vMerge w:val="continue"/>
                  <w:tcBorders>
                    <w:tl2br w:val="nil"/>
                    <w:tr2bl w:val="nil"/>
                  </w:tcBorders>
                  <w:vAlign w:val="center"/>
                </w:tcPr>
                <w:p w14:paraId="1F8FEB35">
                  <w:pPr>
                    <w:pStyle w:val="37"/>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Times New Roman" w:hAnsi="Times New Roman" w:eastAsia="宋体" w:cs="Times New Roman"/>
                      <w:b w:val="0"/>
                      <w:bCs/>
                      <w:color w:val="auto"/>
                      <w:kern w:val="0"/>
                      <w:sz w:val="21"/>
                      <w:szCs w:val="21"/>
                    </w:rPr>
                  </w:pPr>
                </w:p>
              </w:tc>
              <w:tc>
                <w:tcPr>
                  <w:tcW w:w="729" w:type="dxa"/>
                  <w:tcBorders>
                    <w:tl2br w:val="nil"/>
                    <w:tr2bl w:val="nil"/>
                  </w:tcBorders>
                  <w:vAlign w:val="center"/>
                </w:tcPr>
                <w:p w14:paraId="37CB8B49">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46.5</w:t>
                  </w:r>
                </w:p>
              </w:tc>
              <w:tc>
                <w:tcPr>
                  <w:tcW w:w="766" w:type="dxa"/>
                  <w:tcBorders>
                    <w:tl2br w:val="nil"/>
                    <w:tr2bl w:val="nil"/>
                  </w:tcBorders>
                  <w:vAlign w:val="center"/>
                </w:tcPr>
                <w:p w14:paraId="58AA8531">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29.5</w:t>
                  </w:r>
                </w:p>
              </w:tc>
              <w:tc>
                <w:tcPr>
                  <w:tcW w:w="797" w:type="dxa"/>
                  <w:tcBorders>
                    <w:tl2br w:val="nil"/>
                    <w:tr2bl w:val="nil"/>
                  </w:tcBorders>
                  <w:vAlign w:val="center"/>
                </w:tcPr>
                <w:p w14:paraId="5B655164">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0.8</w:t>
                  </w:r>
                </w:p>
              </w:tc>
              <w:tc>
                <w:tcPr>
                  <w:tcW w:w="1042" w:type="dxa"/>
                  <w:tcBorders>
                    <w:tl2br w:val="nil"/>
                    <w:tr2bl w:val="nil"/>
                  </w:tcBorders>
                  <w:vAlign w:val="center"/>
                </w:tcPr>
                <w:p w14:paraId="5DA627AF">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13.5</w:t>
                  </w:r>
                </w:p>
                <w:p w14:paraId="1534D9D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34.5</w:t>
                  </w:r>
                </w:p>
                <w:p w14:paraId="442AB7EA">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22.5</w:t>
                  </w:r>
                </w:p>
                <w:p w14:paraId="1CB7B91D">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W</w:t>
                  </w:r>
                  <w:r>
                    <w:rPr>
                      <w:rFonts w:hint="eastAsia" w:cs="Times New Roman"/>
                      <w:b w:val="0"/>
                      <w:bCs w:val="0"/>
                      <w:color w:val="auto"/>
                      <w:sz w:val="21"/>
                      <w:szCs w:val="21"/>
                      <w:lang w:val="en-US" w:eastAsia="zh-CN"/>
                    </w:rPr>
                    <w:t>39.5</w:t>
                  </w:r>
                </w:p>
              </w:tc>
              <w:tc>
                <w:tcPr>
                  <w:tcW w:w="975" w:type="dxa"/>
                  <w:tcBorders>
                    <w:tl2br w:val="nil"/>
                    <w:tr2bl w:val="nil"/>
                  </w:tcBorders>
                  <w:vAlign w:val="center"/>
                </w:tcPr>
                <w:p w14:paraId="392EE77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N</w:t>
                  </w:r>
                  <w:r>
                    <w:rPr>
                      <w:rFonts w:hint="eastAsia" w:cs="Times New Roman"/>
                      <w:b w:val="0"/>
                      <w:bCs w:val="0"/>
                      <w:color w:val="auto"/>
                      <w:sz w:val="21"/>
                      <w:szCs w:val="21"/>
                      <w:lang w:val="en-US" w:eastAsia="zh-CN"/>
                    </w:rPr>
                    <w:t>62.4</w:t>
                  </w:r>
                </w:p>
                <w:p w14:paraId="6914B796">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E</w:t>
                  </w:r>
                  <w:r>
                    <w:rPr>
                      <w:rFonts w:hint="eastAsia" w:cs="Times New Roman"/>
                      <w:b w:val="0"/>
                      <w:bCs w:val="0"/>
                      <w:color w:val="auto"/>
                      <w:sz w:val="21"/>
                      <w:szCs w:val="21"/>
                      <w:lang w:val="en-US" w:eastAsia="zh-CN"/>
                    </w:rPr>
                    <w:t>54.2</w:t>
                  </w:r>
                </w:p>
                <w:p w14:paraId="7EA21968">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rPr>
                    <w:t>S</w:t>
                  </w:r>
                  <w:r>
                    <w:rPr>
                      <w:rFonts w:hint="eastAsia" w:cs="Times New Roman"/>
                      <w:b w:val="0"/>
                      <w:bCs w:val="0"/>
                      <w:color w:val="auto"/>
                      <w:sz w:val="21"/>
                      <w:szCs w:val="21"/>
                      <w:lang w:val="en-US" w:eastAsia="zh-CN"/>
                    </w:rPr>
                    <w:t>58.0</w:t>
                  </w:r>
                </w:p>
                <w:p w14:paraId="4094ED15">
                  <w:pPr>
                    <w:pStyle w:val="97"/>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highlight w:val="none"/>
                    </w:rPr>
                    <w:t>W</w:t>
                  </w:r>
                  <w:r>
                    <w:rPr>
                      <w:rFonts w:hint="eastAsia" w:cs="Times New Roman"/>
                      <w:b w:val="0"/>
                      <w:bCs w:val="0"/>
                      <w:color w:val="auto"/>
                      <w:sz w:val="21"/>
                      <w:szCs w:val="21"/>
                      <w:highlight w:val="none"/>
                      <w:lang w:val="en-US" w:eastAsia="zh-CN"/>
                    </w:rPr>
                    <w:t>53.1</w:t>
                  </w:r>
                </w:p>
              </w:tc>
              <w:tc>
                <w:tcPr>
                  <w:tcW w:w="817" w:type="dxa"/>
                  <w:tcBorders>
                    <w:tl2br w:val="nil"/>
                    <w:tr2bl w:val="nil"/>
                  </w:tcBorders>
                  <w:vAlign w:val="center"/>
                </w:tcPr>
                <w:p w14:paraId="19687796">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昼</w:t>
                  </w:r>
                </w:p>
              </w:tc>
              <w:tc>
                <w:tcPr>
                  <w:tcW w:w="1103" w:type="dxa"/>
                  <w:tcBorders>
                    <w:tl2br w:val="nil"/>
                    <w:tr2bl w:val="nil"/>
                  </w:tcBorders>
                  <w:vAlign w:val="center"/>
                </w:tcPr>
                <w:p w14:paraId="7925E522">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ascii="Times New Roman" w:hAnsi="Times New Roman"/>
                      <w:color w:val="auto"/>
                      <w:sz w:val="21"/>
                      <w:szCs w:val="21"/>
                      <w:lang w:eastAsia="zh-CN"/>
                    </w:rPr>
                  </w:pPr>
                  <w:r>
                    <w:rPr>
                      <w:rFonts w:ascii="Times New Roman" w:hAnsi="Times New Roman"/>
                      <w:color w:val="auto"/>
                      <w:sz w:val="21"/>
                      <w:szCs w:val="21"/>
                      <w:lang w:eastAsia="zh-CN"/>
                    </w:rPr>
                    <w:t>≤</w:t>
                  </w:r>
                  <w:r>
                    <w:rPr>
                      <w:rFonts w:hint="eastAsia" w:ascii="Times New Roman" w:hAnsi="Times New Roman" w:cs="Times New Roman"/>
                      <w:b w:val="0"/>
                      <w:bCs/>
                      <w:color w:val="auto"/>
                      <w:sz w:val="21"/>
                      <w:szCs w:val="21"/>
                      <w:lang w:val="en-US" w:eastAsia="zh-CN"/>
                    </w:rPr>
                    <w:t>15</w:t>
                  </w:r>
                </w:p>
              </w:tc>
              <w:tc>
                <w:tcPr>
                  <w:tcW w:w="1598" w:type="dxa"/>
                  <w:tcBorders>
                    <w:tl2br w:val="nil"/>
                    <w:tr2bl w:val="nil"/>
                  </w:tcBorders>
                  <w:vAlign w:val="center"/>
                </w:tcPr>
                <w:p w14:paraId="18157A3A">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val="0"/>
                      <w:color w:val="auto"/>
                      <w:sz w:val="21"/>
                      <w:szCs w:val="21"/>
                    </w:rPr>
                  </w:pPr>
                  <w:r>
                    <w:rPr>
                      <w:rFonts w:hint="eastAsia" w:ascii="Times New Roman" w:hAnsi="Times New Roman" w:cs="Times New Roman"/>
                      <w:b w:val="0"/>
                      <w:bCs w:val="0"/>
                      <w:color w:val="auto"/>
                      <w:sz w:val="21"/>
                      <w:szCs w:val="21"/>
                      <w:lang w:val="en-US" w:eastAsia="zh-CN"/>
                    </w:rPr>
                    <w:t>N</w:t>
                  </w:r>
                  <w:r>
                    <w:rPr>
                      <w:rFonts w:hint="default" w:ascii="Times New Roman" w:hAnsi="Times New Roman" w:cs="Times New Roman"/>
                      <w:b w:val="0"/>
                      <w:bCs w:val="0"/>
                      <w:color w:val="auto"/>
                      <w:sz w:val="21"/>
                      <w:szCs w:val="21"/>
                    </w:rPr>
                    <w:t>47.4</w:t>
                  </w:r>
                </w:p>
                <w:p w14:paraId="31DD8953">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cs="Times New Roman"/>
                      <w:b w:val="0"/>
                      <w:bCs w:val="0"/>
                      <w:color w:val="auto"/>
                      <w:sz w:val="21"/>
                      <w:szCs w:val="21"/>
                    </w:rPr>
                  </w:pPr>
                  <w:r>
                    <w:rPr>
                      <w:rFonts w:hint="eastAsia" w:ascii="Times New Roman" w:hAnsi="Times New Roman" w:cs="Times New Roman"/>
                      <w:b w:val="0"/>
                      <w:bCs w:val="0"/>
                      <w:color w:val="auto"/>
                      <w:sz w:val="21"/>
                      <w:szCs w:val="21"/>
                      <w:lang w:val="en-US" w:eastAsia="zh-CN"/>
                    </w:rPr>
                    <w:t>E</w:t>
                  </w:r>
                  <w:r>
                    <w:rPr>
                      <w:rFonts w:hint="default" w:ascii="Times New Roman" w:hAnsi="Times New Roman" w:cs="Times New Roman"/>
                      <w:b w:val="0"/>
                      <w:bCs w:val="0"/>
                      <w:color w:val="auto"/>
                      <w:sz w:val="21"/>
                      <w:szCs w:val="21"/>
                    </w:rPr>
                    <w:t>39.2</w:t>
                  </w:r>
                </w:p>
                <w:p w14:paraId="7E7535F6">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S</w:t>
                  </w:r>
                  <w:r>
                    <w:rPr>
                      <w:rFonts w:hint="default" w:ascii="Times New Roman" w:hAnsi="Times New Roman" w:cs="Times New Roman"/>
                      <w:b w:val="0"/>
                      <w:bCs w:val="0"/>
                      <w:color w:val="auto"/>
                      <w:sz w:val="21"/>
                      <w:szCs w:val="21"/>
                    </w:rPr>
                    <w:t>43</w:t>
                  </w:r>
                  <w:r>
                    <w:rPr>
                      <w:rFonts w:hint="eastAsia" w:ascii="Times New Roman" w:hAnsi="Times New Roman" w:cs="Times New Roman"/>
                      <w:b w:val="0"/>
                      <w:bCs w:val="0"/>
                      <w:color w:val="auto"/>
                      <w:sz w:val="21"/>
                      <w:szCs w:val="21"/>
                      <w:lang w:val="en-US" w:eastAsia="zh-CN"/>
                    </w:rPr>
                    <w:t>.0</w:t>
                  </w:r>
                </w:p>
                <w:p w14:paraId="4ACA05C8">
                  <w:pPr>
                    <w:pStyle w:val="3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sz w:val="21"/>
                      <w:szCs w:val="21"/>
                      <w:lang w:val="en-US" w:eastAsia="zh-CN"/>
                    </w:rPr>
                    <w:t>W</w:t>
                  </w:r>
                  <w:r>
                    <w:rPr>
                      <w:rFonts w:hint="default" w:ascii="Times New Roman" w:hAnsi="Times New Roman" w:cs="Times New Roman"/>
                      <w:b w:val="0"/>
                      <w:bCs w:val="0"/>
                      <w:color w:val="auto"/>
                      <w:sz w:val="21"/>
                      <w:szCs w:val="21"/>
                    </w:rPr>
                    <w:t>38.1</w:t>
                  </w:r>
                </w:p>
              </w:tc>
            </w:tr>
          </w:tbl>
          <w:p w14:paraId="54DDA00E">
            <w:pPr>
              <w:spacing w:line="240" w:lineRule="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cs="Times New Roman"/>
                <w:b/>
                <w:bCs/>
                <w:color w:val="auto"/>
                <w:spacing w:val="-7"/>
                <w:sz w:val="21"/>
                <w:szCs w:val="21"/>
              </w:rPr>
              <w:t>注：1、</w:t>
            </w:r>
            <w:r>
              <w:rPr>
                <w:rFonts w:hint="default" w:ascii="Times New Roman" w:hAnsi="Times New Roman" w:cs="Times New Roman"/>
                <w:b/>
                <w:bCs/>
                <w:color w:val="auto"/>
                <w:spacing w:val="-7"/>
                <w:sz w:val="21"/>
                <w:szCs w:val="21"/>
                <w:lang w:val="en-US" w:eastAsia="zh-CN"/>
              </w:rPr>
              <w:t>厂界以厂房北侧外扩9m、东侧、南侧和西侧</w:t>
            </w:r>
            <w:r>
              <w:rPr>
                <w:rFonts w:hint="eastAsia" w:cs="Times New Roman"/>
                <w:b/>
                <w:bCs/>
                <w:color w:val="auto"/>
                <w:spacing w:val="-7"/>
                <w:sz w:val="21"/>
                <w:szCs w:val="21"/>
                <w:lang w:val="en-US" w:eastAsia="zh-CN"/>
              </w:rPr>
              <w:t>以围墙</w:t>
            </w:r>
            <w:r>
              <w:rPr>
                <w:rFonts w:hint="default" w:ascii="Times New Roman" w:hAnsi="Times New Roman" w:cs="Times New Roman"/>
                <w:b/>
                <w:bCs/>
                <w:color w:val="auto"/>
                <w:spacing w:val="-7"/>
                <w:sz w:val="21"/>
                <w:szCs w:val="21"/>
                <w:lang w:val="en-US" w:eastAsia="zh-CN"/>
              </w:rPr>
              <w:t>计。</w:t>
            </w:r>
          </w:p>
          <w:p w14:paraId="70B0C645">
            <w:pPr>
              <w:spacing w:line="240" w:lineRule="auto"/>
              <w:rPr>
                <w:rFonts w:hint="default" w:ascii="Times New Roman" w:hAnsi="Times New Roman" w:cs="Times New Roman"/>
                <w:b/>
                <w:bCs/>
                <w:color w:val="auto"/>
                <w:spacing w:val="-7"/>
                <w:sz w:val="21"/>
                <w:szCs w:val="21"/>
              </w:rPr>
            </w:pPr>
            <w:r>
              <w:rPr>
                <w:rFonts w:hint="default" w:ascii="Times New Roman" w:hAnsi="Times New Roman" w:cs="Times New Roman"/>
                <w:b/>
                <w:bCs/>
                <w:color w:val="auto"/>
                <w:spacing w:val="-7"/>
                <w:sz w:val="21"/>
                <w:szCs w:val="21"/>
                <w:lang w:val="en-US" w:eastAsia="zh-CN"/>
              </w:rPr>
              <w:t>2、</w:t>
            </w:r>
            <w:r>
              <w:rPr>
                <w:rFonts w:hint="default" w:ascii="Times New Roman" w:hAnsi="Times New Roman" w:cs="Times New Roman"/>
                <w:b/>
                <w:bCs/>
                <w:color w:val="auto"/>
                <w:spacing w:val="-7"/>
                <w:sz w:val="21"/>
                <w:szCs w:val="21"/>
              </w:rPr>
              <w:t>以厂界</w:t>
            </w:r>
            <w:r>
              <w:rPr>
                <w:rFonts w:hint="default" w:ascii="Times New Roman" w:hAnsi="Times New Roman" w:cs="Times New Roman"/>
                <w:b/>
                <w:bCs/>
                <w:color w:val="auto"/>
                <w:spacing w:val="-7"/>
                <w:sz w:val="21"/>
                <w:szCs w:val="21"/>
                <w:lang w:val="en-US" w:eastAsia="zh-CN"/>
              </w:rPr>
              <w:t>西南角</w:t>
            </w:r>
            <w:r>
              <w:rPr>
                <w:rFonts w:hint="default" w:ascii="Times New Roman" w:hAnsi="Times New Roman" w:cs="Times New Roman"/>
                <w:b/>
                <w:bCs/>
                <w:color w:val="auto"/>
                <w:spacing w:val="-7"/>
                <w:sz w:val="21"/>
                <w:szCs w:val="21"/>
              </w:rPr>
              <w:t>（117.893934395</w:t>
            </w:r>
            <w:r>
              <w:rPr>
                <w:rFonts w:hint="default" w:ascii="Times New Roman" w:hAnsi="Times New Roman" w:cs="Times New Roman"/>
                <w:b/>
                <w:bCs/>
                <w:color w:val="auto"/>
                <w:spacing w:val="-7"/>
                <w:sz w:val="21"/>
                <w:szCs w:val="21"/>
                <w:lang w:val="en-US" w:eastAsia="zh-CN"/>
              </w:rPr>
              <w:t>°</w:t>
            </w:r>
            <w:r>
              <w:rPr>
                <w:rFonts w:hint="eastAsia" w:cs="Times New Roman"/>
                <w:b/>
                <w:bCs/>
                <w:color w:val="auto"/>
                <w:spacing w:val="-7"/>
                <w:sz w:val="21"/>
                <w:szCs w:val="21"/>
                <w:lang w:val="en-US" w:eastAsia="zh-CN"/>
              </w:rPr>
              <w:t>，</w:t>
            </w:r>
            <w:r>
              <w:rPr>
                <w:rFonts w:hint="default" w:ascii="Times New Roman" w:hAnsi="Times New Roman" w:cs="Times New Roman"/>
                <w:b/>
                <w:bCs/>
                <w:color w:val="auto"/>
                <w:spacing w:val="-7"/>
                <w:sz w:val="21"/>
                <w:szCs w:val="21"/>
              </w:rPr>
              <w:t>30.633639664</w:t>
            </w:r>
            <w:r>
              <w:rPr>
                <w:rFonts w:hint="default" w:ascii="Times New Roman" w:hAnsi="Times New Roman" w:cs="Times New Roman"/>
                <w:b/>
                <w:bCs/>
                <w:color w:val="auto"/>
                <w:spacing w:val="-7"/>
                <w:sz w:val="21"/>
                <w:szCs w:val="21"/>
                <w:lang w:val="en-US" w:eastAsia="zh-CN"/>
              </w:rPr>
              <w:t>°</w:t>
            </w:r>
            <w:r>
              <w:rPr>
                <w:rFonts w:hint="default" w:ascii="Times New Roman" w:hAnsi="Times New Roman" w:cs="Times New Roman"/>
                <w:b/>
                <w:bCs/>
                <w:color w:val="auto"/>
                <w:spacing w:val="-7"/>
                <w:sz w:val="21"/>
                <w:szCs w:val="21"/>
              </w:rPr>
              <w:t>）为坐标原点，正东向为X轴正方向，正北向为Y轴正方向。</w:t>
            </w:r>
          </w:p>
          <w:p w14:paraId="5E17F426">
            <w:pPr>
              <w:spacing w:line="240" w:lineRule="auto"/>
              <w:rPr>
                <w:rFonts w:hint="default" w:ascii="Times New Roman" w:hAnsi="Times New Roman" w:cs="Times New Roman"/>
                <w:b/>
                <w:bCs/>
                <w:color w:val="auto"/>
                <w:spacing w:val="-7"/>
                <w:sz w:val="21"/>
                <w:szCs w:val="21"/>
              </w:rPr>
            </w:pPr>
          </w:p>
          <w:p w14:paraId="3AF7BE31">
            <w:pPr>
              <w:spacing w:line="240" w:lineRule="auto"/>
              <w:rPr>
                <w:rFonts w:hint="default" w:ascii="Times New Roman" w:hAnsi="Times New Roman" w:cs="Times New Roman"/>
                <w:b/>
                <w:bCs/>
                <w:color w:val="auto"/>
                <w:spacing w:val="-7"/>
                <w:sz w:val="21"/>
                <w:szCs w:val="21"/>
              </w:rPr>
            </w:pPr>
          </w:p>
          <w:p w14:paraId="4EDFBE47">
            <w:pPr>
              <w:spacing w:line="240" w:lineRule="auto"/>
              <w:ind w:left="0" w:leftChars="0" w:firstLine="0" w:firstLineChars="0"/>
              <w:rPr>
                <w:rFonts w:hint="eastAsia" w:ascii="Times New Roman" w:hAnsi="Times New Roman" w:cs="Times New Roman"/>
                <w:b/>
                <w:bCs/>
                <w:color w:val="auto"/>
                <w:spacing w:val="-7"/>
                <w:sz w:val="21"/>
                <w:szCs w:val="21"/>
              </w:rPr>
            </w:pPr>
          </w:p>
        </w:tc>
      </w:tr>
    </w:tbl>
    <w:p w14:paraId="583075A2">
      <w:pPr>
        <w:rPr>
          <w:rFonts w:hint="eastAsia"/>
          <w:color w:val="auto"/>
        </w:rPr>
        <w:sectPr>
          <w:pgSz w:w="16838" w:h="11905" w:orient="landscape"/>
          <w:pgMar w:top="1531" w:right="1701" w:bottom="1531" w:left="1701" w:header="850" w:footer="850" w:gutter="0"/>
          <w:pgBorders>
            <w:top w:val="none" w:sz="0" w:space="0"/>
            <w:left w:val="none" w:sz="0" w:space="0"/>
            <w:bottom w:val="none" w:sz="0" w:space="0"/>
            <w:right w:val="none" w:sz="0" w:space="0"/>
          </w:pgBorders>
          <w:pgNumType w:fmt="decimal"/>
          <w:cols w:space="720" w:num="1"/>
          <w:rtlGutter w:val="0"/>
          <w:docGrid w:linePitch="312" w:charSpace="0"/>
        </w:sectPr>
      </w:pPr>
    </w:p>
    <w:tbl>
      <w:tblPr>
        <w:tblStyle w:val="32"/>
        <w:tblW w:w="9579"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Layout w:type="fixed"/>
        <w:tblCellMar>
          <w:top w:w="0" w:type="dxa"/>
          <w:left w:w="108" w:type="dxa"/>
          <w:bottom w:w="0" w:type="dxa"/>
          <w:right w:w="108" w:type="dxa"/>
        </w:tblCellMar>
      </w:tblPr>
      <w:tblGrid>
        <w:gridCol w:w="951"/>
        <w:gridCol w:w="8628"/>
      </w:tblGrid>
      <w:tr w14:paraId="1C79CFB2">
        <w:tblPrEx>
          <w:tblBorders>
            <w:top w:val="single" w:color="auto" w:sz="12" w:space="0"/>
            <w:left w:val="single" w:color="auto" w:sz="12" w:space="0"/>
            <w:bottom w:val="single" w:color="auto" w:sz="12" w:space="0"/>
            <w:right w:val="single" w:color="auto" w:sz="12" w:space="0"/>
            <w:insideH w:val="single" w:color="auto" w:sz="12" w:space="0"/>
            <w:insideV w:val="single" w:color="auto" w:sz="6" w:space="0"/>
          </w:tblBorders>
          <w:tblCellMar>
            <w:top w:w="0" w:type="dxa"/>
            <w:left w:w="108" w:type="dxa"/>
            <w:bottom w:w="0" w:type="dxa"/>
            <w:right w:w="108" w:type="dxa"/>
          </w:tblCellMar>
        </w:tblPrEx>
        <w:trPr>
          <w:trHeight w:val="13245" w:hRule="atLeast"/>
          <w:jc w:val="center"/>
        </w:trPr>
        <w:tc>
          <w:tcPr>
            <w:tcW w:w="951" w:type="dxa"/>
            <w:tcBorders>
              <w:tl2br w:val="nil"/>
              <w:tr2bl w:val="nil"/>
            </w:tcBorders>
            <w:vAlign w:val="center"/>
          </w:tcPr>
          <w:p w14:paraId="2D2CEDBE">
            <w:pPr>
              <w:pStyle w:val="37"/>
              <w:bidi w:val="0"/>
              <w:rPr>
                <w:rFonts w:hint="default" w:ascii="Times New Roman" w:hAnsi="Times New Roman" w:cs="Times New Roman"/>
                <w:color w:val="auto"/>
              </w:rPr>
            </w:pPr>
            <w:r>
              <w:rPr>
                <w:rFonts w:hint="default" w:ascii="Times New Roman" w:hAnsi="Times New Roman" w:cs="Times New Roman"/>
                <w:b w:val="0"/>
                <w:bCs w:val="0"/>
                <w:color w:val="auto"/>
                <w:spacing w:val="0"/>
                <w:w w:val="100"/>
                <w:position w:val="0"/>
                <w:sz w:val="21"/>
                <w:szCs w:val="21"/>
              </w:rPr>
              <w:t>运营期环境影响和保护措施</w:t>
            </w:r>
          </w:p>
        </w:tc>
        <w:tc>
          <w:tcPr>
            <w:tcW w:w="8628" w:type="dxa"/>
            <w:tcBorders>
              <w:tl2br w:val="nil"/>
              <w:tr2bl w:val="nil"/>
            </w:tcBorders>
            <w:vAlign w:val="center"/>
          </w:tcPr>
          <w:p w14:paraId="54E2EDBE">
            <w:pPr>
              <w:bidi w:val="0"/>
              <w:ind w:left="0" w:leftChars="0" w:firstLine="0" w:firstLineChars="0"/>
              <w:rPr>
                <w:rFonts w:hint="default"/>
                <w:b/>
                <w:bCs/>
                <w:color w:val="auto"/>
              </w:rPr>
            </w:pPr>
            <w:r>
              <w:rPr>
                <w:rFonts w:hint="eastAsia"/>
                <w:b/>
                <w:bCs/>
                <w:color w:val="auto"/>
                <w:lang w:val="en-US" w:eastAsia="zh-CN"/>
              </w:rPr>
              <w:t>4.</w:t>
            </w:r>
            <w:r>
              <w:rPr>
                <w:rFonts w:hint="default"/>
                <w:b/>
                <w:bCs/>
                <w:color w:val="auto"/>
              </w:rPr>
              <w:t>3.2</w:t>
            </w:r>
            <w:r>
              <w:rPr>
                <w:rFonts w:hint="eastAsia"/>
                <w:b/>
                <w:bCs/>
                <w:color w:val="auto"/>
                <w:lang w:val="en-US" w:eastAsia="zh-CN"/>
              </w:rPr>
              <w:t xml:space="preserve"> </w:t>
            </w:r>
            <w:r>
              <w:rPr>
                <w:rFonts w:hint="default"/>
                <w:b/>
                <w:bCs/>
                <w:color w:val="auto"/>
              </w:rPr>
              <w:t>噪声影响分析</w:t>
            </w:r>
          </w:p>
          <w:p w14:paraId="624C2059">
            <w:pPr>
              <w:bidi w:val="0"/>
              <w:rPr>
                <w:color w:val="auto"/>
              </w:rPr>
            </w:pPr>
            <w:r>
              <w:rPr>
                <w:color w:val="auto"/>
              </w:rPr>
              <w:t>本次噪声预测模式采用《环境影响评价技术导则 声环境》（HJ 2.4-2021）</w:t>
            </w:r>
            <w:r>
              <w:rPr>
                <w:rFonts w:hint="eastAsia"/>
                <w:color w:val="auto"/>
              </w:rPr>
              <w:t>中的工业噪声预测模式对本项目噪声进行预测分析</w:t>
            </w:r>
            <w:r>
              <w:rPr>
                <w:color w:val="auto"/>
              </w:rPr>
              <w:t>：</w:t>
            </w:r>
          </w:p>
          <w:p w14:paraId="7DD61A93">
            <w:pPr>
              <w:spacing w:line="360" w:lineRule="auto"/>
              <w:ind w:firstLine="480" w:firstLineChars="200"/>
              <w:rPr>
                <w:color w:val="auto"/>
                <w:sz w:val="24"/>
                <w:highlight w:val="none"/>
              </w:rPr>
            </w:pPr>
            <w:r>
              <w:rPr>
                <w:rFonts w:hint="eastAsia"/>
                <w:color w:val="auto"/>
                <w:sz w:val="24"/>
                <w:highlight w:val="none"/>
              </w:rPr>
              <w:t>（1）室内声源等效为室外声源</w:t>
            </w:r>
          </w:p>
          <w:p w14:paraId="3F18622D">
            <w:pPr>
              <w:spacing w:line="360" w:lineRule="auto"/>
              <w:ind w:firstLine="480" w:firstLineChars="200"/>
              <w:rPr>
                <w:color w:val="auto"/>
                <w:sz w:val="24"/>
                <w:highlight w:val="none"/>
              </w:rPr>
            </w:pPr>
            <w:r>
              <w:rPr>
                <w:rFonts w:hint="eastAsia"/>
                <w:color w:val="auto"/>
                <w:sz w:val="24"/>
                <w:highlight w:val="none"/>
              </w:rPr>
              <w:t>计算某一室内声源靠近维护结构处产生的倍频带声压级或A声级，具体如下：</w:t>
            </w:r>
          </w:p>
          <w:p w14:paraId="76C11E32">
            <w:pPr>
              <w:spacing w:line="360" w:lineRule="auto"/>
              <w:ind w:firstLine="480" w:firstLineChars="200"/>
              <w:jc w:val="center"/>
              <w:rPr>
                <w:color w:val="auto"/>
                <w:sz w:val="24"/>
                <w:highlight w:val="none"/>
              </w:rPr>
            </w:pPr>
            <w:r>
              <w:rPr>
                <w:rFonts w:hint="eastAsia"/>
                <w:color w:val="auto"/>
                <w:sz w:val="24"/>
                <w:highlight w:val="none"/>
              </w:rPr>
              <w:drawing>
                <wp:inline distT="0" distB="0" distL="114300" distR="114300">
                  <wp:extent cx="2059305" cy="501650"/>
                  <wp:effectExtent l="0" t="0" r="17145" b="1270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28"/>
                          <a:stretch>
                            <a:fillRect/>
                          </a:stretch>
                        </pic:blipFill>
                        <pic:spPr>
                          <a:xfrm>
                            <a:off x="0" y="0"/>
                            <a:ext cx="2059305" cy="501650"/>
                          </a:xfrm>
                          <a:prstGeom prst="rect">
                            <a:avLst/>
                          </a:prstGeom>
                          <a:noFill/>
                          <a:ln>
                            <a:noFill/>
                          </a:ln>
                        </pic:spPr>
                      </pic:pic>
                    </a:graphicData>
                  </a:graphic>
                </wp:inline>
              </w:drawing>
            </w:r>
          </w:p>
          <w:p w14:paraId="295D5D3F">
            <w:pPr>
              <w:spacing w:line="360" w:lineRule="auto"/>
              <w:ind w:firstLine="480" w:firstLineChars="200"/>
              <w:rPr>
                <w:color w:val="auto"/>
                <w:sz w:val="24"/>
                <w:highlight w:val="none"/>
              </w:rPr>
            </w:pPr>
            <w:r>
              <w:rPr>
                <w:rFonts w:hint="eastAsia"/>
                <w:color w:val="auto"/>
                <w:sz w:val="24"/>
                <w:highlight w:val="none"/>
              </w:rPr>
              <w:t>式中：</w:t>
            </w:r>
          </w:p>
          <w:p w14:paraId="57D90F7C">
            <w:pPr>
              <w:spacing w:line="360" w:lineRule="auto"/>
              <w:ind w:firstLine="480" w:firstLineChars="200"/>
              <w:rPr>
                <w:color w:val="auto"/>
                <w:sz w:val="24"/>
                <w:highlight w:val="none"/>
              </w:rPr>
            </w:pPr>
            <w:r>
              <w:rPr>
                <w:i/>
                <w:iCs/>
                <w:color w:val="auto"/>
                <w:sz w:val="24"/>
                <w:highlight w:val="none"/>
              </w:rPr>
              <w:t>L</w:t>
            </w:r>
            <w:r>
              <w:rPr>
                <w:i/>
                <w:iCs/>
                <w:color w:val="auto"/>
                <w:sz w:val="24"/>
                <w:highlight w:val="none"/>
                <w:vertAlign w:val="subscript"/>
              </w:rPr>
              <w:t>p</w:t>
            </w:r>
            <w:r>
              <w:rPr>
                <w:color w:val="auto"/>
                <w:sz w:val="24"/>
                <w:highlight w:val="none"/>
                <w:vertAlign w:val="subscript"/>
              </w:rPr>
              <w:t>1</w:t>
            </w:r>
            <w:r>
              <w:rPr>
                <w:color w:val="auto"/>
                <w:sz w:val="24"/>
                <w:highlight w:val="none"/>
              </w:rPr>
              <w:t>——靠近开口处（或窗户）室内某倍频带的声压级或A声级，dB；</w:t>
            </w:r>
          </w:p>
          <w:p w14:paraId="3F592154">
            <w:pPr>
              <w:spacing w:line="360" w:lineRule="auto"/>
              <w:ind w:firstLine="480" w:firstLineChars="200"/>
              <w:rPr>
                <w:i/>
                <w:iCs/>
                <w:color w:val="auto"/>
                <w:sz w:val="24"/>
                <w:highlight w:val="none"/>
              </w:rPr>
            </w:pPr>
            <w:r>
              <w:rPr>
                <w:i/>
                <w:iCs/>
                <w:color w:val="auto"/>
                <w:sz w:val="24"/>
                <w:highlight w:val="none"/>
              </w:rPr>
              <w:t>Lw</w:t>
            </w:r>
            <w:r>
              <w:rPr>
                <w:color w:val="auto"/>
                <w:sz w:val="24"/>
                <w:highlight w:val="none"/>
              </w:rPr>
              <w:t>——点声源声功率级（A计权或倍频带），dB；</w:t>
            </w:r>
          </w:p>
          <w:p w14:paraId="0838185E">
            <w:pPr>
              <w:spacing w:line="360" w:lineRule="auto"/>
              <w:ind w:firstLine="480" w:firstLineChars="200"/>
              <w:rPr>
                <w:b/>
                <w:color w:val="auto"/>
                <w:sz w:val="24"/>
                <w:szCs w:val="24"/>
                <w:highlight w:val="none"/>
              </w:rPr>
            </w:pPr>
            <w:r>
              <w:rPr>
                <w:i/>
                <w:iCs/>
                <w:color w:val="auto"/>
                <w:sz w:val="24"/>
                <w:highlight w:val="none"/>
              </w:rPr>
              <w:t>Q</w:t>
            </w:r>
            <w:r>
              <w:rPr>
                <w:color w:val="auto"/>
                <w:sz w:val="24"/>
                <w:highlight w:val="none"/>
              </w:rPr>
              <w:t>——指向性因数；通常对无指向性声源，当声源放在房间中心时，</w:t>
            </w:r>
            <w:r>
              <w:rPr>
                <w:i/>
                <w:iCs/>
                <w:color w:val="auto"/>
                <w:sz w:val="24"/>
                <w:highlight w:val="none"/>
              </w:rPr>
              <w:t>Q</w:t>
            </w:r>
            <w:r>
              <w:rPr>
                <w:color w:val="auto"/>
                <w:sz w:val="24"/>
                <w:highlight w:val="none"/>
              </w:rPr>
              <w:t>=1；当放在一面墙的中心时，</w:t>
            </w:r>
            <w:r>
              <w:rPr>
                <w:i/>
                <w:iCs/>
                <w:color w:val="auto"/>
                <w:sz w:val="24"/>
                <w:highlight w:val="none"/>
              </w:rPr>
              <w:t>Q</w:t>
            </w:r>
            <w:r>
              <w:rPr>
                <w:color w:val="auto"/>
                <w:sz w:val="24"/>
                <w:highlight w:val="none"/>
              </w:rPr>
              <w:t>=2；当放在两面墙夹角处时，</w:t>
            </w:r>
            <w:r>
              <w:rPr>
                <w:i/>
                <w:iCs/>
                <w:color w:val="auto"/>
                <w:sz w:val="24"/>
                <w:highlight w:val="none"/>
              </w:rPr>
              <w:t>Q</w:t>
            </w:r>
            <w:r>
              <w:rPr>
                <w:color w:val="auto"/>
                <w:sz w:val="24"/>
                <w:highlight w:val="none"/>
              </w:rPr>
              <w:t>=4；当放在三面墙夹角处时，</w:t>
            </w:r>
            <w:r>
              <w:rPr>
                <w:i/>
                <w:iCs/>
                <w:color w:val="auto"/>
                <w:sz w:val="24"/>
                <w:highlight w:val="none"/>
              </w:rPr>
              <w:t>Q</w:t>
            </w:r>
            <w:r>
              <w:rPr>
                <w:color w:val="auto"/>
                <w:sz w:val="24"/>
                <w:highlight w:val="none"/>
              </w:rPr>
              <w:t>=8；</w:t>
            </w:r>
          </w:p>
          <w:p w14:paraId="10573C71">
            <w:pPr>
              <w:spacing w:line="360" w:lineRule="auto"/>
              <w:ind w:firstLine="480" w:firstLineChars="200"/>
              <w:rPr>
                <w:color w:val="auto"/>
                <w:sz w:val="24"/>
                <w:highlight w:val="none"/>
              </w:rPr>
            </w:pPr>
            <w:r>
              <w:rPr>
                <w:i/>
                <w:iCs/>
                <w:color w:val="auto"/>
                <w:sz w:val="24"/>
                <w:highlight w:val="none"/>
              </w:rPr>
              <w:t>R</w:t>
            </w:r>
            <w:r>
              <w:rPr>
                <w:color w:val="auto"/>
                <w:sz w:val="24"/>
                <w:highlight w:val="none"/>
              </w:rPr>
              <w:t>——房间常数；</w:t>
            </w:r>
            <w:r>
              <w:rPr>
                <w:i/>
                <w:iCs/>
                <w:color w:val="auto"/>
                <w:sz w:val="24"/>
                <w:highlight w:val="none"/>
              </w:rPr>
              <w:t>R</w:t>
            </w:r>
            <w:r>
              <w:rPr>
                <w:rFonts w:hint="eastAsia"/>
                <w:color w:val="auto"/>
                <w:sz w:val="24"/>
                <w:highlight w:val="none"/>
              </w:rPr>
              <w:sym w:font="Symbol" w:char="F03D"/>
            </w:r>
            <w:r>
              <w:rPr>
                <w:i/>
                <w:iCs/>
                <w:color w:val="auto"/>
                <w:sz w:val="24"/>
                <w:highlight w:val="none"/>
              </w:rPr>
              <w:t>S</w:t>
            </w:r>
            <w:r>
              <w:rPr>
                <w:rFonts w:hint="eastAsia"/>
                <w:color w:val="auto"/>
                <w:sz w:val="24"/>
                <w:highlight w:val="none"/>
              </w:rPr>
              <w:sym w:font="Symbol" w:char="F061"/>
            </w:r>
            <w:r>
              <w:rPr>
                <w:rFonts w:hint="eastAsia"/>
                <w:color w:val="auto"/>
                <w:sz w:val="24"/>
                <w:highlight w:val="none"/>
              </w:rPr>
              <w:t>/（</w:t>
            </w:r>
            <w:r>
              <w:rPr>
                <w:color w:val="auto"/>
                <w:sz w:val="24"/>
                <w:highlight w:val="none"/>
              </w:rPr>
              <w:t>1</w:t>
            </w:r>
            <w:r>
              <w:rPr>
                <w:rFonts w:hint="eastAsia"/>
                <w:color w:val="auto"/>
                <w:sz w:val="24"/>
                <w:highlight w:val="none"/>
              </w:rPr>
              <w:t>-</w:t>
            </w:r>
            <w:r>
              <w:rPr>
                <w:rFonts w:hint="eastAsia"/>
                <w:color w:val="auto"/>
                <w:sz w:val="24"/>
                <w:highlight w:val="none"/>
              </w:rPr>
              <w:sym w:font="Symbol" w:char="F061"/>
            </w:r>
            <w:r>
              <w:rPr>
                <w:rFonts w:hint="eastAsia"/>
                <w:color w:val="auto"/>
                <w:sz w:val="24"/>
                <w:highlight w:val="none"/>
              </w:rPr>
              <w:t>）</w:t>
            </w:r>
            <w:r>
              <w:rPr>
                <w:color w:val="auto"/>
                <w:sz w:val="24"/>
                <w:highlight w:val="none"/>
              </w:rPr>
              <w:t>，</w:t>
            </w:r>
            <w:r>
              <w:rPr>
                <w:i/>
                <w:iCs/>
                <w:color w:val="auto"/>
                <w:sz w:val="24"/>
                <w:highlight w:val="none"/>
              </w:rPr>
              <w:t>S</w:t>
            </w:r>
            <w:r>
              <w:rPr>
                <w:color w:val="auto"/>
                <w:sz w:val="24"/>
                <w:highlight w:val="none"/>
              </w:rPr>
              <w:t>为房间内表面面积，m</w:t>
            </w:r>
            <w:r>
              <w:rPr>
                <w:color w:val="auto"/>
                <w:sz w:val="24"/>
                <w:highlight w:val="none"/>
                <w:vertAlign w:val="superscript"/>
              </w:rPr>
              <w:t>2</w:t>
            </w:r>
            <w:r>
              <w:rPr>
                <w:color w:val="auto"/>
                <w:sz w:val="24"/>
                <w:highlight w:val="none"/>
              </w:rPr>
              <w:t>；</w:t>
            </w:r>
            <w:r>
              <w:rPr>
                <w:i/>
                <w:iCs/>
                <w:color w:val="auto"/>
                <w:sz w:val="24"/>
                <w:highlight w:val="none"/>
              </w:rPr>
              <w:t>α</w:t>
            </w:r>
            <w:r>
              <w:rPr>
                <w:color w:val="auto"/>
                <w:sz w:val="24"/>
                <w:highlight w:val="none"/>
              </w:rPr>
              <w:t>为平均吸声系数；</w:t>
            </w:r>
          </w:p>
          <w:p w14:paraId="71A7D9E9">
            <w:pPr>
              <w:spacing w:line="360" w:lineRule="auto"/>
              <w:ind w:firstLine="480" w:firstLineChars="200"/>
              <w:jc w:val="left"/>
              <w:rPr>
                <w:rFonts w:eastAsia="黑体"/>
                <w:bCs/>
                <w:color w:val="auto"/>
                <w:sz w:val="24"/>
                <w:szCs w:val="24"/>
                <w:highlight w:val="none"/>
              </w:rPr>
            </w:pPr>
            <w:r>
              <w:rPr>
                <w:rFonts w:hint="eastAsia"/>
                <w:color w:val="auto"/>
                <w:sz w:val="24"/>
                <w:highlight w:val="none"/>
              </w:rPr>
              <w:t>计算出所有室内声源在维护结构处产生的i倍频带叠加声压级，具体按下式计算：</w:t>
            </w:r>
          </w:p>
          <w:p w14:paraId="6645C2BF">
            <w:pPr>
              <w:spacing w:line="360" w:lineRule="auto"/>
              <w:ind w:firstLine="480" w:firstLineChars="200"/>
              <w:jc w:val="center"/>
              <w:rPr>
                <w:rFonts w:eastAsia="黑体"/>
                <w:bCs/>
                <w:color w:val="auto"/>
                <w:sz w:val="24"/>
                <w:szCs w:val="24"/>
                <w:highlight w:val="none"/>
              </w:rPr>
            </w:pPr>
            <w:r>
              <w:rPr>
                <w:rFonts w:hint="eastAsia"/>
                <w:color w:val="auto"/>
                <w:sz w:val="24"/>
                <w:highlight w:val="none"/>
              </w:rPr>
              <w:drawing>
                <wp:inline distT="0" distB="0" distL="114300" distR="114300">
                  <wp:extent cx="1917065" cy="581025"/>
                  <wp:effectExtent l="0" t="0" r="6985" b="9525"/>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29"/>
                          <a:stretch>
                            <a:fillRect/>
                          </a:stretch>
                        </pic:blipFill>
                        <pic:spPr>
                          <a:xfrm>
                            <a:off x="0" y="0"/>
                            <a:ext cx="1917065" cy="581025"/>
                          </a:xfrm>
                          <a:prstGeom prst="rect">
                            <a:avLst/>
                          </a:prstGeom>
                          <a:noFill/>
                          <a:ln>
                            <a:noFill/>
                          </a:ln>
                        </pic:spPr>
                      </pic:pic>
                    </a:graphicData>
                  </a:graphic>
                </wp:inline>
              </w:drawing>
            </w:r>
          </w:p>
          <w:p w14:paraId="1EF24641">
            <w:pPr>
              <w:spacing w:line="360" w:lineRule="auto"/>
              <w:ind w:firstLine="480" w:firstLineChars="200"/>
              <w:rPr>
                <w:color w:val="auto"/>
                <w:sz w:val="24"/>
                <w:highlight w:val="none"/>
              </w:rPr>
            </w:pPr>
            <w:r>
              <w:rPr>
                <w:color w:val="auto"/>
                <w:sz w:val="24"/>
                <w:highlight w:val="none"/>
              </w:rPr>
              <w:t>式中：</w:t>
            </w:r>
          </w:p>
          <w:p w14:paraId="681E2416">
            <w:pPr>
              <w:spacing w:line="360" w:lineRule="auto"/>
              <w:ind w:firstLine="480" w:firstLineChars="200"/>
              <w:rPr>
                <w:i/>
                <w:iCs/>
                <w:color w:val="auto"/>
                <w:sz w:val="24"/>
                <w:highlight w:val="none"/>
              </w:rPr>
            </w:pPr>
            <w:r>
              <w:rPr>
                <w:i/>
                <w:iCs/>
                <w:color w:val="auto"/>
                <w:sz w:val="24"/>
                <w:highlight w:val="none"/>
              </w:rPr>
              <w:t>L</w:t>
            </w:r>
            <w:r>
              <w:rPr>
                <w:i/>
                <w:iCs/>
                <w:color w:val="auto"/>
                <w:sz w:val="24"/>
                <w:highlight w:val="none"/>
                <w:vertAlign w:val="subscript"/>
              </w:rPr>
              <w:t>p</w:t>
            </w:r>
            <w:r>
              <w:rPr>
                <w:i/>
                <w:color w:val="auto"/>
                <w:sz w:val="24"/>
                <w:highlight w:val="none"/>
                <w:vertAlign w:val="subscript"/>
              </w:rPr>
              <w:t>1</w:t>
            </w:r>
            <w:r>
              <w:rPr>
                <w:i/>
                <w:iCs/>
                <w:color w:val="auto"/>
                <w:sz w:val="24"/>
                <w:highlight w:val="none"/>
                <w:vertAlign w:val="subscript"/>
              </w:rPr>
              <w:t>i</w:t>
            </w:r>
            <w:r>
              <w:rPr>
                <w:rFonts w:hint="eastAsia"/>
                <w:i/>
                <w:color w:val="auto"/>
                <w:sz w:val="24"/>
                <w:highlight w:val="none"/>
              </w:rPr>
              <w:sym w:font="Symbol" w:char="F028"/>
            </w:r>
            <w:r>
              <w:rPr>
                <w:i/>
                <w:iCs/>
                <w:color w:val="auto"/>
                <w:sz w:val="24"/>
                <w:highlight w:val="none"/>
              </w:rPr>
              <w:t>T</w:t>
            </w:r>
            <w:r>
              <w:rPr>
                <w:rFonts w:hint="eastAsia"/>
                <w:i/>
                <w:color w:val="auto"/>
                <w:sz w:val="24"/>
                <w:highlight w:val="none"/>
              </w:rPr>
              <w:sym w:font="Symbol" w:char="F029"/>
            </w:r>
            <w:r>
              <w:rPr>
                <w:color w:val="auto"/>
                <w:sz w:val="24"/>
                <w:highlight w:val="none"/>
              </w:rPr>
              <w:t>——靠近围护结构处室内</w:t>
            </w:r>
            <w:r>
              <w:rPr>
                <w:i/>
                <w:iCs/>
                <w:color w:val="auto"/>
                <w:sz w:val="24"/>
                <w:highlight w:val="none"/>
              </w:rPr>
              <w:t>N</w:t>
            </w:r>
            <w:r>
              <w:rPr>
                <w:color w:val="auto"/>
                <w:sz w:val="24"/>
                <w:highlight w:val="none"/>
              </w:rPr>
              <w:t>个声源</w:t>
            </w:r>
            <w:r>
              <w:rPr>
                <w:i/>
                <w:iCs/>
                <w:color w:val="auto"/>
                <w:sz w:val="24"/>
                <w:highlight w:val="none"/>
              </w:rPr>
              <w:t>i</w:t>
            </w:r>
            <w:r>
              <w:rPr>
                <w:color w:val="auto"/>
                <w:sz w:val="24"/>
                <w:highlight w:val="none"/>
              </w:rPr>
              <w:t>倍频带的叠加声压级，dB；</w:t>
            </w:r>
          </w:p>
          <w:p w14:paraId="48FCC5D4">
            <w:pPr>
              <w:spacing w:line="360" w:lineRule="auto"/>
              <w:ind w:firstLine="480" w:firstLineChars="200"/>
              <w:rPr>
                <w:color w:val="auto"/>
                <w:sz w:val="24"/>
                <w:highlight w:val="none"/>
              </w:rPr>
            </w:pPr>
            <w:r>
              <w:rPr>
                <w:i/>
                <w:iCs/>
                <w:color w:val="auto"/>
                <w:sz w:val="24"/>
                <w:highlight w:val="none"/>
              </w:rPr>
              <w:t>L</w:t>
            </w:r>
            <w:r>
              <w:rPr>
                <w:i/>
                <w:iCs/>
                <w:color w:val="auto"/>
                <w:sz w:val="24"/>
                <w:highlight w:val="none"/>
                <w:vertAlign w:val="subscript"/>
              </w:rPr>
              <w:t>p</w:t>
            </w:r>
            <w:r>
              <w:rPr>
                <w:color w:val="auto"/>
                <w:sz w:val="24"/>
                <w:highlight w:val="none"/>
                <w:vertAlign w:val="subscript"/>
              </w:rPr>
              <w:t>1</w:t>
            </w:r>
            <w:r>
              <w:rPr>
                <w:i/>
                <w:iCs/>
                <w:color w:val="auto"/>
                <w:sz w:val="24"/>
                <w:highlight w:val="none"/>
                <w:vertAlign w:val="subscript"/>
              </w:rPr>
              <w:t>ij</w:t>
            </w:r>
            <w:r>
              <w:rPr>
                <w:color w:val="auto"/>
                <w:sz w:val="24"/>
                <w:highlight w:val="none"/>
              </w:rPr>
              <w:t>——室内</w:t>
            </w:r>
            <w:r>
              <w:rPr>
                <w:i/>
                <w:iCs/>
                <w:color w:val="auto"/>
                <w:sz w:val="24"/>
                <w:highlight w:val="none"/>
              </w:rPr>
              <w:t>j</w:t>
            </w:r>
            <w:r>
              <w:rPr>
                <w:color w:val="auto"/>
                <w:sz w:val="24"/>
                <w:highlight w:val="none"/>
              </w:rPr>
              <w:t>声源</w:t>
            </w:r>
            <w:r>
              <w:rPr>
                <w:i/>
                <w:iCs/>
                <w:color w:val="auto"/>
                <w:sz w:val="24"/>
                <w:highlight w:val="none"/>
              </w:rPr>
              <w:t>i</w:t>
            </w:r>
            <w:r>
              <w:rPr>
                <w:color w:val="auto"/>
                <w:sz w:val="24"/>
                <w:highlight w:val="none"/>
              </w:rPr>
              <w:t>倍频带的声压级，dB；</w:t>
            </w:r>
          </w:p>
          <w:p w14:paraId="5667C021">
            <w:pPr>
              <w:spacing w:line="360" w:lineRule="auto"/>
              <w:ind w:firstLine="480" w:firstLineChars="200"/>
              <w:rPr>
                <w:color w:val="auto"/>
                <w:sz w:val="24"/>
                <w:highlight w:val="none"/>
              </w:rPr>
            </w:pPr>
            <w:r>
              <w:rPr>
                <w:i/>
                <w:iCs/>
                <w:color w:val="auto"/>
                <w:sz w:val="24"/>
                <w:highlight w:val="none"/>
              </w:rPr>
              <w:t>N</w:t>
            </w:r>
            <w:r>
              <w:rPr>
                <w:color w:val="auto"/>
                <w:sz w:val="24"/>
                <w:highlight w:val="none"/>
              </w:rPr>
              <w:t>——室内声源总数。</w:t>
            </w:r>
          </w:p>
          <w:p w14:paraId="431F8A4B">
            <w:pPr>
              <w:spacing w:line="360" w:lineRule="auto"/>
              <w:ind w:firstLine="480" w:firstLineChars="200"/>
              <w:rPr>
                <w:color w:val="auto"/>
                <w:sz w:val="24"/>
                <w:highlight w:val="none"/>
              </w:rPr>
            </w:pPr>
            <w:r>
              <w:rPr>
                <w:color w:val="auto"/>
                <w:sz w:val="24"/>
                <w:highlight w:val="none"/>
              </w:rPr>
              <w:t>在室内近似为扩散声场时，按</w:t>
            </w:r>
            <w:r>
              <w:rPr>
                <w:rFonts w:hint="eastAsia"/>
                <w:color w:val="auto"/>
                <w:sz w:val="24"/>
                <w:highlight w:val="none"/>
              </w:rPr>
              <w:t>下式</w:t>
            </w:r>
            <w:r>
              <w:rPr>
                <w:color w:val="auto"/>
                <w:sz w:val="24"/>
                <w:highlight w:val="none"/>
              </w:rPr>
              <w:t>计算出靠近室外围护结构处的声压级</w:t>
            </w:r>
            <w:r>
              <w:rPr>
                <w:rFonts w:hint="eastAsia"/>
                <w:color w:val="auto"/>
                <w:sz w:val="24"/>
                <w:highlight w:val="none"/>
              </w:rPr>
              <w:t>。</w:t>
            </w:r>
          </w:p>
          <w:p w14:paraId="63C3E389">
            <w:pPr>
              <w:spacing w:line="360" w:lineRule="auto"/>
              <w:ind w:firstLine="480" w:firstLineChars="200"/>
              <w:jc w:val="center"/>
              <w:rPr>
                <w:color w:val="auto"/>
                <w:sz w:val="24"/>
                <w:highlight w:val="none"/>
              </w:rPr>
            </w:pPr>
            <w:r>
              <w:rPr>
                <w:rFonts w:hint="eastAsia"/>
                <w:color w:val="auto"/>
                <w:sz w:val="24"/>
                <w:highlight w:val="none"/>
              </w:rPr>
              <w:drawing>
                <wp:inline distT="0" distB="0" distL="114300" distR="114300">
                  <wp:extent cx="2083435" cy="304165"/>
                  <wp:effectExtent l="0" t="0" r="12065" b="635"/>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pic:cNvPicPr>
                            <a:picLocks noChangeAspect="1"/>
                          </pic:cNvPicPr>
                        </pic:nvPicPr>
                        <pic:blipFill>
                          <a:blip r:embed="rId30"/>
                          <a:stretch>
                            <a:fillRect/>
                          </a:stretch>
                        </pic:blipFill>
                        <pic:spPr>
                          <a:xfrm>
                            <a:off x="0" y="0"/>
                            <a:ext cx="2083435" cy="304165"/>
                          </a:xfrm>
                          <a:prstGeom prst="rect">
                            <a:avLst/>
                          </a:prstGeom>
                          <a:noFill/>
                          <a:ln>
                            <a:noFill/>
                          </a:ln>
                        </pic:spPr>
                      </pic:pic>
                    </a:graphicData>
                  </a:graphic>
                </wp:inline>
              </w:drawing>
            </w:r>
          </w:p>
          <w:p w14:paraId="589FA97E">
            <w:pPr>
              <w:spacing w:line="360" w:lineRule="auto"/>
              <w:ind w:firstLine="480" w:firstLineChars="200"/>
              <w:rPr>
                <w:color w:val="auto"/>
                <w:sz w:val="24"/>
                <w:highlight w:val="none"/>
              </w:rPr>
            </w:pPr>
            <w:r>
              <w:rPr>
                <w:color w:val="auto"/>
                <w:sz w:val="24"/>
                <w:highlight w:val="none"/>
              </w:rPr>
              <w:t>式中：</w:t>
            </w:r>
          </w:p>
          <w:p w14:paraId="5E265115">
            <w:pPr>
              <w:spacing w:line="360" w:lineRule="auto"/>
              <w:ind w:firstLine="480" w:firstLineChars="200"/>
              <w:rPr>
                <w:color w:val="auto"/>
                <w:sz w:val="24"/>
                <w:highlight w:val="none"/>
              </w:rPr>
            </w:pPr>
            <w:r>
              <w:rPr>
                <w:i/>
                <w:iCs/>
                <w:color w:val="auto"/>
                <w:sz w:val="24"/>
                <w:highlight w:val="none"/>
              </w:rPr>
              <w:t>L</w:t>
            </w:r>
            <w:r>
              <w:rPr>
                <w:i/>
                <w:iCs/>
                <w:color w:val="auto"/>
                <w:sz w:val="24"/>
                <w:highlight w:val="none"/>
                <w:vertAlign w:val="subscript"/>
              </w:rPr>
              <w:t>p</w:t>
            </w:r>
            <w:r>
              <w:rPr>
                <w:color w:val="auto"/>
                <w:sz w:val="24"/>
                <w:highlight w:val="none"/>
                <w:vertAlign w:val="subscript"/>
              </w:rPr>
              <w:t>2</w:t>
            </w:r>
            <w:r>
              <w:rPr>
                <w:i/>
                <w:iCs/>
                <w:color w:val="auto"/>
                <w:sz w:val="24"/>
                <w:highlight w:val="none"/>
                <w:vertAlign w:val="subscript"/>
              </w:rPr>
              <w:t>i</w:t>
            </w:r>
            <w:r>
              <w:rPr>
                <w:color w:val="auto"/>
                <w:sz w:val="24"/>
                <w:highlight w:val="none"/>
              </w:rPr>
              <w:t>(</w:t>
            </w:r>
            <w:r>
              <w:rPr>
                <w:i/>
                <w:iCs/>
                <w:color w:val="auto"/>
                <w:sz w:val="24"/>
                <w:highlight w:val="none"/>
              </w:rPr>
              <w:t>T</w:t>
            </w:r>
            <w:r>
              <w:rPr>
                <w:color w:val="auto"/>
                <w:sz w:val="24"/>
                <w:highlight w:val="none"/>
              </w:rPr>
              <w:t>)——靠近围护结构处室外</w:t>
            </w:r>
            <w:r>
              <w:rPr>
                <w:i/>
                <w:iCs/>
                <w:color w:val="auto"/>
                <w:sz w:val="24"/>
                <w:highlight w:val="none"/>
              </w:rPr>
              <w:t>N</w:t>
            </w:r>
            <w:r>
              <w:rPr>
                <w:color w:val="auto"/>
                <w:sz w:val="24"/>
                <w:highlight w:val="none"/>
              </w:rPr>
              <w:t>个声源</w:t>
            </w:r>
            <w:r>
              <w:rPr>
                <w:i/>
                <w:iCs/>
                <w:color w:val="auto"/>
                <w:sz w:val="24"/>
                <w:highlight w:val="none"/>
              </w:rPr>
              <w:t>i</w:t>
            </w:r>
            <w:r>
              <w:rPr>
                <w:color w:val="auto"/>
                <w:sz w:val="24"/>
                <w:highlight w:val="none"/>
              </w:rPr>
              <w:t>倍频带的叠加声压级，dB；</w:t>
            </w:r>
          </w:p>
          <w:p w14:paraId="1627FDA7">
            <w:pPr>
              <w:spacing w:line="360" w:lineRule="auto"/>
              <w:ind w:firstLine="480" w:firstLineChars="200"/>
              <w:rPr>
                <w:color w:val="auto"/>
                <w:sz w:val="24"/>
                <w:highlight w:val="none"/>
              </w:rPr>
            </w:pPr>
            <w:r>
              <w:rPr>
                <w:i/>
                <w:iCs/>
                <w:color w:val="auto"/>
                <w:sz w:val="24"/>
                <w:highlight w:val="none"/>
              </w:rPr>
              <w:t>TL</w:t>
            </w:r>
            <w:r>
              <w:rPr>
                <w:i/>
                <w:iCs/>
                <w:color w:val="auto"/>
                <w:sz w:val="24"/>
                <w:highlight w:val="none"/>
                <w:vertAlign w:val="subscript"/>
              </w:rPr>
              <w:t>i</w:t>
            </w:r>
            <w:r>
              <w:rPr>
                <w:color w:val="auto"/>
                <w:sz w:val="24"/>
                <w:highlight w:val="none"/>
              </w:rPr>
              <w:t>——围护结构</w:t>
            </w:r>
            <w:r>
              <w:rPr>
                <w:i/>
                <w:iCs/>
                <w:color w:val="auto"/>
                <w:sz w:val="24"/>
                <w:highlight w:val="none"/>
              </w:rPr>
              <w:t>i</w:t>
            </w:r>
            <w:r>
              <w:rPr>
                <w:color w:val="auto"/>
                <w:sz w:val="24"/>
                <w:highlight w:val="none"/>
              </w:rPr>
              <w:t>倍频带的隔声量，dB。</w:t>
            </w:r>
          </w:p>
          <w:p w14:paraId="5F69E78E">
            <w:pPr>
              <w:spacing w:line="360" w:lineRule="auto"/>
              <w:ind w:firstLine="480" w:firstLineChars="200"/>
              <w:rPr>
                <w:color w:val="auto"/>
                <w:sz w:val="24"/>
                <w:highlight w:val="none"/>
              </w:rPr>
            </w:pPr>
            <w:r>
              <w:rPr>
                <w:color w:val="auto"/>
                <w:sz w:val="24"/>
                <w:highlight w:val="none"/>
              </w:rPr>
              <w:t>将室外声源的声压级和透过面积换算成等效的室外声源，计算出中心位置位于透声面积（</w:t>
            </w:r>
            <w:r>
              <w:rPr>
                <w:i/>
                <w:iCs/>
                <w:color w:val="auto"/>
                <w:sz w:val="24"/>
                <w:highlight w:val="none"/>
              </w:rPr>
              <w:t>S</w:t>
            </w:r>
            <w:r>
              <w:rPr>
                <w:color w:val="auto"/>
                <w:sz w:val="24"/>
                <w:highlight w:val="none"/>
              </w:rPr>
              <w:t>）处的等效声源的倍频带声功率级</w:t>
            </w:r>
            <w:r>
              <w:rPr>
                <w:rFonts w:hint="eastAsia"/>
                <w:color w:val="auto"/>
                <w:sz w:val="24"/>
                <w:highlight w:val="none"/>
              </w:rPr>
              <w:t>，具体计算公式如下：</w:t>
            </w:r>
          </w:p>
          <w:p w14:paraId="31642DF9">
            <w:pPr>
              <w:spacing w:line="360" w:lineRule="auto"/>
              <w:ind w:firstLine="480" w:firstLineChars="200"/>
              <w:jc w:val="center"/>
              <w:rPr>
                <w:color w:val="auto"/>
                <w:sz w:val="24"/>
                <w:highlight w:val="none"/>
              </w:rPr>
            </w:pPr>
            <w:r>
              <w:rPr>
                <w:rFonts w:hint="eastAsia"/>
                <w:color w:val="auto"/>
                <w:sz w:val="24"/>
                <w:highlight w:val="none"/>
              </w:rPr>
              <w:drawing>
                <wp:inline distT="0" distB="0" distL="114300" distR="114300">
                  <wp:extent cx="1654175" cy="246380"/>
                  <wp:effectExtent l="0" t="0" r="3175" b="127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pic:cNvPicPr>
                            <a:picLocks noChangeAspect="1"/>
                          </pic:cNvPicPr>
                        </pic:nvPicPr>
                        <pic:blipFill>
                          <a:blip r:embed="rId31"/>
                          <a:stretch>
                            <a:fillRect/>
                          </a:stretch>
                        </pic:blipFill>
                        <pic:spPr>
                          <a:xfrm>
                            <a:off x="0" y="0"/>
                            <a:ext cx="1654175" cy="246380"/>
                          </a:xfrm>
                          <a:prstGeom prst="rect">
                            <a:avLst/>
                          </a:prstGeom>
                          <a:noFill/>
                          <a:ln>
                            <a:noFill/>
                          </a:ln>
                        </pic:spPr>
                      </pic:pic>
                    </a:graphicData>
                  </a:graphic>
                </wp:inline>
              </w:drawing>
            </w:r>
          </w:p>
          <w:p w14:paraId="2F5B9DB7">
            <w:pPr>
              <w:spacing w:line="360" w:lineRule="auto"/>
              <w:ind w:firstLine="480" w:firstLineChars="200"/>
              <w:rPr>
                <w:color w:val="auto"/>
                <w:sz w:val="24"/>
                <w:highlight w:val="none"/>
              </w:rPr>
            </w:pPr>
            <w:r>
              <w:rPr>
                <w:color w:val="auto"/>
                <w:sz w:val="24"/>
                <w:highlight w:val="none"/>
              </w:rPr>
              <w:t>式中：</w:t>
            </w:r>
          </w:p>
          <w:p w14:paraId="49ACE7E6">
            <w:pPr>
              <w:spacing w:line="360" w:lineRule="auto"/>
              <w:ind w:firstLine="480" w:firstLineChars="200"/>
              <w:rPr>
                <w:color w:val="auto"/>
                <w:sz w:val="24"/>
                <w:highlight w:val="none"/>
              </w:rPr>
            </w:pPr>
            <w:r>
              <w:rPr>
                <w:i/>
                <w:iCs/>
                <w:color w:val="auto"/>
                <w:sz w:val="24"/>
                <w:highlight w:val="none"/>
              </w:rPr>
              <w:t>L</w:t>
            </w:r>
            <w:r>
              <w:rPr>
                <w:i/>
                <w:iCs/>
                <w:color w:val="auto"/>
                <w:sz w:val="24"/>
                <w:highlight w:val="none"/>
                <w:vertAlign w:val="subscript"/>
              </w:rPr>
              <w:t>w</w:t>
            </w:r>
            <w:r>
              <w:rPr>
                <w:color w:val="auto"/>
                <w:sz w:val="24"/>
                <w:highlight w:val="none"/>
              </w:rPr>
              <w:t>——中心位置位于透声面积（</w:t>
            </w:r>
            <w:r>
              <w:rPr>
                <w:i/>
                <w:iCs/>
                <w:color w:val="auto"/>
                <w:sz w:val="24"/>
                <w:highlight w:val="none"/>
              </w:rPr>
              <w:t>S</w:t>
            </w:r>
            <w:r>
              <w:rPr>
                <w:color w:val="auto"/>
                <w:sz w:val="24"/>
                <w:highlight w:val="none"/>
              </w:rPr>
              <w:t>）处的等效声源的倍频带声功率级，dB；</w:t>
            </w:r>
          </w:p>
          <w:p w14:paraId="136A07B7">
            <w:pPr>
              <w:spacing w:line="360" w:lineRule="auto"/>
              <w:ind w:firstLine="480" w:firstLineChars="200"/>
              <w:rPr>
                <w:color w:val="auto"/>
                <w:sz w:val="24"/>
                <w:highlight w:val="none"/>
              </w:rPr>
            </w:pPr>
            <w:r>
              <w:rPr>
                <w:i/>
                <w:iCs/>
                <w:color w:val="auto"/>
                <w:sz w:val="24"/>
                <w:highlight w:val="none"/>
              </w:rPr>
              <w:t>L</w:t>
            </w:r>
            <w:r>
              <w:rPr>
                <w:i/>
                <w:iCs/>
                <w:color w:val="auto"/>
                <w:sz w:val="24"/>
                <w:highlight w:val="none"/>
                <w:vertAlign w:val="subscript"/>
              </w:rPr>
              <w:t>p</w:t>
            </w:r>
            <w:r>
              <w:rPr>
                <w:color w:val="auto"/>
                <w:sz w:val="24"/>
                <w:highlight w:val="none"/>
                <w:vertAlign w:val="subscript"/>
              </w:rPr>
              <w:t>2</w:t>
            </w:r>
            <w:r>
              <w:rPr>
                <w:color w:val="auto"/>
                <w:sz w:val="24"/>
                <w:highlight w:val="none"/>
              </w:rPr>
              <w:t>(</w:t>
            </w:r>
            <w:r>
              <w:rPr>
                <w:i/>
                <w:iCs/>
                <w:color w:val="auto"/>
                <w:sz w:val="24"/>
                <w:highlight w:val="none"/>
              </w:rPr>
              <w:t>T</w:t>
            </w:r>
            <w:r>
              <w:rPr>
                <w:color w:val="auto"/>
                <w:sz w:val="24"/>
                <w:highlight w:val="none"/>
              </w:rPr>
              <w:t>)——靠近围护结构处室外声源的声压级，dB；</w:t>
            </w:r>
          </w:p>
          <w:p w14:paraId="1B45AF9A">
            <w:pPr>
              <w:spacing w:line="360" w:lineRule="auto"/>
              <w:ind w:firstLine="480" w:firstLineChars="200"/>
              <w:rPr>
                <w:color w:val="auto"/>
                <w:sz w:val="24"/>
                <w:highlight w:val="none"/>
              </w:rPr>
            </w:pPr>
            <w:r>
              <w:rPr>
                <w:i/>
                <w:iCs/>
                <w:color w:val="auto"/>
                <w:sz w:val="24"/>
                <w:highlight w:val="none"/>
              </w:rPr>
              <w:t>S</w:t>
            </w:r>
            <w:r>
              <w:rPr>
                <w:color w:val="auto"/>
                <w:sz w:val="24"/>
                <w:highlight w:val="none"/>
              </w:rPr>
              <w:t>——透声面积，m</w:t>
            </w:r>
            <w:r>
              <w:rPr>
                <w:color w:val="auto"/>
                <w:sz w:val="24"/>
                <w:highlight w:val="none"/>
                <w:vertAlign w:val="superscript"/>
              </w:rPr>
              <w:t>2</w:t>
            </w:r>
            <w:r>
              <w:rPr>
                <w:color w:val="auto"/>
                <w:sz w:val="24"/>
                <w:highlight w:val="none"/>
              </w:rPr>
              <w:t>。</w:t>
            </w:r>
          </w:p>
          <w:p w14:paraId="4DD63DC2">
            <w:pPr>
              <w:spacing w:line="360" w:lineRule="auto"/>
              <w:ind w:firstLine="480" w:firstLineChars="200"/>
              <w:rPr>
                <w:color w:val="auto"/>
                <w:sz w:val="24"/>
                <w:highlight w:val="none"/>
              </w:rPr>
            </w:pPr>
            <w:r>
              <w:rPr>
                <w:rFonts w:hint="eastAsia"/>
                <w:color w:val="auto"/>
                <w:sz w:val="24"/>
                <w:highlight w:val="none"/>
              </w:rPr>
              <w:t>（2）室外声源</w:t>
            </w:r>
          </w:p>
          <w:p w14:paraId="588CD63C">
            <w:pPr>
              <w:spacing w:line="360" w:lineRule="auto"/>
              <w:ind w:firstLine="480" w:firstLineChars="200"/>
              <w:rPr>
                <w:color w:val="auto"/>
                <w:sz w:val="24"/>
                <w:highlight w:val="none"/>
              </w:rPr>
            </w:pPr>
            <w:r>
              <w:rPr>
                <w:rFonts w:hint="eastAsia"/>
                <w:color w:val="auto"/>
                <w:sz w:val="24"/>
                <w:highlight w:val="none"/>
              </w:rPr>
              <w:t>根据声源声功率级、户外声传播衰减，计算预测点的声级，具体</w:t>
            </w:r>
            <w:r>
              <w:rPr>
                <w:rFonts w:hint="eastAsia"/>
                <w:color w:val="auto"/>
                <w:sz w:val="24"/>
                <w:highlight w:val="none"/>
                <w:lang w:eastAsia="zh-CN"/>
              </w:rPr>
              <w:t>计算公式</w:t>
            </w:r>
            <w:r>
              <w:rPr>
                <w:rFonts w:hint="eastAsia"/>
                <w:color w:val="auto"/>
                <w:sz w:val="24"/>
                <w:highlight w:val="none"/>
              </w:rPr>
              <w:t>如下：</w:t>
            </w:r>
          </w:p>
          <w:p w14:paraId="61F138F1">
            <w:pPr>
              <w:spacing w:line="360" w:lineRule="auto"/>
              <w:ind w:firstLine="480" w:firstLineChars="200"/>
              <w:jc w:val="center"/>
              <w:rPr>
                <w:i/>
                <w:color w:val="auto"/>
                <w:sz w:val="24"/>
                <w:highlight w:val="none"/>
              </w:rPr>
            </w:pPr>
            <w:r>
              <w:rPr>
                <w:rFonts w:hint="eastAsia"/>
                <w:i/>
                <w:color w:val="auto"/>
                <w:sz w:val="24"/>
                <w:highlight w:val="none"/>
              </w:rPr>
              <w:t>L</w:t>
            </w:r>
            <w:r>
              <w:rPr>
                <w:rFonts w:hint="eastAsia"/>
                <w:i/>
                <w:color w:val="auto"/>
                <w:sz w:val="24"/>
                <w:highlight w:val="none"/>
                <w:vertAlign w:val="subscript"/>
              </w:rPr>
              <w:t>p</w:t>
            </w:r>
            <w:r>
              <w:rPr>
                <w:rFonts w:hint="eastAsia"/>
                <w:i/>
                <w:color w:val="auto"/>
                <w:sz w:val="24"/>
                <w:highlight w:val="none"/>
              </w:rPr>
              <w:t>(r)=L</w:t>
            </w:r>
            <w:r>
              <w:rPr>
                <w:rFonts w:hint="eastAsia"/>
                <w:i/>
                <w:color w:val="auto"/>
                <w:sz w:val="24"/>
                <w:highlight w:val="none"/>
                <w:vertAlign w:val="subscript"/>
              </w:rPr>
              <w:t>w</w:t>
            </w:r>
            <w:r>
              <w:rPr>
                <w:rFonts w:hint="eastAsia"/>
                <w:i/>
                <w:color w:val="auto"/>
                <w:sz w:val="24"/>
                <w:highlight w:val="none"/>
              </w:rPr>
              <w:t>+Dc-（A</w:t>
            </w:r>
            <w:r>
              <w:rPr>
                <w:rFonts w:hint="eastAsia"/>
                <w:i/>
                <w:color w:val="auto"/>
                <w:sz w:val="24"/>
                <w:highlight w:val="none"/>
                <w:vertAlign w:val="subscript"/>
              </w:rPr>
              <w:t>div</w:t>
            </w:r>
            <w:r>
              <w:rPr>
                <w:rFonts w:hint="eastAsia"/>
                <w:i/>
                <w:color w:val="auto"/>
                <w:sz w:val="24"/>
                <w:highlight w:val="none"/>
              </w:rPr>
              <w:t>+A</w:t>
            </w:r>
            <w:r>
              <w:rPr>
                <w:rFonts w:hint="eastAsia"/>
                <w:i/>
                <w:color w:val="auto"/>
                <w:sz w:val="24"/>
                <w:highlight w:val="none"/>
                <w:vertAlign w:val="subscript"/>
              </w:rPr>
              <w:t>atm</w:t>
            </w:r>
            <w:r>
              <w:rPr>
                <w:rFonts w:hint="eastAsia"/>
                <w:i/>
                <w:color w:val="auto"/>
                <w:sz w:val="24"/>
                <w:highlight w:val="none"/>
              </w:rPr>
              <w:t>+A</w:t>
            </w:r>
            <w:r>
              <w:rPr>
                <w:rFonts w:hint="eastAsia"/>
                <w:i/>
                <w:color w:val="auto"/>
                <w:sz w:val="24"/>
                <w:highlight w:val="none"/>
                <w:vertAlign w:val="subscript"/>
              </w:rPr>
              <w:t>gr</w:t>
            </w:r>
            <w:r>
              <w:rPr>
                <w:rFonts w:hint="eastAsia"/>
                <w:i/>
                <w:color w:val="auto"/>
                <w:sz w:val="24"/>
                <w:highlight w:val="none"/>
              </w:rPr>
              <w:t>+A</w:t>
            </w:r>
            <w:r>
              <w:rPr>
                <w:rFonts w:hint="eastAsia"/>
                <w:i/>
                <w:color w:val="auto"/>
                <w:sz w:val="24"/>
                <w:highlight w:val="none"/>
                <w:vertAlign w:val="subscript"/>
              </w:rPr>
              <w:t>bar</w:t>
            </w:r>
            <w:r>
              <w:rPr>
                <w:rFonts w:hint="eastAsia"/>
                <w:i/>
                <w:color w:val="auto"/>
                <w:sz w:val="24"/>
                <w:highlight w:val="none"/>
              </w:rPr>
              <w:t>+A</w:t>
            </w:r>
            <w:r>
              <w:rPr>
                <w:rFonts w:hint="eastAsia"/>
                <w:i/>
                <w:color w:val="auto"/>
                <w:sz w:val="24"/>
                <w:highlight w:val="none"/>
                <w:vertAlign w:val="subscript"/>
              </w:rPr>
              <w:t>misc</w:t>
            </w:r>
            <w:r>
              <w:rPr>
                <w:rFonts w:hint="eastAsia"/>
                <w:i/>
                <w:color w:val="auto"/>
                <w:sz w:val="24"/>
                <w:highlight w:val="none"/>
              </w:rPr>
              <w:t>）</w:t>
            </w:r>
          </w:p>
          <w:p w14:paraId="421025D0">
            <w:pPr>
              <w:spacing w:line="360" w:lineRule="auto"/>
              <w:ind w:firstLine="480" w:firstLineChars="200"/>
              <w:rPr>
                <w:color w:val="auto"/>
                <w:sz w:val="24"/>
                <w:highlight w:val="none"/>
              </w:rPr>
            </w:pPr>
            <w:r>
              <w:rPr>
                <w:rFonts w:hint="eastAsia"/>
                <w:color w:val="auto"/>
                <w:sz w:val="24"/>
                <w:highlight w:val="none"/>
              </w:rPr>
              <w:t>式中：</w:t>
            </w:r>
          </w:p>
          <w:p w14:paraId="49FC27E2">
            <w:pPr>
              <w:spacing w:line="360" w:lineRule="auto"/>
              <w:ind w:firstLine="480" w:firstLineChars="200"/>
              <w:rPr>
                <w:color w:val="auto"/>
                <w:sz w:val="24"/>
                <w:highlight w:val="none"/>
              </w:rPr>
            </w:pPr>
            <w:r>
              <w:rPr>
                <w:rFonts w:hint="eastAsia"/>
                <w:i/>
                <w:color w:val="auto"/>
                <w:sz w:val="24"/>
                <w:highlight w:val="none"/>
              </w:rPr>
              <w:t>L</w:t>
            </w:r>
            <w:r>
              <w:rPr>
                <w:rFonts w:hint="eastAsia"/>
                <w:i/>
                <w:color w:val="auto"/>
                <w:sz w:val="24"/>
                <w:highlight w:val="none"/>
                <w:vertAlign w:val="subscript"/>
              </w:rPr>
              <w:t>p</w:t>
            </w:r>
            <w:r>
              <w:rPr>
                <w:rFonts w:hint="eastAsia"/>
                <w:i/>
                <w:color w:val="auto"/>
                <w:sz w:val="24"/>
                <w:highlight w:val="none"/>
              </w:rPr>
              <w:t>(r)</w:t>
            </w:r>
            <w:r>
              <w:rPr>
                <w:color w:val="auto"/>
                <w:sz w:val="24"/>
                <w:highlight w:val="none"/>
              </w:rPr>
              <w:t>——</w:t>
            </w:r>
            <w:r>
              <w:rPr>
                <w:rFonts w:hint="eastAsia"/>
                <w:color w:val="auto"/>
                <w:sz w:val="24"/>
                <w:highlight w:val="none"/>
              </w:rPr>
              <w:t>预测点处声压级，dB；</w:t>
            </w:r>
          </w:p>
          <w:p w14:paraId="6EF5685D">
            <w:pPr>
              <w:spacing w:line="360" w:lineRule="auto"/>
              <w:ind w:firstLine="480" w:firstLineChars="200"/>
              <w:rPr>
                <w:color w:val="auto"/>
                <w:sz w:val="24"/>
                <w:highlight w:val="none"/>
              </w:rPr>
            </w:pPr>
            <w:r>
              <w:rPr>
                <w:rFonts w:hint="eastAsia"/>
                <w:i/>
                <w:color w:val="auto"/>
                <w:sz w:val="24"/>
                <w:highlight w:val="none"/>
              </w:rPr>
              <w:t>Lw</w:t>
            </w:r>
            <w:r>
              <w:rPr>
                <w:color w:val="auto"/>
                <w:sz w:val="24"/>
                <w:highlight w:val="none"/>
              </w:rPr>
              <w:t>——由点声源产生的声功率级（A计权或倍频带），dB；</w:t>
            </w:r>
          </w:p>
          <w:p w14:paraId="41BF9919">
            <w:pPr>
              <w:spacing w:line="360" w:lineRule="auto"/>
              <w:ind w:firstLine="480" w:firstLineChars="200"/>
              <w:rPr>
                <w:color w:val="auto"/>
                <w:sz w:val="24"/>
                <w:highlight w:val="none"/>
              </w:rPr>
            </w:pPr>
            <w:r>
              <w:rPr>
                <w:rFonts w:hint="eastAsia"/>
                <w:i/>
                <w:color w:val="auto"/>
                <w:sz w:val="24"/>
                <w:highlight w:val="none"/>
              </w:rPr>
              <w:t>Dc</w:t>
            </w:r>
            <w:r>
              <w:rPr>
                <w:color w:val="auto"/>
                <w:sz w:val="24"/>
                <w:highlight w:val="none"/>
              </w:rPr>
              <w:t>——指向性校正，它描述点声源的等效连续声压级与产生声功率级</w:t>
            </w:r>
            <w:r>
              <w:rPr>
                <w:iCs/>
                <w:color w:val="auto"/>
                <w:sz w:val="24"/>
                <w:highlight w:val="none"/>
              </w:rPr>
              <w:t>L</w:t>
            </w:r>
            <w:r>
              <w:rPr>
                <w:rFonts w:hint="eastAsia"/>
                <w:iCs/>
                <w:color w:val="auto"/>
                <w:sz w:val="24"/>
                <w:highlight w:val="none"/>
              </w:rPr>
              <w:t>w</w:t>
            </w:r>
            <w:r>
              <w:rPr>
                <w:color w:val="auto"/>
                <w:sz w:val="24"/>
                <w:highlight w:val="none"/>
              </w:rPr>
              <w:t>的全向点声源在规定方向的声级的偏差程度，dB；</w:t>
            </w:r>
          </w:p>
          <w:p w14:paraId="3DD7A0E4">
            <w:pPr>
              <w:spacing w:line="360" w:lineRule="auto"/>
              <w:ind w:firstLine="480" w:firstLineChars="200"/>
              <w:rPr>
                <w:color w:val="auto"/>
                <w:sz w:val="24"/>
                <w:highlight w:val="none"/>
              </w:rPr>
            </w:pPr>
            <w:r>
              <w:rPr>
                <w:rFonts w:hint="eastAsia"/>
                <w:i/>
                <w:color w:val="auto"/>
                <w:sz w:val="24"/>
                <w:highlight w:val="none"/>
              </w:rPr>
              <w:t>A</w:t>
            </w:r>
            <w:r>
              <w:rPr>
                <w:rFonts w:hint="eastAsia"/>
                <w:i/>
                <w:color w:val="auto"/>
                <w:sz w:val="24"/>
                <w:highlight w:val="none"/>
                <w:vertAlign w:val="subscript"/>
              </w:rPr>
              <w:t>div</w:t>
            </w:r>
            <w:r>
              <w:rPr>
                <w:color w:val="auto"/>
                <w:sz w:val="24"/>
                <w:highlight w:val="none"/>
              </w:rPr>
              <w:t>——几何发散引起的衰减，dB；</w:t>
            </w:r>
          </w:p>
          <w:p w14:paraId="6B81807E">
            <w:pPr>
              <w:spacing w:line="360" w:lineRule="auto"/>
              <w:ind w:firstLine="480" w:firstLineChars="200"/>
              <w:rPr>
                <w:color w:val="auto"/>
                <w:sz w:val="24"/>
                <w:highlight w:val="none"/>
              </w:rPr>
            </w:pPr>
            <w:r>
              <w:rPr>
                <w:rFonts w:hint="eastAsia"/>
                <w:i/>
                <w:color w:val="auto"/>
                <w:sz w:val="24"/>
                <w:highlight w:val="none"/>
              </w:rPr>
              <w:t>A</w:t>
            </w:r>
            <w:r>
              <w:rPr>
                <w:rFonts w:hint="eastAsia"/>
                <w:i/>
                <w:color w:val="auto"/>
                <w:sz w:val="24"/>
                <w:highlight w:val="none"/>
                <w:vertAlign w:val="subscript"/>
              </w:rPr>
              <w:t>atm</w:t>
            </w:r>
            <w:r>
              <w:rPr>
                <w:color w:val="auto"/>
                <w:sz w:val="24"/>
                <w:highlight w:val="none"/>
              </w:rPr>
              <w:t>——大气吸收引起的衰减，dB；</w:t>
            </w:r>
          </w:p>
          <w:p w14:paraId="60FE04DF">
            <w:pPr>
              <w:spacing w:line="360" w:lineRule="auto"/>
              <w:ind w:firstLine="480" w:firstLineChars="200"/>
              <w:rPr>
                <w:color w:val="auto"/>
                <w:sz w:val="24"/>
                <w:highlight w:val="none"/>
              </w:rPr>
            </w:pPr>
            <w:r>
              <w:rPr>
                <w:rFonts w:hint="eastAsia"/>
                <w:i/>
                <w:color w:val="auto"/>
                <w:sz w:val="24"/>
                <w:highlight w:val="none"/>
              </w:rPr>
              <w:t>A</w:t>
            </w:r>
            <w:r>
              <w:rPr>
                <w:rFonts w:hint="eastAsia"/>
                <w:i/>
                <w:color w:val="auto"/>
                <w:sz w:val="24"/>
                <w:highlight w:val="none"/>
                <w:vertAlign w:val="subscript"/>
              </w:rPr>
              <w:t>gr</w:t>
            </w:r>
            <w:r>
              <w:rPr>
                <w:color w:val="auto"/>
                <w:sz w:val="24"/>
                <w:highlight w:val="none"/>
              </w:rPr>
              <w:t>——地面效应引起的衰减，dB；</w:t>
            </w:r>
          </w:p>
          <w:p w14:paraId="11D1F214">
            <w:pPr>
              <w:spacing w:line="360" w:lineRule="auto"/>
              <w:ind w:firstLine="480" w:firstLineChars="200"/>
              <w:rPr>
                <w:color w:val="auto"/>
                <w:sz w:val="24"/>
                <w:highlight w:val="none"/>
              </w:rPr>
            </w:pPr>
            <w:r>
              <w:rPr>
                <w:rFonts w:hint="eastAsia"/>
                <w:i/>
                <w:color w:val="auto"/>
                <w:sz w:val="24"/>
                <w:highlight w:val="none"/>
              </w:rPr>
              <w:t>A</w:t>
            </w:r>
            <w:r>
              <w:rPr>
                <w:rFonts w:hint="eastAsia"/>
                <w:i/>
                <w:color w:val="auto"/>
                <w:sz w:val="24"/>
                <w:highlight w:val="none"/>
                <w:vertAlign w:val="subscript"/>
              </w:rPr>
              <w:t>bar</w:t>
            </w:r>
            <w:r>
              <w:rPr>
                <w:color w:val="auto"/>
                <w:sz w:val="24"/>
                <w:highlight w:val="none"/>
              </w:rPr>
              <w:t>——障碍物屏蔽引起的衰减，dB；</w:t>
            </w:r>
          </w:p>
          <w:p w14:paraId="65E9A9EB">
            <w:pPr>
              <w:spacing w:line="360" w:lineRule="auto"/>
              <w:ind w:firstLine="480" w:firstLineChars="200"/>
              <w:rPr>
                <w:color w:val="auto"/>
                <w:sz w:val="24"/>
                <w:highlight w:val="none"/>
              </w:rPr>
            </w:pPr>
            <w:r>
              <w:rPr>
                <w:rFonts w:hint="eastAsia"/>
                <w:i/>
                <w:color w:val="auto"/>
                <w:sz w:val="24"/>
                <w:highlight w:val="none"/>
              </w:rPr>
              <w:t>A</w:t>
            </w:r>
            <w:r>
              <w:rPr>
                <w:rFonts w:hint="eastAsia"/>
                <w:i/>
                <w:color w:val="auto"/>
                <w:sz w:val="24"/>
                <w:highlight w:val="none"/>
                <w:vertAlign w:val="subscript"/>
              </w:rPr>
              <w:t>misc</w:t>
            </w:r>
            <w:r>
              <w:rPr>
                <w:color w:val="auto"/>
                <w:sz w:val="24"/>
                <w:highlight w:val="none"/>
              </w:rPr>
              <w:t>——其他多方面效应引起的衰减，dB</w:t>
            </w:r>
            <w:r>
              <w:rPr>
                <w:rFonts w:hint="eastAsia"/>
                <w:color w:val="auto"/>
                <w:sz w:val="24"/>
                <w:highlight w:val="none"/>
              </w:rPr>
              <w:t>。</w:t>
            </w:r>
          </w:p>
          <w:p w14:paraId="11CCF5AE">
            <w:pPr>
              <w:spacing w:line="360" w:lineRule="auto"/>
              <w:ind w:firstLine="480" w:firstLineChars="200"/>
              <w:rPr>
                <w:color w:val="auto"/>
                <w:sz w:val="24"/>
                <w:highlight w:val="none"/>
              </w:rPr>
            </w:pPr>
            <w:r>
              <w:rPr>
                <w:rFonts w:hint="eastAsia"/>
                <w:color w:val="auto"/>
                <w:sz w:val="24"/>
                <w:highlight w:val="none"/>
              </w:rPr>
              <w:t>衰减项的计算详见《环境影响评价技术导则声环境》（HJ2.4-2021）附录A中的“A.3衰减项的计算”小节内容，此处不再赘述。</w:t>
            </w:r>
          </w:p>
          <w:p w14:paraId="36B2AAD3">
            <w:pPr>
              <w:spacing w:line="360" w:lineRule="auto"/>
              <w:ind w:firstLine="480" w:firstLineChars="200"/>
              <w:rPr>
                <w:color w:val="auto"/>
                <w:sz w:val="24"/>
                <w:highlight w:val="none"/>
              </w:rPr>
            </w:pPr>
            <w:r>
              <w:rPr>
                <w:rFonts w:hint="eastAsia"/>
                <w:color w:val="auto"/>
                <w:sz w:val="24"/>
                <w:highlight w:val="none"/>
              </w:rPr>
              <w:t>（3）预测点的A声级计算</w:t>
            </w:r>
          </w:p>
          <w:p w14:paraId="60AB6131">
            <w:pPr>
              <w:spacing w:line="360" w:lineRule="auto"/>
              <w:ind w:firstLine="480" w:firstLineChars="200"/>
              <w:rPr>
                <w:color w:val="auto"/>
                <w:sz w:val="24"/>
                <w:highlight w:val="none"/>
              </w:rPr>
            </w:pPr>
            <w:r>
              <w:rPr>
                <w:rFonts w:hint="eastAsia"/>
                <w:color w:val="auto"/>
                <w:sz w:val="24"/>
                <w:highlight w:val="none"/>
              </w:rPr>
              <w:t>预测点的A声级</w:t>
            </w:r>
            <w:r>
              <w:rPr>
                <w:rFonts w:hint="eastAsia"/>
                <w:i/>
                <w:color w:val="auto"/>
                <w:sz w:val="24"/>
                <w:highlight w:val="none"/>
              </w:rPr>
              <w:t>L</w:t>
            </w:r>
            <w:r>
              <w:rPr>
                <w:rFonts w:hint="eastAsia"/>
                <w:i/>
                <w:color w:val="auto"/>
                <w:sz w:val="24"/>
                <w:highlight w:val="none"/>
                <w:vertAlign w:val="subscript"/>
              </w:rPr>
              <w:t>A</w:t>
            </w:r>
            <w:r>
              <w:rPr>
                <w:rFonts w:hint="eastAsia"/>
                <w:i/>
                <w:color w:val="auto"/>
                <w:sz w:val="24"/>
                <w:highlight w:val="none"/>
              </w:rPr>
              <w:t>(r)</w:t>
            </w:r>
            <w:r>
              <w:rPr>
                <w:rFonts w:hint="eastAsia"/>
                <w:color w:val="auto"/>
                <w:sz w:val="24"/>
                <w:highlight w:val="none"/>
              </w:rPr>
              <w:t>可按下式计算，具体如下：</w:t>
            </w:r>
          </w:p>
          <w:p w14:paraId="7B3A2209">
            <w:pPr>
              <w:spacing w:line="360" w:lineRule="auto"/>
              <w:ind w:firstLine="480" w:firstLineChars="200"/>
              <w:jc w:val="center"/>
              <w:rPr>
                <w:color w:val="auto"/>
                <w:sz w:val="24"/>
                <w:highlight w:val="none"/>
              </w:rPr>
            </w:pPr>
            <w:r>
              <w:rPr>
                <w:rFonts w:hint="eastAsia"/>
                <w:color w:val="auto"/>
                <w:sz w:val="24"/>
                <w:highlight w:val="none"/>
              </w:rPr>
              <w:drawing>
                <wp:inline distT="0" distB="0" distL="114300" distR="114300">
                  <wp:extent cx="2377440" cy="580390"/>
                  <wp:effectExtent l="0" t="0" r="3810" b="635"/>
                  <wp:docPr id="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1"/>
                          <pic:cNvPicPr>
                            <a:picLocks noChangeAspect="1"/>
                          </pic:cNvPicPr>
                        </pic:nvPicPr>
                        <pic:blipFill>
                          <a:blip r:embed="rId32"/>
                          <a:stretch>
                            <a:fillRect/>
                          </a:stretch>
                        </pic:blipFill>
                        <pic:spPr>
                          <a:xfrm>
                            <a:off x="0" y="0"/>
                            <a:ext cx="2377440" cy="580390"/>
                          </a:xfrm>
                          <a:prstGeom prst="rect">
                            <a:avLst/>
                          </a:prstGeom>
                          <a:noFill/>
                          <a:ln>
                            <a:noFill/>
                          </a:ln>
                        </pic:spPr>
                      </pic:pic>
                    </a:graphicData>
                  </a:graphic>
                </wp:inline>
              </w:drawing>
            </w:r>
          </w:p>
          <w:p w14:paraId="622CCB4E">
            <w:pPr>
              <w:spacing w:line="360" w:lineRule="auto"/>
              <w:ind w:firstLine="480" w:firstLineChars="200"/>
              <w:rPr>
                <w:color w:val="auto"/>
                <w:sz w:val="24"/>
                <w:highlight w:val="none"/>
              </w:rPr>
            </w:pPr>
            <w:r>
              <w:rPr>
                <w:rFonts w:hint="eastAsia"/>
                <w:i/>
                <w:color w:val="auto"/>
                <w:sz w:val="24"/>
                <w:highlight w:val="none"/>
              </w:rPr>
              <w:t>L</w:t>
            </w:r>
            <w:r>
              <w:rPr>
                <w:rFonts w:hint="eastAsia"/>
                <w:i/>
                <w:color w:val="auto"/>
                <w:sz w:val="24"/>
                <w:highlight w:val="none"/>
                <w:vertAlign w:val="subscript"/>
              </w:rPr>
              <w:t>pi</w:t>
            </w:r>
            <w:r>
              <w:rPr>
                <w:rFonts w:hint="eastAsia"/>
                <w:i/>
                <w:color w:val="auto"/>
                <w:sz w:val="24"/>
                <w:highlight w:val="none"/>
              </w:rPr>
              <w:t>(r)</w:t>
            </w:r>
            <w:r>
              <w:rPr>
                <w:color w:val="auto"/>
                <w:sz w:val="24"/>
                <w:highlight w:val="none"/>
              </w:rPr>
              <w:t>——</w:t>
            </w:r>
            <w:r>
              <w:rPr>
                <w:rFonts w:hint="eastAsia"/>
                <w:color w:val="auto"/>
                <w:sz w:val="24"/>
                <w:highlight w:val="none"/>
              </w:rPr>
              <w:t>预测点（r）处，第i倍频带声压级，dB；</w:t>
            </w:r>
          </w:p>
          <w:p w14:paraId="2CD363E4">
            <w:pPr>
              <w:spacing w:line="360" w:lineRule="auto"/>
              <w:ind w:firstLine="480" w:firstLineChars="200"/>
              <w:rPr>
                <w:color w:val="auto"/>
                <w:sz w:val="24"/>
                <w:highlight w:val="none"/>
              </w:rPr>
            </w:pPr>
            <w:r>
              <w:rPr>
                <w:rFonts w:hint="eastAsia"/>
                <w:i/>
                <w:color w:val="auto"/>
                <w:sz w:val="24"/>
                <w:highlight w:val="none"/>
              </w:rPr>
              <w:t>△L</w:t>
            </w:r>
            <w:r>
              <w:rPr>
                <w:rFonts w:hint="eastAsia"/>
                <w:i/>
                <w:color w:val="auto"/>
                <w:sz w:val="24"/>
                <w:highlight w:val="none"/>
                <w:vertAlign w:val="subscript"/>
              </w:rPr>
              <w:t>i</w:t>
            </w:r>
            <w:r>
              <w:rPr>
                <w:color w:val="auto"/>
                <w:sz w:val="24"/>
                <w:highlight w:val="none"/>
              </w:rPr>
              <w:t>——</w:t>
            </w:r>
            <w:r>
              <w:rPr>
                <w:rFonts w:hint="eastAsia"/>
                <w:color w:val="auto"/>
                <w:sz w:val="24"/>
                <w:highlight w:val="none"/>
              </w:rPr>
              <w:t>第i倍频带的A计权网络修正值，dB。</w:t>
            </w:r>
          </w:p>
          <w:p w14:paraId="43AA8EA8">
            <w:pPr>
              <w:spacing w:line="360" w:lineRule="auto"/>
              <w:ind w:firstLine="480" w:firstLineChars="200"/>
              <w:rPr>
                <w:color w:val="auto"/>
                <w:sz w:val="24"/>
                <w:highlight w:val="none"/>
              </w:rPr>
            </w:pPr>
            <w:r>
              <w:rPr>
                <w:color w:val="auto"/>
                <w:sz w:val="24"/>
                <w:highlight w:val="none"/>
              </w:rPr>
              <w:t>（</w:t>
            </w:r>
            <w:r>
              <w:rPr>
                <w:rFonts w:hint="eastAsia"/>
                <w:color w:val="auto"/>
                <w:sz w:val="24"/>
                <w:highlight w:val="none"/>
              </w:rPr>
              <w:t>4</w:t>
            </w:r>
            <w:r>
              <w:rPr>
                <w:color w:val="auto"/>
                <w:sz w:val="24"/>
                <w:highlight w:val="none"/>
              </w:rPr>
              <w:t>）</w:t>
            </w:r>
            <w:r>
              <w:rPr>
                <w:rFonts w:hint="eastAsia"/>
                <w:color w:val="auto"/>
                <w:sz w:val="24"/>
                <w:highlight w:val="none"/>
              </w:rPr>
              <w:t>预测点贡献值计算</w:t>
            </w:r>
          </w:p>
          <w:p w14:paraId="4619AA9C">
            <w:pPr>
              <w:spacing w:line="360" w:lineRule="auto"/>
              <w:ind w:firstLine="480" w:firstLineChars="200"/>
              <w:rPr>
                <w:color w:val="auto"/>
                <w:sz w:val="24"/>
                <w:highlight w:val="none"/>
              </w:rPr>
            </w:pPr>
            <w:r>
              <w:rPr>
                <w:color w:val="auto"/>
                <w:sz w:val="24"/>
                <w:highlight w:val="none"/>
              </w:rPr>
              <w:t>设第</w:t>
            </w:r>
            <w:r>
              <w:rPr>
                <w:color w:val="auto"/>
                <w:sz w:val="24"/>
                <w:highlight w:val="none"/>
              </w:rPr>
              <w:drawing>
                <wp:inline distT="0" distB="0" distL="114300" distR="114300">
                  <wp:extent cx="87630" cy="158750"/>
                  <wp:effectExtent l="0" t="0" r="0" b="0"/>
                  <wp:docPr id="2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2"/>
                          <pic:cNvPicPr>
                            <a:picLocks noChangeAspect="1"/>
                          </pic:cNvPicPr>
                        </pic:nvPicPr>
                        <pic:blipFill>
                          <a:blip r:embed="rId33"/>
                          <a:stretch>
                            <a:fillRect/>
                          </a:stretch>
                        </pic:blipFill>
                        <pic:spPr>
                          <a:xfrm>
                            <a:off x="0" y="0"/>
                            <a:ext cx="87630" cy="158750"/>
                          </a:xfrm>
                          <a:prstGeom prst="rect">
                            <a:avLst/>
                          </a:prstGeom>
                          <a:noFill/>
                          <a:ln>
                            <a:noFill/>
                          </a:ln>
                        </pic:spPr>
                      </pic:pic>
                    </a:graphicData>
                  </a:graphic>
                </wp:inline>
              </w:drawing>
            </w:r>
            <w:r>
              <w:rPr>
                <w:color w:val="auto"/>
                <w:sz w:val="24"/>
                <w:highlight w:val="none"/>
              </w:rPr>
              <w:t>个室外声源在预测点产生的A声级为</w:t>
            </w:r>
            <w:r>
              <w:rPr>
                <w:color w:val="auto"/>
                <w:sz w:val="24"/>
                <w:highlight w:val="none"/>
              </w:rPr>
              <w:drawing>
                <wp:inline distT="0" distB="0" distL="114300" distR="114300">
                  <wp:extent cx="222885" cy="182880"/>
                  <wp:effectExtent l="0" t="0" r="5715" b="0"/>
                  <wp:docPr id="2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
                          <pic:cNvPicPr>
                            <a:picLocks noChangeAspect="1"/>
                          </pic:cNvPicPr>
                        </pic:nvPicPr>
                        <pic:blipFill>
                          <a:blip r:embed="rId34"/>
                          <a:stretch>
                            <a:fillRect/>
                          </a:stretch>
                        </pic:blipFill>
                        <pic:spPr>
                          <a:xfrm>
                            <a:off x="0" y="0"/>
                            <a:ext cx="222885" cy="182880"/>
                          </a:xfrm>
                          <a:prstGeom prst="rect">
                            <a:avLst/>
                          </a:prstGeom>
                          <a:noFill/>
                          <a:ln>
                            <a:noFill/>
                          </a:ln>
                        </pic:spPr>
                      </pic:pic>
                    </a:graphicData>
                  </a:graphic>
                </wp:inline>
              </w:drawing>
            </w:r>
            <w:r>
              <w:rPr>
                <w:color w:val="auto"/>
                <w:sz w:val="24"/>
                <w:highlight w:val="none"/>
              </w:rPr>
              <w:t>，在</w:t>
            </w:r>
            <w:r>
              <w:rPr>
                <w:color w:val="auto"/>
                <w:sz w:val="24"/>
                <w:highlight w:val="none"/>
              </w:rPr>
              <w:drawing>
                <wp:inline distT="0" distB="0" distL="114300" distR="114300">
                  <wp:extent cx="142875" cy="158750"/>
                  <wp:effectExtent l="0" t="0" r="0" b="0"/>
                  <wp:docPr id="2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pic:cNvPicPr>
                            <a:picLocks noChangeAspect="1"/>
                          </pic:cNvPicPr>
                        </pic:nvPicPr>
                        <pic:blipFill>
                          <a:blip r:embed="rId35"/>
                          <a:stretch>
                            <a:fillRect/>
                          </a:stretch>
                        </pic:blipFill>
                        <pic:spPr>
                          <a:xfrm>
                            <a:off x="0" y="0"/>
                            <a:ext cx="142875" cy="158750"/>
                          </a:xfrm>
                          <a:prstGeom prst="rect">
                            <a:avLst/>
                          </a:prstGeom>
                          <a:noFill/>
                          <a:ln>
                            <a:noFill/>
                          </a:ln>
                        </pic:spPr>
                      </pic:pic>
                    </a:graphicData>
                  </a:graphic>
                </wp:inline>
              </w:drawing>
            </w:r>
            <w:r>
              <w:rPr>
                <w:color w:val="auto"/>
                <w:sz w:val="24"/>
                <w:highlight w:val="none"/>
              </w:rPr>
              <w:t>时间内该声源工作时间为</w:t>
            </w:r>
            <w:r>
              <w:rPr>
                <w:color w:val="auto"/>
                <w:sz w:val="24"/>
                <w:highlight w:val="none"/>
              </w:rPr>
              <w:drawing>
                <wp:inline distT="0" distB="0" distL="114300" distR="114300">
                  <wp:extent cx="111125" cy="151130"/>
                  <wp:effectExtent l="0" t="0" r="0" b="0"/>
                  <wp:docPr id="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pic:cNvPicPr>
                            <a:picLocks noChangeAspect="1"/>
                          </pic:cNvPicPr>
                        </pic:nvPicPr>
                        <pic:blipFill>
                          <a:blip r:embed="rId36"/>
                          <a:stretch>
                            <a:fillRect/>
                          </a:stretch>
                        </pic:blipFill>
                        <pic:spPr>
                          <a:xfrm>
                            <a:off x="0" y="0"/>
                            <a:ext cx="111125" cy="151130"/>
                          </a:xfrm>
                          <a:prstGeom prst="rect">
                            <a:avLst/>
                          </a:prstGeom>
                          <a:noFill/>
                          <a:ln>
                            <a:noFill/>
                          </a:ln>
                        </pic:spPr>
                      </pic:pic>
                    </a:graphicData>
                  </a:graphic>
                </wp:inline>
              </w:drawing>
            </w:r>
            <w:r>
              <w:rPr>
                <w:color w:val="auto"/>
                <w:sz w:val="24"/>
                <w:highlight w:val="none"/>
              </w:rPr>
              <w:t>；第</w:t>
            </w:r>
            <w:r>
              <w:rPr>
                <w:color w:val="auto"/>
                <w:sz w:val="24"/>
                <w:highlight w:val="none"/>
              </w:rPr>
              <w:drawing>
                <wp:inline distT="0" distB="0" distL="114300" distR="114300">
                  <wp:extent cx="127000" cy="191135"/>
                  <wp:effectExtent l="0" t="0" r="0" b="0"/>
                  <wp:docPr id="3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6"/>
                          <pic:cNvPicPr>
                            <a:picLocks noChangeAspect="1"/>
                          </pic:cNvPicPr>
                        </pic:nvPicPr>
                        <pic:blipFill>
                          <a:blip r:embed="rId37"/>
                          <a:stretch>
                            <a:fillRect/>
                          </a:stretch>
                        </pic:blipFill>
                        <pic:spPr>
                          <a:xfrm>
                            <a:off x="0" y="0"/>
                            <a:ext cx="127000" cy="191135"/>
                          </a:xfrm>
                          <a:prstGeom prst="rect">
                            <a:avLst/>
                          </a:prstGeom>
                          <a:noFill/>
                          <a:ln>
                            <a:noFill/>
                          </a:ln>
                        </pic:spPr>
                      </pic:pic>
                    </a:graphicData>
                  </a:graphic>
                </wp:inline>
              </w:drawing>
            </w:r>
            <w:r>
              <w:rPr>
                <w:color w:val="auto"/>
                <w:sz w:val="24"/>
                <w:highlight w:val="none"/>
              </w:rPr>
              <w:t>个等效室外声源在预测点产生的A声级为</w:t>
            </w:r>
            <w:r>
              <w:rPr>
                <w:color w:val="auto"/>
                <w:sz w:val="24"/>
                <w:highlight w:val="none"/>
              </w:rPr>
              <w:drawing>
                <wp:inline distT="0" distB="0" distL="114300" distR="114300">
                  <wp:extent cx="230505" cy="191135"/>
                  <wp:effectExtent l="0" t="0" r="0" b="0"/>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pic:cNvPicPr>
                            <a:picLocks noChangeAspect="1"/>
                          </pic:cNvPicPr>
                        </pic:nvPicPr>
                        <pic:blipFill>
                          <a:blip r:embed="rId38"/>
                          <a:stretch>
                            <a:fillRect/>
                          </a:stretch>
                        </pic:blipFill>
                        <pic:spPr>
                          <a:xfrm>
                            <a:off x="0" y="0"/>
                            <a:ext cx="230505" cy="191135"/>
                          </a:xfrm>
                          <a:prstGeom prst="rect">
                            <a:avLst/>
                          </a:prstGeom>
                          <a:noFill/>
                          <a:ln>
                            <a:noFill/>
                          </a:ln>
                        </pic:spPr>
                      </pic:pic>
                    </a:graphicData>
                  </a:graphic>
                </wp:inline>
              </w:drawing>
            </w:r>
            <w:r>
              <w:rPr>
                <w:color w:val="auto"/>
                <w:sz w:val="24"/>
                <w:highlight w:val="none"/>
              </w:rPr>
              <w:t>，在</w:t>
            </w:r>
            <w:r>
              <w:rPr>
                <w:color w:val="auto"/>
                <w:sz w:val="24"/>
                <w:highlight w:val="none"/>
              </w:rPr>
              <w:drawing>
                <wp:inline distT="0" distB="0" distL="114300" distR="114300">
                  <wp:extent cx="142875" cy="158750"/>
                  <wp:effectExtent l="0" t="0" r="0" b="0"/>
                  <wp:docPr id="2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8"/>
                          <pic:cNvPicPr>
                            <a:picLocks noChangeAspect="1"/>
                          </pic:cNvPicPr>
                        </pic:nvPicPr>
                        <pic:blipFill>
                          <a:blip r:embed="rId35"/>
                          <a:stretch>
                            <a:fillRect/>
                          </a:stretch>
                        </pic:blipFill>
                        <pic:spPr>
                          <a:xfrm>
                            <a:off x="0" y="0"/>
                            <a:ext cx="142875" cy="158750"/>
                          </a:xfrm>
                          <a:prstGeom prst="rect">
                            <a:avLst/>
                          </a:prstGeom>
                          <a:noFill/>
                          <a:ln>
                            <a:noFill/>
                          </a:ln>
                        </pic:spPr>
                      </pic:pic>
                    </a:graphicData>
                  </a:graphic>
                </wp:inline>
              </w:drawing>
            </w:r>
            <w:r>
              <w:rPr>
                <w:color w:val="auto"/>
                <w:sz w:val="24"/>
                <w:highlight w:val="none"/>
              </w:rPr>
              <w:t>时间内该声源工作时间为</w:t>
            </w:r>
            <w:r>
              <w:rPr>
                <w:color w:val="auto"/>
                <w:sz w:val="24"/>
                <w:highlight w:val="none"/>
              </w:rPr>
              <w:drawing>
                <wp:inline distT="0" distB="0" distL="114300" distR="114300">
                  <wp:extent cx="111125" cy="15875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39"/>
                          <a:stretch>
                            <a:fillRect/>
                          </a:stretch>
                        </pic:blipFill>
                        <pic:spPr>
                          <a:xfrm>
                            <a:off x="0" y="0"/>
                            <a:ext cx="111125" cy="158750"/>
                          </a:xfrm>
                          <a:prstGeom prst="rect">
                            <a:avLst/>
                          </a:prstGeom>
                          <a:noFill/>
                          <a:ln>
                            <a:noFill/>
                          </a:ln>
                        </pic:spPr>
                      </pic:pic>
                    </a:graphicData>
                  </a:graphic>
                </wp:inline>
              </w:drawing>
            </w:r>
            <w:r>
              <w:rPr>
                <w:color w:val="auto"/>
                <w:sz w:val="24"/>
                <w:highlight w:val="none"/>
              </w:rPr>
              <w:t>，则拟建工程声源对预测点产生的贡献值（</w:t>
            </w:r>
            <w:r>
              <w:rPr>
                <w:color w:val="auto"/>
                <w:sz w:val="24"/>
                <w:highlight w:val="none"/>
              </w:rPr>
              <w:drawing>
                <wp:inline distT="0" distB="0" distL="114300" distR="114300">
                  <wp:extent cx="278130" cy="19113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40"/>
                          <a:stretch>
                            <a:fillRect/>
                          </a:stretch>
                        </pic:blipFill>
                        <pic:spPr>
                          <a:xfrm>
                            <a:off x="0" y="0"/>
                            <a:ext cx="278130" cy="191135"/>
                          </a:xfrm>
                          <a:prstGeom prst="rect">
                            <a:avLst/>
                          </a:prstGeom>
                          <a:noFill/>
                          <a:ln>
                            <a:noFill/>
                          </a:ln>
                        </pic:spPr>
                      </pic:pic>
                    </a:graphicData>
                  </a:graphic>
                </wp:inline>
              </w:drawing>
            </w:r>
            <w:r>
              <w:rPr>
                <w:color w:val="auto"/>
                <w:sz w:val="24"/>
                <w:highlight w:val="none"/>
              </w:rPr>
              <w:t>）为：</w:t>
            </w:r>
          </w:p>
          <w:p w14:paraId="13362E50">
            <w:pPr>
              <w:spacing w:line="360" w:lineRule="auto"/>
              <w:ind w:firstLine="480" w:firstLineChars="200"/>
              <w:jc w:val="center"/>
              <w:rPr>
                <w:color w:val="auto"/>
                <w:sz w:val="24"/>
                <w:highlight w:val="none"/>
              </w:rPr>
            </w:pPr>
            <w:r>
              <w:rPr>
                <w:color w:val="auto"/>
                <w:sz w:val="24"/>
                <w:highlight w:val="none"/>
              </w:rPr>
              <w:drawing>
                <wp:inline distT="0" distB="0" distL="114300" distR="114300">
                  <wp:extent cx="2504440" cy="485140"/>
                  <wp:effectExtent l="0" t="0" r="0" b="0"/>
                  <wp:docPr id="2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1"/>
                          <pic:cNvPicPr>
                            <a:picLocks noChangeAspect="1"/>
                          </pic:cNvPicPr>
                        </pic:nvPicPr>
                        <pic:blipFill>
                          <a:blip r:embed="rId41"/>
                          <a:stretch>
                            <a:fillRect/>
                          </a:stretch>
                        </pic:blipFill>
                        <pic:spPr>
                          <a:xfrm>
                            <a:off x="0" y="0"/>
                            <a:ext cx="2504440" cy="485140"/>
                          </a:xfrm>
                          <a:prstGeom prst="rect">
                            <a:avLst/>
                          </a:prstGeom>
                          <a:noFill/>
                          <a:ln>
                            <a:noFill/>
                          </a:ln>
                        </pic:spPr>
                      </pic:pic>
                    </a:graphicData>
                  </a:graphic>
                </wp:inline>
              </w:drawing>
            </w:r>
          </w:p>
          <w:p w14:paraId="3CDFD187">
            <w:pPr>
              <w:spacing w:line="360" w:lineRule="auto"/>
              <w:ind w:firstLine="480" w:firstLineChars="200"/>
              <w:rPr>
                <w:color w:val="auto"/>
                <w:sz w:val="24"/>
                <w:highlight w:val="none"/>
              </w:rPr>
            </w:pPr>
            <w:r>
              <w:rPr>
                <w:color w:val="auto"/>
                <w:sz w:val="24"/>
                <w:highlight w:val="none"/>
              </w:rPr>
              <w:t>式中：</w:t>
            </w:r>
          </w:p>
          <w:p w14:paraId="4AE1F193">
            <w:pPr>
              <w:spacing w:line="360" w:lineRule="auto"/>
              <w:ind w:firstLine="480" w:firstLineChars="200"/>
              <w:rPr>
                <w:color w:val="auto"/>
                <w:sz w:val="24"/>
                <w:highlight w:val="none"/>
              </w:rPr>
            </w:pPr>
            <w:r>
              <w:rPr>
                <w:i/>
                <w:iCs/>
                <w:color w:val="auto"/>
                <w:sz w:val="24"/>
                <w:highlight w:val="none"/>
              </w:rPr>
              <w:t>L</w:t>
            </w:r>
            <w:r>
              <w:rPr>
                <w:color w:val="auto"/>
                <w:sz w:val="24"/>
                <w:highlight w:val="none"/>
                <w:vertAlign w:val="subscript"/>
              </w:rPr>
              <w:t>eqg</w:t>
            </w:r>
            <w:r>
              <w:rPr>
                <w:color w:val="auto"/>
                <w:sz w:val="24"/>
                <w:highlight w:val="none"/>
              </w:rPr>
              <w:t>——建设项目声源在预测点产生的噪声贡献值，dB；</w:t>
            </w:r>
          </w:p>
          <w:p w14:paraId="5CE6182E">
            <w:pPr>
              <w:spacing w:line="360" w:lineRule="auto"/>
              <w:ind w:firstLine="480" w:firstLineChars="200"/>
              <w:rPr>
                <w:color w:val="auto"/>
                <w:sz w:val="24"/>
                <w:highlight w:val="none"/>
              </w:rPr>
            </w:pPr>
            <w:r>
              <w:rPr>
                <w:i/>
                <w:iCs/>
                <w:color w:val="auto"/>
                <w:sz w:val="24"/>
                <w:highlight w:val="none"/>
              </w:rPr>
              <w:t>T</w:t>
            </w:r>
            <w:r>
              <w:rPr>
                <w:color w:val="auto"/>
                <w:sz w:val="24"/>
                <w:highlight w:val="none"/>
              </w:rPr>
              <w:t>——用于计算等效声级的时间，s；</w:t>
            </w:r>
          </w:p>
          <w:p w14:paraId="0AF43377">
            <w:pPr>
              <w:spacing w:line="360" w:lineRule="auto"/>
              <w:ind w:firstLine="480" w:firstLineChars="200"/>
              <w:rPr>
                <w:color w:val="auto"/>
                <w:sz w:val="24"/>
                <w:highlight w:val="none"/>
              </w:rPr>
            </w:pPr>
            <w:r>
              <w:rPr>
                <w:i/>
                <w:iCs/>
                <w:color w:val="auto"/>
                <w:sz w:val="24"/>
                <w:highlight w:val="none"/>
              </w:rPr>
              <w:t>N</w:t>
            </w:r>
            <w:r>
              <w:rPr>
                <w:color w:val="auto"/>
                <w:sz w:val="24"/>
                <w:highlight w:val="none"/>
              </w:rPr>
              <w:t>——室外声源个数；</w:t>
            </w:r>
          </w:p>
          <w:p w14:paraId="0A44ADE7">
            <w:pPr>
              <w:spacing w:line="360" w:lineRule="auto"/>
              <w:ind w:firstLine="480" w:firstLineChars="200"/>
              <w:rPr>
                <w:color w:val="auto"/>
                <w:sz w:val="24"/>
                <w:highlight w:val="none"/>
              </w:rPr>
            </w:pPr>
            <w:r>
              <w:rPr>
                <w:i/>
                <w:iCs/>
                <w:color w:val="auto"/>
                <w:sz w:val="24"/>
                <w:highlight w:val="none"/>
              </w:rPr>
              <w:t>t</w:t>
            </w:r>
            <w:r>
              <w:rPr>
                <w:i/>
                <w:iCs/>
                <w:color w:val="auto"/>
                <w:sz w:val="24"/>
                <w:highlight w:val="none"/>
                <w:vertAlign w:val="subscript"/>
              </w:rPr>
              <w:t>i</w:t>
            </w:r>
            <w:r>
              <w:rPr>
                <w:color w:val="auto"/>
                <w:sz w:val="24"/>
                <w:highlight w:val="none"/>
              </w:rPr>
              <w:t>——在</w:t>
            </w:r>
            <w:r>
              <w:rPr>
                <w:i/>
                <w:iCs/>
                <w:color w:val="auto"/>
                <w:sz w:val="24"/>
                <w:highlight w:val="none"/>
              </w:rPr>
              <w:t>T</w:t>
            </w:r>
            <w:r>
              <w:rPr>
                <w:color w:val="auto"/>
                <w:sz w:val="24"/>
                <w:highlight w:val="none"/>
              </w:rPr>
              <w:t>时间内</w:t>
            </w:r>
            <w:r>
              <w:rPr>
                <w:i/>
                <w:iCs/>
                <w:color w:val="auto"/>
                <w:sz w:val="24"/>
                <w:highlight w:val="none"/>
              </w:rPr>
              <w:t>i</w:t>
            </w:r>
            <w:r>
              <w:rPr>
                <w:color w:val="auto"/>
                <w:sz w:val="24"/>
                <w:highlight w:val="none"/>
              </w:rPr>
              <w:t>声源工作时间，s；</w:t>
            </w:r>
          </w:p>
          <w:p w14:paraId="6617A608">
            <w:pPr>
              <w:spacing w:line="360" w:lineRule="auto"/>
              <w:ind w:firstLine="480" w:firstLineChars="200"/>
              <w:rPr>
                <w:color w:val="auto"/>
                <w:sz w:val="24"/>
                <w:highlight w:val="none"/>
              </w:rPr>
            </w:pPr>
            <w:r>
              <w:rPr>
                <w:i/>
                <w:iCs/>
                <w:color w:val="auto"/>
                <w:sz w:val="24"/>
                <w:highlight w:val="none"/>
              </w:rPr>
              <w:t>M</w:t>
            </w:r>
            <w:r>
              <w:rPr>
                <w:color w:val="auto"/>
                <w:sz w:val="24"/>
                <w:highlight w:val="none"/>
              </w:rPr>
              <w:t>——等效室外声源个数；</w:t>
            </w:r>
          </w:p>
          <w:p w14:paraId="239F8558">
            <w:pPr>
              <w:spacing w:line="360" w:lineRule="auto"/>
              <w:ind w:firstLine="480" w:firstLineChars="200"/>
              <w:rPr>
                <w:rFonts w:hint="default" w:ascii="Times New Roman" w:hAnsi="Times New Roman" w:eastAsia="宋体" w:cs="Times New Roman"/>
                <w:b/>
                <w:bCs/>
                <w:color w:val="auto"/>
                <w:kern w:val="0"/>
                <w:sz w:val="24"/>
                <w:szCs w:val="24"/>
                <w:highlight w:val="none"/>
                <w:lang w:val="en-US" w:eastAsia="zh-CN" w:bidi="ar"/>
              </w:rPr>
            </w:pPr>
            <w:r>
              <w:rPr>
                <w:i/>
                <w:iCs/>
                <w:color w:val="auto"/>
                <w:sz w:val="24"/>
                <w:highlight w:val="none"/>
              </w:rPr>
              <w:t>t</w:t>
            </w:r>
            <w:r>
              <w:rPr>
                <w:i/>
                <w:iCs/>
                <w:color w:val="auto"/>
                <w:sz w:val="24"/>
                <w:highlight w:val="none"/>
                <w:vertAlign w:val="subscript"/>
              </w:rPr>
              <w:t>j</w:t>
            </w:r>
            <w:r>
              <w:rPr>
                <w:color w:val="auto"/>
                <w:sz w:val="24"/>
                <w:highlight w:val="none"/>
              </w:rPr>
              <w:t>——在</w:t>
            </w:r>
            <w:r>
              <w:rPr>
                <w:i/>
                <w:iCs/>
                <w:color w:val="auto"/>
                <w:sz w:val="24"/>
                <w:highlight w:val="none"/>
              </w:rPr>
              <w:t>T</w:t>
            </w:r>
            <w:r>
              <w:rPr>
                <w:color w:val="auto"/>
                <w:sz w:val="24"/>
                <w:highlight w:val="none"/>
              </w:rPr>
              <w:t>时间内</w:t>
            </w:r>
            <w:r>
              <w:rPr>
                <w:i/>
                <w:iCs/>
                <w:color w:val="auto"/>
                <w:sz w:val="24"/>
                <w:highlight w:val="none"/>
              </w:rPr>
              <w:t>j</w:t>
            </w:r>
            <w:r>
              <w:rPr>
                <w:color w:val="auto"/>
                <w:sz w:val="24"/>
                <w:highlight w:val="none"/>
              </w:rPr>
              <w:t>声源工作时间，s。</w:t>
            </w:r>
          </w:p>
          <w:p w14:paraId="3ACAFEEC">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项目在设备选型过程中充分考虑了声学指标，尽量选用振动小、噪声低的设备，墙体在土建施工中采用隔声、吸音材料处理</w:t>
            </w:r>
            <w:r>
              <w:rPr>
                <w:rFonts w:hint="eastAsia" w:cs="Times New Roman"/>
                <w:color w:val="auto"/>
                <w:sz w:val="24"/>
                <w:szCs w:val="24"/>
                <w:lang w:eastAsia="zh-CN"/>
              </w:rPr>
              <w:t>，在</w:t>
            </w:r>
            <w:r>
              <w:rPr>
                <w:rFonts w:hint="default" w:ascii="Times New Roman" w:hAnsi="Times New Roman" w:cs="Times New Roman"/>
                <w:color w:val="auto"/>
                <w:sz w:val="24"/>
                <w:szCs w:val="24"/>
              </w:rPr>
              <w:t>设备的设计安装中采用了一系列减振降噪措施，墙体的隔声、吸音效果较好，</w:t>
            </w:r>
            <w:r>
              <w:rPr>
                <w:rFonts w:hint="default" w:ascii="Times New Roman" w:hAnsi="Times New Roman" w:cs="Times New Roman"/>
                <w:color w:val="auto"/>
                <w:sz w:val="24"/>
                <w:szCs w:val="24"/>
                <w:lang w:eastAsia="zh-CN"/>
              </w:rPr>
              <w:t>本项目</w:t>
            </w:r>
            <w:r>
              <w:rPr>
                <w:rFonts w:hint="default" w:ascii="Times New Roman" w:hAnsi="Times New Roman" w:cs="Times New Roman"/>
                <w:color w:val="auto"/>
                <w:sz w:val="24"/>
                <w:szCs w:val="24"/>
              </w:rPr>
              <w:t>墙体起到声屏障作用。预测结果见下表。</w:t>
            </w:r>
          </w:p>
          <w:p w14:paraId="6A2D55B5">
            <w:pPr>
              <w:pStyle w:val="38"/>
              <w:bidi w:val="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表4-</w:t>
            </w:r>
            <w:r>
              <w:rPr>
                <w:rFonts w:hint="default" w:ascii="Times New Roman" w:hAnsi="Times New Roman" w:cs="Times New Roman"/>
                <w:color w:val="auto"/>
                <w:sz w:val="21"/>
                <w:szCs w:val="21"/>
                <w:lang w:val="en-US" w:eastAsia="zh-CN"/>
              </w:rPr>
              <w:t>1</w:t>
            </w:r>
            <w:r>
              <w:rPr>
                <w:rFonts w:hint="eastAsia" w:cs="Times New Roman"/>
                <w:color w:val="auto"/>
                <w:sz w:val="21"/>
                <w:szCs w:val="21"/>
                <w:lang w:val="en-US" w:eastAsia="zh-CN"/>
              </w:rPr>
              <w:t>4</w:t>
            </w:r>
            <w:r>
              <w:rPr>
                <w:rFonts w:hint="default" w:ascii="Times New Roman" w:hAnsi="Times New Roman" w:cs="Times New Roman"/>
                <w:color w:val="auto"/>
                <w:sz w:val="21"/>
                <w:szCs w:val="21"/>
              </w:rPr>
              <w:t xml:space="preserve">  环境噪声影响预测评价结果  单位：dB(A)</w:t>
            </w:r>
          </w:p>
          <w:tbl>
            <w:tblPr>
              <w:tblStyle w:val="31"/>
              <w:tblW w:w="843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08"/>
              <w:gridCol w:w="1497"/>
              <w:gridCol w:w="1024"/>
              <w:gridCol w:w="1029"/>
              <w:gridCol w:w="1030"/>
              <w:gridCol w:w="1520"/>
              <w:gridCol w:w="1228"/>
            </w:tblGrid>
            <w:tr w14:paraId="52CF1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1" w:hRule="atLeast"/>
                <w:jc w:val="center"/>
              </w:trPr>
              <w:tc>
                <w:tcPr>
                  <w:tcW w:w="1108" w:type="dxa"/>
                  <w:vMerge w:val="restart"/>
                  <w:tcBorders>
                    <w:tl2br w:val="nil"/>
                    <w:tr2bl w:val="nil"/>
                  </w:tcBorders>
                  <w:noWrap w:val="0"/>
                  <w:vAlign w:val="center"/>
                </w:tcPr>
                <w:p w14:paraId="34B98F5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预测点类型</w:t>
                  </w:r>
                </w:p>
              </w:tc>
              <w:tc>
                <w:tcPr>
                  <w:tcW w:w="1497" w:type="dxa"/>
                  <w:vMerge w:val="restart"/>
                  <w:tcBorders>
                    <w:tl2br w:val="nil"/>
                    <w:tr2bl w:val="nil"/>
                  </w:tcBorders>
                  <w:noWrap w:val="0"/>
                  <w:vAlign w:val="center"/>
                </w:tcPr>
                <w:p w14:paraId="46F74EF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预测点名称</w:t>
                  </w:r>
                </w:p>
              </w:tc>
              <w:tc>
                <w:tcPr>
                  <w:tcW w:w="1024" w:type="dxa"/>
                  <w:tcBorders>
                    <w:tl2br w:val="nil"/>
                    <w:tr2bl w:val="nil"/>
                  </w:tcBorders>
                  <w:noWrap w:val="0"/>
                  <w:vAlign w:val="center"/>
                </w:tcPr>
                <w:p w14:paraId="3A48CDF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贡献</w:t>
                  </w:r>
                  <w:r>
                    <w:rPr>
                      <w:rFonts w:hint="default" w:ascii="Times New Roman" w:hAnsi="Times New Roman" w:cs="Times New Roman"/>
                      <w:b/>
                      <w:bCs/>
                      <w:color w:val="auto"/>
                      <w:lang w:val="en-US" w:eastAsia="zh-CN"/>
                    </w:rPr>
                    <w:t>值</w:t>
                  </w:r>
                </w:p>
              </w:tc>
              <w:tc>
                <w:tcPr>
                  <w:tcW w:w="1029" w:type="dxa"/>
                  <w:tcBorders>
                    <w:tl2br w:val="nil"/>
                    <w:tr2bl w:val="nil"/>
                  </w:tcBorders>
                  <w:noWrap w:val="0"/>
                  <w:vAlign w:val="center"/>
                </w:tcPr>
                <w:p w14:paraId="4A2CB8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背景值</w:t>
                  </w:r>
                </w:p>
              </w:tc>
              <w:tc>
                <w:tcPr>
                  <w:tcW w:w="1030" w:type="dxa"/>
                  <w:tcBorders>
                    <w:tl2br w:val="nil"/>
                    <w:tr2bl w:val="nil"/>
                  </w:tcBorders>
                  <w:noWrap w:val="0"/>
                  <w:vAlign w:val="center"/>
                </w:tcPr>
                <w:p w14:paraId="14F393E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叠加值</w:t>
                  </w:r>
                </w:p>
              </w:tc>
              <w:tc>
                <w:tcPr>
                  <w:tcW w:w="1520" w:type="dxa"/>
                  <w:tcBorders>
                    <w:tl2br w:val="nil"/>
                    <w:tr2bl w:val="nil"/>
                  </w:tcBorders>
                  <w:noWrap w:val="0"/>
                  <w:vAlign w:val="center"/>
                </w:tcPr>
                <w:p w14:paraId="7163360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标准</w:t>
                  </w:r>
                  <w:r>
                    <w:rPr>
                      <w:rFonts w:hint="default" w:ascii="Times New Roman" w:hAnsi="Times New Roman" w:cs="Times New Roman"/>
                      <w:b/>
                      <w:bCs/>
                      <w:color w:val="auto"/>
                      <w:lang w:val="en-US" w:eastAsia="zh-CN"/>
                    </w:rPr>
                    <w:t>值</w:t>
                  </w:r>
                </w:p>
              </w:tc>
              <w:tc>
                <w:tcPr>
                  <w:tcW w:w="1228" w:type="dxa"/>
                  <w:vMerge w:val="restart"/>
                  <w:tcBorders>
                    <w:tl2br w:val="nil"/>
                    <w:tr2bl w:val="nil"/>
                  </w:tcBorders>
                  <w:noWrap w:val="0"/>
                  <w:vAlign w:val="center"/>
                </w:tcPr>
                <w:p w14:paraId="4D0CF8E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b/>
                      <w:bCs/>
                      <w:color w:val="auto"/>
                      <w:lang w:val="en-US" w:eastAsia="zh-CN"/>
                    </w:rPr>
                    <w:t>达标情况</w:t>
                  </w:r>
                </w:p>
              </w:tc>
            </w:tr>
            <w:tr w14:paraId="350F3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1" w:hRule="atLeast"/>
                <w:jc w:val="center"/>
              </w:trPr>
              <w:tc>
                <w:tcPr>
                  <w:tcW w:w="1108" w:type="dxa"/>
                  <w:vMerge w:val="continue"/>
                  <w:tcBorders>
                    <w:tl2br w:val="nil"/>
                    <w:tr2bl w:val="nil"/>
                  </w:tcBorders>
                  <w:noWrap w:val="0"/>
                  <w:vAlign w:val="center"/>
                </w:tcPr>
                <w:p w14:paraId="6BA9598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p>
              </w:tc>
              <w:tc>
                <w:tcPr>
                  <w:tcW w:w="1497" w:type="dxa"/>
                  <w:vMerge w:val="continue"/>
                  <w:tcBorders>
                    <w:tl2br w:val="nil"/>
                    <w:tr2bl w:val="nil"/>
                  </w:tcBorders>
                  <w:noWrap w:val="0"/>
                  <w:vAlign w:val="center"/>
                </w:tcPr>
                <w:p w14:paraId="31AC1AB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p>
              </w:tc>
              <w:tc>
                <w:tcPr>
                  <w:tcW w:w="1024" w:type="dxa"/>
                  <w:tcBorders>
                    <w:tl2br w:val="nil"/>
                    <w:tr2bl w:val="nil"/>
                  </w:tcBorders>
                  <w:noWrap w:val="0"/>
                  <w:vAlign w:val="center"/>
                </w:tcPr>
                <w:p w14:paraId="42DDB09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昼间</w:t>
                  </w:r>
                </w:p>
              </w:tc>
              <w:tc>
                <w:tcPr>
                  <w:tcW w:w="1029" w:type="dxa"/>
                  <w:tcBorders>
                    <w:tl2br w:val="nil"/>
                    <w:tr2bl w:val="nil"/>
                  </w:tcBorders>
                  <w:noWrap w:val="0"/>
                  <w:vAlign w:val="center"/>
                </w:tcPr>
                <w:p w14:paraId="6C52B1A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昼间</w:t>
                  </w:r>
                </w:p>
              </w:tc>
              <w:tc>
                <w:tcPr>
                  <w:tcW w:w="1030" w:type="dxa"/>
                  <w:tcBorders>
                    <w:tl2br w:val="nil"/>
                    <w:tr2bl w:val="nil"/>
                  </w:tcBorders>
                  <w:noWrap w:val="0"/>
                  <w:vAlign w:val="center"/>
                </w:tcPr>
                <w:p w14:paraId="00A92E9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昼间</w:t>
                  </w:r>
                </w:p>
              </w:tc>
              <w:tc>
                <w:tcPr>
                  <w:tcW w:w="1520" w:type="dxa"/>
                  <w:tcBorders>
                    <w:tl2br w:val="nil"/>
                    <w:tr2bl w:val="nil"/>
                  </w:tcBorders>
                  <w:noWrap w:val="0"/>
                  <w:vAlign w:val="center"/>
                </w:tcPr>
                <w:p w14:paraId="43BEB14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lang w:val="en-US" w:eastAsia="zh-CN"/>
                    </w:rPr>
                  </w:pPr>
                  <w:r>
                    <w:rPr>
                      <w:rFonts w:hint="default" w:ascii="Times New Roman" w:hAnsi="Times New Roman" w:cs="Times New Roman"/>
                      <w:b/>
                      <w:bCs/>
                      <w:color w:val="auto"/>
                      <w:lang w:val="en-US" w:eastAsia="zh-CN"/>
                    </w:rPr>
                    <w:t>昼间</w:t>
                  </w:r>
                </w:p>
              </w:tc>
              <w:tc>
                <w:tcPr>
                  <w:tcW w:w="1228" w:type="dxa"/>
                  <w:vMerge w:val="continue"/>
                  <w:tcBorders>
                    <w:tl2br w:val="nil"/>
                    <w:tr2bl w:val="nil"/>
                  </w:tcBorders>
                  <w:noWrap w:val="0"/>
                  <w:vAlign w:val="center"/>
                </w:tcPr>
                <w:p w14:paraId="024215A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p>
              </w:tc>
            </w:tr>
            <w:tr w14:paraId="0FDA2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1" w:hRule="atLeast"/>
                <w:jc w:val="center"/>
              </w:trPr>
              <w:tc>
                <w:tcPr>
                  <w:tcW w:w="1108" w:type="dxa"/>
                  <w:vMerge w:val="restart"/>
                  <w:tcBorders>
                    <w:tl2br w:val="nil"/>
                    <w:tr2bl w:val="nil"/>
                  </w:tcBorders>
                  <w:noWrap w:val="0"/>
                  <w:vAlign w:val="center"/>
                </w:tcPr>
                <w:p w14:paraId="459C0CC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厂界</w:t>
                  </w:r>
                </w:p>
              </w:tc>
              <w:tc>
                <w:tcPr>
                  <w:tcW w:w="1497" w:type="dxa"/>
                  <w:tcBorders>
                    <w:tl2br w:val="nil"/>
                    <w:tr2bl w:val="nil"/>
                  </w:tcBorders>
                  <w:noWrap w:val="0"/>
                  <w:vAlign w:val="center"/>
                </w:tcPr>
                <w:p w14:paraId="5D56020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东厂界</w:t>
                  </w:r>
                </w:p>
              </w:tc>
              <w:tc>
                <w:tcPr>
                  <w:tcW w:w="1024" w:type="dxa"/>
                  <w:tcBorders>
                    <w:tl2br w:val="nil"/>
                    <w:tr2bl w:val="nil"/>
                  </w:tcBorders>
                  <w:noWrap w:val="0"/>
                  <w:vAlign w:val="center"/>
                </w:tcPr>
                <w:p w14:paraId="1000166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57</w:t>
                  </w:r>
                </w:p>
              </w:tc>
              <w:tc>
                <w:tcPr>
                  <w:tcW w:w="1029" w:type="dxa"/>
                  <w:tcBorders>
                    <w:tl2br w:val="nil"/>
                    <w:tr2bl w:val="nil"/>
                  </w:tcBorders>
                  <w:noWrap w:val="0"/>
                  <w:vAlign w:val="center"/>
                </w:tcPr>
                <w:p w14:paraId="16DB1B2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c>
                <w:tcPr>
                  <w:tcW w:w="1030" w:type="dxa"/>
                  <w:tcBorders>
                    <w:tl2br w:val="nil"/>
                    <w:tr2bl w:val="nil"/>
                  </w:tcBorders>
                  <w:noWrap w:val="0"/>
                  <w:vAlign w:val="center"/>
                </w:tcPr>
                <w:p w14:paraId="10AA7D3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c>
                <w:tcPr>
                  <w:tcW w:w="1520" w:type="dxa"/>
                  <w:vMerge w:val="restart"/>
                  <w:tcBorders>
                    <w:tl2br w:val="nil"/>
                    <w:tr2bl w:val="nil"/>
                  </w:tcBorders>
                  <w:noWrap w:val="0"/>
                  <w:vAlign w:val="center"/>
                </w:tcPr>
                <w:p w14:paraId="21728A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65</w:t>
                  </w:r>
                </w:p>
              </w:tc>
              <w:tc>
                <w:tcPr>
                  <w:tcW w:w="1228" w:type="dxa"/>
                  <w:tcBorders>
                    <w:tl2br w:val="nil"/>
                    <w:tr2bl w:val="nil"/>
                  </w:tcBorders>
                  <w:noWrap w:val="0"/>
                  <w:vAlign w:val="center"/>
                </w:tcPr>
                <w:p w14:paraId="6740545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达标</w:t>
                  </w:r>
                </w:p>
              </w:tc>
            </w:tr>
            <w:tr w14:paraId="69D01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1" w:hRule="atLeast"/>
                <w:jc w:val="center"/>
              </w:trPr>
              <w:tc>
                <w:tcPr>
                  <w:tcW w:w="1108" w:type="dxa"/>
                  <w:vMerge w:val="continue"/>
                  <w:tcBorders>
                    <w:tl2br w:val="nil"/>
                    <w:tr2bl w:val="nil"/>
                  </w:tcBorders>
                  <w:noWrap w:val="0"/>
                  <w:vAlign w:val="center"/>
                </w:tcPr>
                <w:p w14:paraId="4FBB382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c>
                <w:tcPr>
                  <w:tcW w:w="1497" w:type="dxa"/>
                  <w:tcBorders>
                    <w:tl2br w:val="nil"/>
                    <w:tr2bl w:val="nil"/>
                  </w:tcBorders>
                  <w:noWrap w:val="0"/>
                  <w:vAlign w:val="center"/>
                </w:tcPr>
                <w:p w14:paraId="2202C19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南厂界</w:t>
                  </w:r>
                </w:p>
              </w:tc>
              <w:tc>
                <w:tcPr>
                  <w:tcW w:w="1024" w:type="dxa"/>
                  <w:tcBorders>
                    <w:tl2br w:val="nil"/>
                    <w:tr2bl w:val="nil"/>
                  </w:tcBorders>
                  <w:noWrap w:val="0"/>
                  <w:vAlign w:val="center"/>
                </w:tcPr>
                <w:p w14:paraId="1F53F40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58.2</w:t>
                  </w:r>
                </w:p>
              </w:tc>
              <w:tc>
                <w:tcPr>
                  <w:tcW w:w="1029" w:type="dxa"/>
                  <w:tcBorders>
                    <w:tl2br w:val="nil"/>
                    <w:tr2bl w:val="nil"/>
                  </w:tcBorders>
                  <w:noWrap w:val="0"/>
                  <w:vAlign w:val="center"/>
                </w:tcPr>
                <w:p w14:paraId="2B469BA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c>
                <w:tcPr>
                  <w:tcW w:w="1030" w:type="dxa"/>
                  <w:tcBorders>
                    <w:tl2br w:val="nil"/>
                    <w:tr2bl w:val="nil"/>
                  </w:tcBorders>
                  <w:noWrap w:val="0"/>
                  <w:vAlign w:val="center"/>
                </w:tcPr>
                <w:p w14:paraId="7A8EB96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c>
                <w:tcPr>
                  <w:tcW w:w="1520" w:type="dxa"/>
                  <w:vMerge w:val="continue"/>
                  <w:tcBorders>
                    <w:tl2br w:val="nil"/>
                    <w:tr2bl w:val="nil"/>
                  </w:tcBorders>
                  <w:noWrap w:val="0"/>
                  <w:vAlign w:val="center"/>
                </w:tcPr>
                <w:p w14:paraId="1EFA8C1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c>
                <w:tcPr>
                  <w:tcW w:w="1228" w:type="dxa"/>
                  <w:tcBorders>
                    <w:tl2br w:val="nil"/>
                    <w:tr2bl w:val="nil"/>
                  </w:tcBorders>
                  <w:noWrap w:val="0"/>
                  <w:vAlign w:val="center"/>
                </w:tcPr>
                <w:p w14:paraId="555232F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达标</w:t>
                  </w:r>
                </w:p>
              </w:tc>
            </w:tr>
            <w:tr w14:paraId="724A8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1" w:hRule="atLeast"/>
                <w:jc w:val="center"/>
              </w:trPr>
              <w:tc>
                <w:tcPr>
                  <w:tcW w:w="1108" w:type="dxa"/>
                  <w:vMerge w:val="continue"/>
                  <w:tcBorders>
                    <w:tl2br w:val="nil"/>
                    <w:tr2bl w:val="nil"/>
                  </w:tcBorders>
                  <w:noWrap w:val="0"/>
                  <w:vAlign w:val="center"/>
                </w:tcPr>
                <w:p w14:paraId="4E68156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c>
                <w:tcPr>
                  <w:tcW w:w="1497" w:type="dxa"/>
                  <w:tcBorders>
                    <w:tl2br w:val="nil"/>
                    <w:tr2bl w:val="nil"/>
                  </w:tcBorders>
                  <w:noWrap w:val="0"/>
                  <w:vAlign w:val="center"/>
                </w:tcPr>
                <w:p w14:paraId="2B22276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西厂界</w:t>
                  </w:r>
                </w:p>
              </w:tc>
              <w:tc>
                <w:tcPr>
                  <w:tcW w:w="1024" w:type="dxa"/>
                  <w:tcBorders>
                    <w:tl2br w:val="nil"/>
                    <w:tr2bl w:val="nil"/>
                  </w:tcBorders>
                  <w:noWrap w:val="0"/>
                  <w:vAlign w:val="center"/>
                </w:tcPr>
                <w:p w14:paraId="1802F66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60.8</w:t>
                  </w:r>
                </w:p>
              </w:tc>
              <w:tc>
                <w:tcPr>
                  <w:tcW w:w="1029" w:type="dxa"/>
                  <w:tcBorders>
                    <w:tl2br w:val="nil"/>
                    <w:tr2bl w:val="nil"/>
                  </w:tcBorders>
                  <w:noWrap w:val="0"/>
                  <w:vAlign w:val="center"/>
                </w:tcPr>
                <w:p w14:paraId="0DBEDF1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c>
                <w:tcPr>
                  <w:tcW w:w="1030" w:type="dxa"/>
                  <w:tcBorders>
                    <w:tl2br w:val="nil"/>
                    <w:tr2bl w:val="nil"/>
                  </w:tcBorders>
                  <w:noWrap w:val="0"/>
                  <w:vAlign w:val="center"/>
                </w:tcPr>
                <w:p w14:paraId="350E166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c>
                <w:tcPr>
                  <w:tcW w:w="1520" w:type="dxa"/>
                  <w:vMerge w:val="continue"/>
                  <w:tcBorders>
                    <w:tl2br w:val="nil"/>
                    <w:tr2bl w:val="nil"/>
                  </w:tcBorders>
                  <w:noWrap w:val="0"/>
                  <w:vAlign w:val="center"/>
                </w:tcPr>
                <w:p w14:paraId="53D7A18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c>
                <w:tcPr>
                  <w:tcW w:w="1228" w:type="dxa"/>
                  <w:tcBorders>
                    <w:tl2br w:val="nil"/>
                    <w:tr2bl w:val="nil"/>
                  </w:tcBorders>
                  <w:noWrap w:val="0"/>
                  <w:vAlign w:val="center"/>
                </w:tcPr>
                <w:p w14:paraId="61759D6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达标</w:t>
                  </w:r>
                </w:p>
              </w:tc>
            </w:tr>
            <w:tr w14:paraId="61E84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1" w:hRule="atLeast"/>
                <w:jc w:val="center"/>
              </w:trPr>
              <w:tc>
                <w:tcPr>
                  <w:tcW w:w="1108" w:type="dxa"/>
                  <w:vMerge w:val="continue"/>
                  <w:tcBorders>
                    <w:tl2br w:val="nil"/>
                    <w:tr2bl w:val="nil"/>
                  </w:tcBorders>
                  <w:noWrap w:val="0"/>
                  <w:vAlign w:val="center"/>
                </w:tcPr>
                <w:p w14:paraId="4803F55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c>
                <w:tcPr>
                  <w:tcW w:w="1497" w:type="dxa"/>
                  <w:tcBorders>
                    <w:tl2br w:val="nil"/>
                    <w:tr2bl w:val="nil"/>
                  </w:tcBorders>
                  <w:noWrap w:val="0"/>
                  <w:vAlign w:val="center"/>
                </w:tcPr>
                <w:p w14:paraId="5B98373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北厂界</w:t>
                  </w:r>
                </w:p>
              </w:tc>
              <w:tc>
                <w:tcPr>
                  <w:tcW w:w="1024" w:type="dxa"/>
                  <w:tcBorders>
                    <w:tl2br w:val="nil"/>
                    <w:tr2bl w:val="nil"/>
                  </w:tcBorders>
                  <w:noWrap w:val="0"/>
                  <w:vAlign w:val="center"/>
                </w:tcPr>
                <w:p w14:paraId="2C1E6BD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62.0</w:t>
                  </w:r>
                </w:p>
              </w:tc>
              <w:tc>
                <w:tcPr>
                  <w:tcW w:w="1029" w:type="dxa"/>
                  <w:tcBorders>
                    <w:tl2br w:val="nil"/>
                    <w:tr2bl w:val="nil"/>
                  </w:tcBorders>
                  <w:noWrap w:val="0"/>
                  <w:vAlign w:val="center"/>
                </w:tcPr>
                <w:p w14:paraId="1A2B121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c>
                <w:tcPr>
                  <w:tcW w:w="1030" w:type="dxa"/>
                  <w:tcBorders>
                    <w:tl2br w:val="nil"/>
                    <w:tr2bl w:val="nil"/>
                  </w:tcBorders>
                  <w:noWrap w:val="0"/>
                  <w:vAlign w:val="center"/>
                </w:tcPr>
                <w:p w14:paraId="5E7BD13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w:t>
                  </w:r>
                </w:p>
              </w:tc>
              <w:tc>
                <w:tcPr>
                  <w:tcW w:w="1520" w:type="dxa"/>
                  <w:vMerge w:val="continue"/>
                  <w:tcBorders>
                    <w:tl2br w:val="nil"/>
                    <w:tr2bl w:val="nil"/>
                  </w:tcBorders>
                  <w:noWrap w:val="0"/>
                  <w:vAlign w:val="center"/>
                </w:tcPr>
                <w:p w14:paraId="59D75DE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c>
                <w:tcPr>
                  <w:tcW w:w="1228" w:type="dxa"/>
                  <w:tcBorders>
                    <w:tl2br w:val="nil"/>
                    <w:tr2bl w:val="nil"/>
                  </w:tcBorders>
                  <w:noWrap w:val="0"/>
                  <w:vAlign w:val="center"/>
                </w:tcPr>
                <w:p w14:paraId="6FDFB6D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达标</w:t>
                  </w:r>
                </w:p>
              </w:tc>
            </w:tr>
            <w:tr w14:paraId="71D0D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22" w:hRule="atLeast"/>
                <w:jc w:val="center"/>
              </w:trPr>
              <w:tc>
                <w:tcPr>
                  <w:tcW w:w="2605" w:type="dxa"/>
                  <w:gridSpan w:val="2"/>
                  <w:tcBorders>
                    <w:tl2br w:val="nil"/>
                    <w:tr2bl w:val="nil"/>
                  </w:tcBorders>
                  <w:noWrap w:val="0"/>
                  <w:vAlign w:val="center"/>
                </w:tcPr>
                <w:p w14:paraId="74F4287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敏感点</w:t>
                  </w:r>
                </w:p>
              </w:tc>
              <w:tc>
                <w:tcPr>
                  <w:tcW w:w="1024" w:type="dxa"/>
                  <w:tcBorders>
                    <w:tl2br w:val="nil"/>
                    <w:tr2bl w:val="nil"/>
                  </w:tcBorders>
                  <w:noWrap w:val="0"/>
                  <w:vAlign w:val="center"/>
                </w:tcPr>
                <w:p w14:paraId="484445F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47.4</w:t>
                  </w:r>
                </w:p>
              </w:tc>
              <w:tc>
                <w:tcPr>
                  <w:tcW w:w="1029" w:type="dxa"/>
                  <w:tcBorders>
                    <w:tl2br w:val="nil"/>
                    <w:tr2bl w:val="nil"/>
                  </w:tcBorders>
                  <w:noWrap w:val="0"/>
                  <w:vAlign w:val="center"/>
                </w:tcPr>
                <w:p w14:paraId="46B5D25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61.8</w:t>
                  </w:r>
                </w:p>
              </w:tc>
              <w:tc>
                <w:tcPr>
                  <w:tcW w:w="1030" w:type="dxa"/>
                  <w:tcBorders>
                    <w:tl2br w:val="nil"/>
                    <w:tr2bl w:val="nil"/>
                  </w:tcBorders>
                  <w:noWrap w:val="0"/>
                  <w:vAlign w:val="center"/>
                </w:tcPr>
                <w:p w14:paraId="0DBB177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62.0</w:t>
                  </w:r>
                </w:p>
              </w:tc>
              <w:tc>
                <w:tcPr>
                  <w:tcW w:w="1520" w:type="dxa"/>
                  <w:vMerge w:val="continue"/>
                  <w:tcBorders>
                    <w:tl2br w:val="nil"/>
                    <w:tr2bl w:val="nil"/>
                  </w:tcBorders>
                  <w:noWrap w:val="0"/>
                  <w:vAlign w:val="center"/>
                </w:tcPr>
                <w:p w14:paraId="1E34DBA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p>
              </w:tc>
              <w:tc>
                <w:tcPr>
                  <w:tcW w:w="1228" w:type="dxa"/>
                  <w:tcBorders>
                    <w:tl2br w:val="nil"/>
                    <w:tr2bl w:val="nil"/>
                  </w:tcBorders>
                  <w:noWrap w:val="0"/>
                  <w:vAlign w:val="center"/>
                </w:tcPr>
                <w:p w14:paraId="1E6470A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达标</w:t>
                  </w:r>
                </w:p>
              </w:tc>
            </w:tr>
          </w:tbl>
          <w:p w14:paraId="2F383ABC">
            <w:pPr>
              <w:bidi w:val="0"/>
              <w:rPr>
                <w:rFonts w:hint="default" w:ascii="Times New Roman" w:hAnsi="Times New Roman" w:cs="Times New Roman"/>
                <w:color w:val="auto"/>
                <w:sz w:val="24"/>
                <w:szCs w:val="24"/>
                <w:lang w:val="en-US" w:eastAsia="zh-CN"/>
              </w:rPr>
            </w:pPr>
            <w:r>
              <w:rPr>
                <w:rFonts w:hint="default" w:ascii="Times New Roman" w:hAnsi="Times New Roman" w:cs="Times New Roman"/>
                <w:b w:val="0"/>
                <w:bCs/>
                <w:color w:val="auto"/>
                <w:sz w:val="24"/>
                <w:szCs w:val="24"/>
              </w:rPr>
              <w:t>项目建成后，根据预测结果，建设项目运营时的噪声预测值各厂界</w:t>
            </w:r>
            <w:r>
              <w:rPr>
                <w:rFonts w:hint="eastAsia" w:cs="Times New Roman"/>
                <w:b w:val="0"/>
                <w:bCs/>
                <w:color w:val="auto"/>
                <w:sz w:val="24"/>
                <w:szCs w:val="24"/>
                <w:lang w:val="en-US" w:eastAsia="zh-CN"/>
              </w:rPr>
              <w:t>及敏感点</w:t>
            </w:r>
            <w:r>
              <w:rPr>
                <w:rFonts w:hint="default" w:ascii="Times New Roman" w:hAnsi="Times New Roman" w:cs="Times New Roman"/>
                <w:b w:val="0"/>
                <w:bCs/>
                <w:color w:val="auto"/>
                <w:sz w:val="24"/>
                <w:szCs w:val="24"/>
              </w:rPr>
              <w:t>均满足《</w:t>
            </w:r>
            <w:r>
              <w:rPr>
                <w:rFonts w:hint="default" w:ascii="Times New Roman" w:hAnsi="Times New Roman" w:cs="Times New Roman"/>
                <w:color w:val="auto"/>
                <w:sz w:val="24"/>
                <w:szCs w:val="24"/>
              </w:rPr>
              <w:t>工业企业厂界环境噪声排放标准》（GB12348-2008）中3类标准限值要求，对周边环境影响较小，不会对周围环境产生超标影响。</w:t>
            </w:r>
          </w:p>
          <w:p w14:paraId="7763E2D6">
            <w:pPr>
              <w:bidi w:val="0"/>
              <w:ind w:left="0" w:leftChars="0" w:firstLine="0" w:firstLineChars="0"/>
              <w:rPr>
                <w:rFonts w:hint="default"/>
                <w:b/>
                <w:bCs/>
                <w:color w:val="auto"/>
              </w:rPr>
            </w:pPr>
            <w:r>
              <w:rPr>
                <w:rFonts w:hint="eastAsia"/>
                <w:b/>
                <w:bCs/>
                <w:color w:val="auto"/>
                <w:lang w:val="en-US" w:eastAsia="zh-CN"/>
              </w:rPr>
              <w:t>4.</w:t>
            </w:r>
            <w:r>
              <w:rPr>
                <w:rFonts w:hint="default"/>
                <w:b/>
                <w:bCs/>
                <w:color w:val="auto"/>
              </w:rPr>
              <w:t>3.3</w:t>
            </w:r>
            <w:r>
              <w:rPr>
                <w:rFonts w:hint="eastAsia"/>
                <w:b/>
                <w:bCs/>
                <w:color w:val="auto"/>
                <w:lang w:val="en-US" w:eastAsia="zh-CN"/>
              </w:rPr>
              <w:t xml:space="preserve"> </w:t>
            </w:r>
            <w:r>
              <w:rPr>
                <w:rFonts w:hint="default"/>
                <w:b/>
                <w:bCs/>
                <w:color w:val="auto"/>
              </w:rPr>
              <w:t>噪声污染防治措施可行性分析</w:t>
            </w:r>
          </w:p>
          <w:p w14:paraId="29677856">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（1）项目在选用和购买设备时，采用生产效率高且性能好的先进设备，噪声产生源强小，从源头控制噪声。</w:t>
            </w:r>
          </w:p>
          <w:p w14:paraId="0FC3B9F0">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项目的总体布局上，将噪声源强较高的设备布置远离厂区边界，加大了噪声的距离衰减，同时生产设备安置在生产车间内，同时企业加强生产区域门窗的隔声性能，在生产过程中，考虑建筑物门窗基本关闭的情况，生产车间整体降噪能力可达20dB</w:t>
            </w:r>
            <w:r>
              <w:rPr>
                <w:rFonts w:hint="eastAsia" w:cs="Times New Roman"/>
                <w:color w:val="auto"/>
                <w:sz w:val="24"/>
                <w:szCs w:val="24"/>
                <w:lang w:eastAsia="zh-CN"/>
              </w:rPr>
              <w:t>（</w:t>
            </w:r>
            <w:r>
              <w:rPr>
                <w:rFonts w:hint="default" w:ascii="Times New Roman" w:hAnsi="Times New Roman" w:cs="Times New Roman"/>
                <w:color w:val="auto"/>
                <w:sz w:val="24"/>
                <w:szCs w:val="24"/>
              </w:rPr>
              <w:t>A</w:t>
            </w:r>
            <w:r>
              <w:rPr>
                <w:rFonts w:hint="eastAsia" w:cs="Times New Roman"/>
                <w:color w:val="auto"/>
                <w:sz w:val="24"/>
                <w:szCs w:val="24"/>
                <w:lang w:eastAsia="zh-CN"/>
              </w:rPr>
              <w:t>）</w:t>
            </w:r>
            <w:r>
              <w:rPr>
                <w:rFonts w:hint="default" w:ascii="Times New Roman" w:hAnsi="Times New Roman" w:cs="Times New Roman"/>
                <w:color w:val="auto"/>
                <w:sz w:val="24"/>
                <w:szCs w:val="24"/>
              </w:rPr>
              <w:t>以上。</w:t>
            </w:r>
          </w:p>
          <w:p w14:paraId="5F84821F">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（3）废气处理风机外安装隔声罩、下方加装减振垫、配置消声箱，隔声量达到25dB</w:t>
            </w:r>
            <w:r>
              <w:rPr>
                <w:rFonts w:hint="eastAsia" w:cs="Times New Roman"/>
                <w:color w:val="auto"/>
                <w:sz w:val="24"/>
                <w:szCs w:val="24"/>
                <w:lang w:eastAsia="zh-CN"/>
              </w:rPr>
              <w:t>（</w:t>
            </w:r>
            <w:r>
              <w:rPr>
                <w:rFonts w:hint="default" w:ascii="Times New Roman" w:hAnsi="Times New Roman" w:cs="Times New Roman"/>
                <w:color w:val="auto"/>
                <w:sz w:val="24"/>
                <w:szCs w:val="24"/>
              </w:rPr>
              <w:t>A</w:t>
            </w:r>
            <w:r>
              <w:rPr>
                <w:rFonts w:hint="eastAsia" w:cs="Times New Roman"/>
                <w:color w:val="auto"/>
                <w:sz w:val="24"/>
                <w:szCs w:val="24"/>
                <w:lang w:eastAsia="zh-CN"/>
              </w:rPr>
              <w:t>）</w:t>
            </w:r>
            <w:r>
              <w:rPr>
                <w:rFonts w:hint="default" w:ascii="Times New Roman" w:hAnsi="Times New Roman" w:cs="Times New Roman"/>
                <w:color w:val="auto"/>
                <w:sz w:val="24"/>
                <w:szCs w:val="24"/>
              </w:rPr>
              <w:t>。</w:t>
            </w:r>
          </w:p>
          <w:p w14:paraId="55D6B1ED">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以上噪声治理措施容易实施，技术成熟可靠，投资费用较少，在经济上是可行的。</w:t>
            </w:r>
          </w:p>
          <w:p w14:paraId="6634238B">
            <w:pPr>
              <w:bidi w:val="0"/>
              <w:ind w:left="0" w:leftChars="0" w:firstLine="0" w:firstLineChars="0"/>
              <w:rPr>
                <w:rFonts w:hint="default"/>
                <w:b/>
                <w:bCs/>
                <w:color w:val="auto"/>
              </w:rPr>
            </w:pPr>
            <w:r>
              <w:rPr>
                <w:rFonts w:hint="eastAsia"/>
                <w:b/>
                <w:bCs/>
                <w:color w:val="auto"/>
                <w:lang w:val="en-US" w:eastAsia="zh-CN"/>
              </w:rPr>
              <w:t>4.</w:t>
            </w:r>
            <w:r>
              <w:rPr>
                <w:rFonts w:hint="default"/>
                <w:b/>
                <w:bCs/>
                <w:color w:val="auto"/>
              </w:rPr>
              <w:t>3.4</w:t>
            </w:r>
            <w:r>
              <w:rPr>
                <w:rFonts w:hint="eastAsia"/>
                <w:b/>
                <w:bCs/>
                <w:color w:val="auto"/>
                <w:lang w:val="en-US" w:eastAsia="zh-CN"/>
              </w:rPr>
              <w:t xml:space="preserve"> </w:t>
            </w:r>
            <w:r>
              <w:rPr>
                <w:rFonts w:hint="default"/>
                <w:b/>
                <w:bCs/>
                <w:color w:val="auto"/>
              </w:rPr>
              <w:t>监测计划</w:t>
            </w:r>
          </w:p>
          <w:p w14:paraId="72D5DB97">
            <w:pPr>
              <w:bidi w:val="0"/>
              <w:rPr>
                <w:rFonts w:hint="default" w:ascii="Times New Roman" w:hAnsi="Times New Roman" w:cs="Times New Roman"/>
                <w:color w:val="auto"/>
                <w:sz w:val="21"/>
                <w:szCs w:val="21"/>
              </w:rPr>
            </w:pPr>
            <w:r>
              <w:rPr>
                <w:rFonts w:hint="default" w:ascii="Times New Roman" w:hAnsi="Times New Roman" w:cs="Times New Roman"/>
                <w:color w:val="auto"/>
                <w:sz w:val="24"/>
                <w:szCs w:val="24"/>
              </w:rPr>
              <w:t>根据《排污许可证申请与核发技术规范 工业噪声》（HJ 1301-2023），本项目噪声产生及排放情况，本项目噪声污染源监测方案如下表所示。</w:t>
            </w:r>
          </w:p>
          <w:p w14:paraId="57483BCD">
            <w:pPr>
              <w:pStyle w:val="38"/>
              <w:bidi w:val="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表4-</w:t>
            </w:r>
            <w:r>
              <w:rPr>
                <w:rFonts w:hint="default" w:ascii="Times New Roman" w:hAnsi="Times New Roman" w:cs="Times New Roman"/>
                <w:color w:val="auto"/>
                <w:sz w:val="21"/>
                <w:szCs w:val="21"/>
                <w:lang w:val="en-US" w:eastAsia="zh-CN"/>
              </w:rPr>
              <w:t>1</w:t>
            </w:r>
            <w:r>
              <w:rPr>
                <w:rFonts w:hint="eastAsia" w:cs="Times New Roman"/>
                <w:color w:val="auto"/>
                <w:sz w:val="21"/>
                <w:szCs w:val="21"/>
                <w:lang w:val="en-US" w:eastAsia="zh-CN"/>
              </w:rPr>
              <w:t>5</w:t>
            </w:r>
            <w:r>
              <w:rPr>
                <w:rFonts w:hint="default" w:ascii="Times New Roman" w:hAnsi="Times New Roman" w:cs="Times New Roman"/>
                <w:color w:val="auto"/>
                <w:sz w:val="21"/>
                <w:szCs w:val="21"/>
              </w:rPr>
              <w:t xml:space="preserve">  </w:t>
            </w:r>
            <w:r>
              <w:rPr>
                <w:rFonts w:hint="default" w:ascii="Times New Roman" w:hAnsi="Times New Roman" w:cs="Times New Roman"/>
                <w:color w:val="auto"/>
                <w:sz w:val="21"/>
                <w:szCs w:val="21"/>
                <w:lang w:eastAsia="zh-CN"/>
              </w:rPr>
              <w:t>本项目</w:t>
            </w:r>
            <w:r>
              <w:rPr>
                <w:rFonts w:hint="default" w:ascii="Times New Roman" w:hAnsi="Times New Roman" w:cs="Times New Roman"/>
                <w:color w:val="auto"/>
                <w:sz w:val="21"/>
                <w:szCs w:val="21"/>
              </w:rPr>
              <w:t>噪声环境监测计划</w:t>
            </w:r>
          </w:p>
          <w:tbl>
            <w:tblPr>
              <w:tblStyle w:val="31"/>
              <w:tblW w:w="83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090"/>
              <w:gridCol w:w="936"/>
              <w:gridCol w:w="1233"/>
              <w:gridCol w:w="1478"/>
              <w:gridCol w:w="1213"/>
              <w:gridCol w:w="2445"/>
            </w:tblGrid>
            <w:tr w14:paraId="742A7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49" w:type="pct"/>
                  <w:tcBorders>
                    <w:tl2br w:val="nil"/>
                    <w:tr2bl w:val="nil"/>
                  </w:tcBorders>
                  <w:noWrap w:val="0"/>
                  <w:vAlign w:val="center"/>
                </w:tcPr>
                <w:p w14:paraId="760C60B6">
                  <w:pPr>
                    <w:pStyle w:val="14"/>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监测内容</w:t>
                  </w:r>
                </w:p>
              </w:tc>
              <w:tc>
                <w:tcPr>
                  <w:tcW w:w="557" w:type="pct"/>
                  <w:tcBorders>
                    <w:tl2br w:val="nil"/>
                    <w:tr2bl w:val="nil"/>
                  </w:tcBorders>
                  <w:noWrap w:val="0"/>
                  <w:vAlign w:val="center"/>
                </w:tcPr>
                <w:p w14:paraId="65550D70">
                  <w:pPr>
                    <w:pStyle w:val="14"/>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监测点</w:t>
                  </w:r>
                </w:p>
              </w:tc>
              <w:tc>
                <w:tcPr>
                  <w:tcW w:w="734" w:type="pct"/>
                  <w:tcBorders>
                    <w:tl2br w:val="nil"/>
                    <w:tr2bl w:val="nil"/>
                  </w:tcBorders>
                  <w:noWrap w:val="0"/>
                  <w:vAlign w:val="center"/>
                </w:tcPr>
                <w:p w14:paraId="255B8CC5">
                  <w:pPr>
                    <w:pStyle w:val="14"/>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监测项目</w:t>
                  </w:r>
                </w:p>
              </w:tc>
              <w:tc>
                <w:tcPr>
                  <w:tcW w:w="880" w:type="pct"/>
                  <w:tcBorders>
                    <w:tl2br w:val="nil"/>
                    <w:tr2bl w:val="nil"/>
                  </w:tcBorders>
                  <w:noWrap w:val="0"/>
                  <w:vAlign w:val="center"/>
                </w:tcPr>
                <w:p w14:paraId="52F0752D">
                  <w:pPr>
                    <w:pStyle w:val="14"/>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监测频率</w:t>
                  </w:r>
                </w:p>
              </w:tc>
              <w:tc>
                <w:tcPr>
                  <w:tcW w:w="722" w:type="pct"/>
                  <w:tcBorders>
                    <w:tl2br w:val="nil"/>
                    <w:tr2bl w:val="nil"/>
                  </w:tcBorders>
                  <w:noWrap w:val="0"/>
                  <w:vAlign w:val="center"/>
                </w:tcPr>
                <w:p w14:paraId="0201E4F2">
                  <w:pPr>
                    <w:pStyle w:val="14"/>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监测方式</w:t>
                  </w:r>
                </w:p>
              </w:tc>
              <w:tc>
                <w:tcPr>
                  <w:tcW w:w="1456" w:type="pct"/>
                  <w:tcBorders>
                    <w:tl2br w:val="nil"/>
                    <w:tr2bl w:val="nil"/>
                  </w:tcBorders>
                  <w:noWrap w:val="0"/>
                  <w:vAlign w:val="center"/>
                </w:tcPr>
                <w:p w14:paraId="52F8108E">
                  <w:pPr>
                    <w:pStyle w:val="14"/>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执行标准</w:t>
                  </w:r>
                </w:p>
              </w:tc>
            </w:tr>
            <w:tr w14:paraId="3D4DF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49" w:type="pct"/>
                  <w:tcBorders>
                    <w:tl2br w:val="nil"/>
                    <w:tr2bl w:val="nil"/>
                  </w:tcBorders>
                  <w:noWrap w:val="0"/>
                  <w:vAlign w:val="center"/>
                </w:tcPr>
                <w:p w14:paraId="1BD0386F">
                  <w:pPr>
                    <w:pStyle w:val="14"/>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w:t>
                  </w:r>
                </w:p>
              </w:tc>
              <w:tc>
                <w:tcPr>
                  <w:tcW w:w="557" w:type="pct"/>
                  <w:tcBorders>
                    <w:tl2br w:val="nil"/>
                    <w:tr2bl w:val="nil"/>
                  </w:tcBorders>
                  <w:noWrap w:val="0"/>
                  <w:vAlign w:val="center"/>
                </w:tcPr>
                <w:p w14:paraId="2F629EF3">
                  <w:pPr>
                    <w:pStyle w:val="14"/>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厂界四周</w:t>
                  </w:r>
                </w:p>
              </w:tc>
              <w:tc>
                <w:tcPr>
                  <w:tcW w:w="734" w:type="pct"/>
                  <w:tcBorders>
                    <w:tl2br w:val="nil"/>
                    <w:tr2bl w:val="nil"/>
                  </w:tcBorders>
                  <w:noWrap w:val="0"/>
                  <w:vAlign w:val="center"/>
                </w:tcPr>
                <w:p w14:paraId="7B35D2DE">
                  <w:pPr>
                    <w:pStyle w:val="14"/>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连续等效声级Leq(A)</w:t>
                  </w:r>
                </w:p>
              </w:tc>
              <w:tc>
                <w:tcPr>
                  <w:tcW w:w="880" w:type="pct"/>
                  <w:tcBorders>
                    <w:tl2br w:val="nil"/>
                    <w:tr2bl w:val="nil"/>
                  </w:tcBorders>
                  <w:noWrap w:val="0"/>
                  <w:vAlign w:val="center"/>
                </w:tcPr>
                <w:p w14:paraId="41F56013">
                  <w:pPr>
                    <w:pStyle w:val="14"/>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每季度监测1次，每次昼</w:t>
                  </w:r>
                  <w:r>
                    <w:rPr>
                      <w:rFonts w:hint="eastAsia" w:ascii="Times New Roman" w:hAnsi="Times New Roman" w:cs="Times New Roman"/>
                      <w:color w:val="auto"/>
                      <w:sz w:val="21"/>
                      <w:szCs w:val="21"/>
                      <w:lang w:val="en-US" w:eastAsia="zh-CN"/>
                    </w:rPr>
                    <w:t>间</w:t>
                  </w:r>
                  <w:r>
                    <w:rPr>
                      <w:rFonts w:hint="default" w:ascii="Times New Roman" w:hAnsi="Times New Roman" w:cs="Times New Roman"/>
                      <w:color w:val="auto"/>
                      <w:sz w:val="21"/>
                      <w:szCs w:val="21"/>
                    </w:rPr>
                    <w:t>监测一次</w:t>
                  </w:r>
                </w:p>
              </w:tc>
              <w:tc>
                <w:tcPr>
                  <w:tcW w:w="722" w:type="pct"/>
                  <w:tcBorders>
                    <w:tl2br w:val="nil"/>
                    <w:tr2bl w:val="nil"/>
                  </w:tcBorders>
                  <w:noWrap w:val="0"/>
                  <w:vAlign w:val="center"/>
                </w:tcPr>
                <w:p w14:paraId="25103010">
                  <w:pPr>
                    <w:pStyle w:val="14"/>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委托有资质单位监测</w:t>
                  </w:r>
                </w:p>
              </w:tc>
              <w:tc>
                <w:tcPr>
                  <w:tcW w:w="1456" w:type="pct"/>
                  <w:tcBorders>
                    <w:tl2br w:val="nil"/>
                    <w:tr2bl w:val="nil"/>
                  </w:tcBorders>
                  <w:noWrap w:val="0"/>
                  <w:vAlign w:val="center"/>
                </w:tcPr>
                <w:p w14:paraId="4EC10503">
                  <w:pPr>
                    <w:pStyle w:val="14"/>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《工业企业厂界环境噪声排放标准》（GB12348-2008）3类</w:t>
                  </w:r>
                </w:p>
              </w:tc>
            </w:tr>
          </w:tbl>
          <w:p w14:paraId="477AB5C5">
            <w:pPr>
              <w:bidi w:val="0"/>
              <w:spacing w:line="240" w:lineRule="auto"/>
              <w:rPr>
                <w:rFonts w:hint="eastAsia"/>
                <w:color w:val="auto"/>
                <w:lang w:val="en-US" w:eastAsia="zh-CN"/>
              </w:rPr>
            </w:pPr>
          </w:p>
          <w:p w14:paraId="1523A45B">
            <w:pPr>
              <w:bidi w:val="0"/>
              <w:ind w:left="0" w:leftChars="0" w:firstLine="0" w:firstLineChars="0"/>
              <w:rPr>
                <w:rFonts w:hint="default"/>
                <w:b/>
                <w:bCs/>
                <w:color w:val="auto"/>
                <w:lang w:val="en-US" w:eastAsia="zh-CN"/>
              </w:rPr>
            </w:pPr>
            <w:r>
              <w:rPr>
                <w:rFonts w:hint="eastAsia" w:cs="Times New Roman"/>
                <w:b/>
                <w:bCs/>
                <w:color w:val="auto"/>
                <w:szCs w:val="24"/>
                <w:lang w:val="en-US" w:eastAsia="zh-CN"/>
              </w:rPr>
              <w:t xml:space="preserve">4.4 </w:t>
            </w:r>
            <w:r>
              <w:rPr>
                <w:rFonts w:hint="default" w:ascii="Times New Roman" w:hAnsi="Times New Roman" w:cs="Times New Roman"/>
                <w:b/>
                <w:bCs/>
                <w:color w:val="auto"/>
                <w:szCs w:val="24"/>
                <w:lang w:val="en-US" w:eastAsia="zh-CN"/>
              </w:rPr>
              <w:t>固体</w:t>
            </w:r>
            <w:r>
              <w:rPr>
                <w:rFonts w:hint="default"/>
                <w:b/>
                <w:bCs/>
                <w:color w:val="auto"/>
                <w:lang w:val="en-US" w:eastAsia="zh-CN"/>
              </w:rPr>
              <w:t>废物产生情况及防治措施</w:t>
            </w:r>
          </w:p>
          <w:p w14:paraId="59028197">
            <w:pPr>
              <w:bidi w:val="0"/>
              <w:ind w:left="0" w:leftChars="0" w:firstLine="0" w:firstLineChars="0"/>
              <w:rPr>
                <w:rFonts w:hint="default" w:ascii="Times New Roman" w:hAnsi="Times New Roman" w:cs="Times New Roman"/>
                <w:b/>
                <w:bCs/>
                <w:color w:val="auto"/>
                <w:szCs w:val="24"/>
                <w:lang w:val="en-US" w:eastAsia="zh-CN"/>
              </w:rPr>
            </w:pPr>
            <w:r>
              <w:rPr>
                <w:rFonts w:hint="eastAsia"/>
                <w:b/>
                <w:bCs/>
                <w:color w:val="auto"/>
                <w:lang w:val="en-US" w:eastAsia="zh-CN"/>
              </w:rPr>
              <w:t>4.</w:t>
            </w:r>
            <w:r>
              <w:rPr>
                <w:rFonts w:hint="default"/>
                <w:b/>
                <w:bCs/>
                <w:color w:val="auto"/>
                <w:lang w:val="en-US" w:eastAsia="zh-CN"/>
              </w:rPr>
              <w:t>4.1</w:t>
            </w:r>
            <w:r>
              <w:rPr>
                <w:rFonts w:hint="eastAsia"/>
                <w:b/>
                <w:bCs/>
                <w:color w:val="auto"/>
                <w:lang w:val="en-US" w:eastAsia="zh-CN"/>
              </w:rPr>
              <w:t xml:space="preserve"> </w:t>
            </w:r>
            <w:r>
              <w:rPr>
                <w:rFonts w:hint="default"/>
                <w:b/>
                <w:bCs/>
                <w:color w:val="auto"/>
                <w:lang w:val="en-US" w:eastAsia="zh-CN"/>
              </w:rPr>
              <w:t>固体废物污</w:t>
            </w:r>
            <w:r>
              <w:rPr>
                <w:rFonts w:hint="default" w:ascii="Times New Roman" w:hAnsi="Times New Roman" w:cs="Times New Roman"/>
                <w:b/>
                <w:bCs/>
                <w:color w:val="auto"/>
                <w:szCs w:val="24"/>
                <w:lang w:val="en-US" w:eastAsia="zh-CN"/>
              </w:rPr>
              <w:t>染源强汇总</w:t>
            </w:r>
          </w:p>
          <w:p w14:paraId="4A2E9ECE">
            <w:pPr>
              <w:bidi w:val="0"/>
              <w:rPr>
                <w:rFonts w:hint="default" w:ascii="Times New Roman" w:hAnsi="Times New Roman" w:cs="Times New Roman"/>
                <w:color w:val="auto"/>
                <w:sz w:val="24"/>
                <w:szCs w:val="24"/>
                <w:lang w:val="en-US" w:eastAsia="zh-CN"/>
              </w:rPr>
            </w:pPr>
            <w:r>
              <w:rPr>
                <w:rFonts w:hint="eastAsia" w:cs="Times New Roman"/>
                <w:color w:val="auto"/>
                <w:sz w:val="24"/>
                <w:szCs w:val="24"/>
                <w:lang w:val="en-US" w:eastAsia="zh-CN"/>
              </w:rPr>
              <w:t>本项目</w:t>
            </w:r>
            <w:r>
              <w:rPr>
                <w:rFonts w:hint="default" w:ascii="Times New Roman" w:hAnsi="Times New Roman" w:cs="Times New Roman"/>
                <w:color w:val="auto"/>
                <w:sz w:val="24"/>
                <w:szCs w:val="24"/>
                <w:lang w:val="en-US" w:eastAsia="zh-CN"/>
              </w:rPr>
              <w:t>运营期的固体废物主要包括一般固体废物与危险废物。</w:t>
            </w:r>
          </w:p>
          <w:p w14:paraId="0BAEF2D6">
            <w:pP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一般固体废物有员工生活垃圾，废包材、</w:t>
            </w:r>
            <w:r>
              <w:rPr>
                <w:rFonts w:hint="eastAsia" w:cs="Times New Roman"/>
                <w:color w:val="auto"/>
                <w:sz w:val="24"/>
                <w:szCs w:val="24"/>
                <w:lang w:val="en-US" w:eastAsia="zh-CN"/>
              </w:rPr>
              <w:t>沉降金属碎屑、金属边角料、过滤金属碎屑、焊渣、不合格品、布袋除尘器收集粉尘（激光切割、锯床切割）、废布袋、废气瓶</w:t>
            </w:r>
            <w:r>
              <w:rPr>
                <w:rFonts w:hint="default" w:ascii="Times New Roman" w:hAnsi="Times New Roman" w:cs="Times New Roman"/>
                <w:color w:val="auto"/>
                <w:sz w:val="24"/>
                <w:szCs w:val="24"/>
                <w:lang w:val="en-US" w:eastAsia="zh-CN"/>
              </w:rPr>
              <w:t>。</w:t>
            </w:r>
          </w:p>
          <w:p w14:paraId="31970AAB">
            <w:pPr>
              <w:bidi w:val="0"/>
              <w:rPr>
                <w:rFonts w:hint="default" w:ascii="Times New Roman" w:hAnsi="Times New Roman" w:cs="Times New Roman"/>
                <w:b/>
                <w:bCs/>
                <w:color w:val="auto"/>
                <w:sz w:val="24"/>
                <w:szCs w:val="24"/>
                <w:lang w:val="en-US" w:eastAsia="zh-CN"/>
              </w:rPr>
            </w:pPr>
            <w:r>
              <w:rPr>
                <w:rFonts w:hint="default" w:ascii="Times New Roman" w:hAnsi="Times New Roman" w:cs="Times New Roman"/>
                <w:color w:val="auto"/>
                <w:sz w:val="24"/>
                <w:szCs w:val="24"/>
                <w:lang w:val="en-US" w:eastAsia="zh-CN"/>
              </w:rPr>
              <w:t>危险废物有机加工更换废液</w:t>
            </w:r>
            <w:r>
              <w:rPr>
                <w:rFonts w:hint="eastAsia" w:cs="Times New Roman"/>
                <w:color w:val="auto"/>
                <w:sz w:val="24"/>
                <w:szCs w:val="24"/>
                <w:lang w:val="en-US" w:eastAsia="zh-CN"/>
              </w:rPr>
              <w:t>，</w:t>
            </w:r>
            <w:r>
              <w:rPr>
                <w:rFonts w:hint="default" w:ascii="Times New Roman" w:hAnsi="Times New Roman" w:cs="Times New Roman"/>
                <w:b w:val="0"/>
                <w:bCs/>
                <w:color w:val="auto"/>
                <w:sz w:val="24"/>
                <w:szCs w:val="24"/>
                <w:lang w:val="en-US" w:eastAsia="zh-CN"/>
              </w:rPr>
              <w:t>废水性丙烯酸面漆</w:t>
            </w:r>
            <w:r>
              <w:rPr>
                <w:rFonts w:hint="eastAsia" w:cs="Times New Roman"/>
                <w:b w:val="0"/>
                <w:bCs/>
                <w:color w:val="auto"/>
                <w:sz w:val="24"/>
                <w:szCs w:val="24"/>
                <w:lang w:val="en-US" w:eastAsia="zh-CN"/>
              </w:rPr>
              <w:t>桶、</w:t>
            </w:r>
            <w:r>
              <w:rPr>
                <w:rFonts w:hint="default" w:ascii="Times New Roman" w:hAnsi="Times New Roman" w:cs="Times New Roman"/>
                <w:color w:val="auto"/>
                <w:sz w:val="24"/>
                <w:szCs w:val="24"/>
                <w:lang w:val="en-US" w:eastAsia="zh-CN"/>
              </w:rPr>
              <w:t>漆渣</w:t>
            </w:r>
            <w:r>
              <w:rPr>
                <w:rFonts w:hint="eastAsia" w:cs="Times New Roman"/>
                <w:color w:val="auto"/>
                <w:sz w:val="24"/>
                <w:szCs w:val="24"/>
                <w:lang w:val="en-US" w:eastAsia="zh-CN"/>
              </w:rPr>
              <w:t>、喷枪</w:t>
            </w:r>
            <w:r>
              <w:rPr>
                <w:rFonts w:hint="default" w:ascii="Times New Roman" w:hAnsi="Times New Roman" w:cs="Times New Roman"/>
                <w:color w:val="auto"/>
                <w:sz w:val="24"/>
                <w:szCs w:val="24"/>
                <w:lang w:val="en-US" w:eastAsia="zh-CN"/>
              </w:rPr>
              <w:t>清洗废液</w:t>
            </w:r>
            <w:r>
              <w:rPr>
                <w:rFonts w:hint="eastAsia" w:cs="Times New Roman"/>
                <w:color w:val="auto"/>
                <w:sz w:val="24"/>
                <w:szCs w:val="24"/>
                <w:lang w:val="en-US" w:eastAsia="zh-CN"/>
              </w:rPr>
              <w:t>，</w:t>
            </w:r>
            <w:r>
              <w:rPr>
                <w:rFonts w:hint="default" w:ascii="Times New Roman" w:hAnsi="Times New Roman" w:cs="Times New Roman"/>
                <w:b w:val="0"/>
                <w:bCs/>
                <w:color w:val="auto"/>
                <w:sz w:val="24"/>
                <w:szCs w:val="24"/>
                <w:lang w:val="en-US" w:eastAsia="zh-CN"/>
              </w:rPr>
              <w:t>废润滑油</w:t>
            </w:r>
            <w:r>
              <w:rPr>
                <w:rFonts w:hint="eastAsia" w:cs="Times New Roman"/>
                <w:b w:val="0"/>
                <w:bCs/>
                <w:color w:val="auto"/>
                <w:sz w:val="24"/>
                <w:szCs w:val="24"/>
                <w:lang w:val="en-US" w:eastAsia="zh-CN"/>
              </w:rPr>
              <w:t>和废润滑油桶，</w:t>
            </w:r>
            <w:r>
              <w:rPr>
                <w:rFonts w:hint="default" w:ascii="Times New Roman" w:hAnsi="Times New Roman" w:cs="Times New Roman"/>
                <w:b w:val="0"/>
                <w:bCs/>
                <w:color w:val="auto"/>
                <w:sz w:val="24"/>
                <w:szCs w:val="24"/>
                <w:lang w:val="en-US" w:eastAsia="zh-CN"/>
              </w:rPr>
              <w:t>含油抹布</w:t>
            </w:r>
            <w:r>
              <w:rPr>
                <w:rFonts w:hint="eastAsia" w:cs="Times New Roman"/>
                <w:b w:val="0"/>
                <w:bCs/>
                <w:color w:val="auto"/>
                <w:sz w:val="24"/>
                <w:szCs w:val="24"/>
                <w:lang w:val="en-US" w:eastAsia="zh-CN"/>
              </w:rPr>
              <w:t>、</w:t>
            </w:r>
            <w:r>
              <w:rPr>
                <w:rFonts w:hint="default" w:ascii="Times New Roman" w:hAnsi="Times New Roman" w:cs="Times New Roman"/>
                <w:b w:val="0"/>
                <w:bCs/>
                <w:color w:val="auto"/>
                <w:sz w:val="24"/>
                <w:szCs w:val="24"/>
                <w:lang w:val="en-US" w:eastAsia="zh-CN"/>
              </w:rPr>
              <w:t>手套</w:t>
            </w:r>
            <w:r>
              <w:rPr>
                <w:rFonts w:hint="eastAsia" w:cs="Times New Roman"/>
                <w:b w:val="0"/>
                <w:bCs/>
                <w:color w:val="auto"/>
                <w:sz w:val="24"/>
                <w:szCs w:val="24"/>
                <w:lang w:val="en-US" w:eastAsia="zh-CN"/>
              </w:rPr>
              <w:t>，</w:t>
            </w:r>
            <w:r>
              <w:rPr>
                <w:rFonts w:hint="default" w:ascii="Times New Roman" w:hAnsi="Times New Roman" w:cs="Times New Roman"/>
                <w:b w:val="0"/>
                <w:bCs/>
                <w:color w:val="auto"/>
                <w:sz w:val="24"/>
                <w:szCs w:val="24"/>
                <w:lang w:val="en-US" w:eastAsia="zh-CN"/>
              </w:rPr>
              <w:t>废</w:t>
            </w:r>
            <w:r>
              <w:rPr>
                <w:rFonts w:hint="eastAsia" w:cs="Times New Roman"/>
                <w:b w:val="0"/>
                <w:bCs/>
                <w:color w:val="auto"/>
                <w:sz w:val="24"/>
                <w:szCs w:val="24"/>
                <w:lang w:val="en-US" w:eastAsia="zh-CN"/>
              </w:rPr>
              <w:t>滤芯、</w:t>
            </w:r>
            <w:r>
              <w:rPr>
                <w:rFonts w:hint="default" w:ascii="Times New Roman" w:hAnsi="Times New Roman" w:cs="Times New Roman"/>
                <w:b w:val="0"/>
                <w:bCs/>
                <w:color w:val="auto"/>
                <w:sz w:val="24"/>
                <w:szCs w:val="24"/>
                <w:lang w:val="en-US" w:eastAsia="zh-CN"/>
              </w:rPr>
              <w:t>废活性炭</w:t>
            </w:r>
            <w:r>
              <w:rPr>
                <w:rFonts w:hint="default" w:ascii="Times New Roman" w:hAnsi="Times New Roman" w:cs="Times New Roman"/>
                <w:color w:val="auto"/>
                <w:sz w:val="24"/>
                <w:szCs w:val="24"/>
                <w:lang w:val="en-US" w:eastAsia="zh-CN"/>
              </w:rPr>
              <w:t>。</w:t>
            </w:r>
          </w:p>
          <w:p w14:paraId="553EBDD9">
            <w:pPr>
              <w:bidi w:val="0"/>
              <w:rPr>
                <w:rFonts w:hint="default" w:ascii="Times New Roman" w:hAnsi="Times New Roman" w:cs="Times New Roman"/>
                <w:b/>
                <w:bCs/>
                <w:color w:val="auto"/>
                <w:sz w:val="24"/>
                <w:szCs w:val="24"/>
                <w:lang w:val="en-US" w:eastAsia="zh-CN"/>
              </w:rPr>
            </w:pPr>
            <w:r>
              <w:rPr>
                <w:rFonts w:hint="eastAsia" w:cs="Times New Roman"/>
                <w:b/>
                <w:bCs/>
                <w:color w:val="auto"/>
                <w:sz w:val="24"/>
                <w:szCs w:val="24"/>
                <w:lang w:val="en-US" w:eastAsia="zh-CN"/>
              </w:rPr>
              <w:t>（1）</w:t>
            </w:r>
            <w:r>
              <w:rPr>
                <w:rFonts w:hint="default" w:ascii="Times New Roman" w:hAnsi="Times New Roman" w:cs="Times New Roman"/>
                <w:b/>
                <w:bCs/>
                <w:color w:val="auto"/>
                <w:sz w:val="24"/>
                <w:szCs w:val="24"/>
                <w:lang w:val="en-US" w:eastAsia="zh-CN"/>
              </w:rPr>
              <w:t>一般固体废物：</w:t>
            </w:r>
          </w:p>
          <w:p w14:paraId="77EB3A20">
            <w:pPr>
              <w:bidi w:val="0"/>
              <w:rPr>
                <w:rFonts w:hint="default" w:ascii="Times New Roman" w:hAnsi="Times New Roman" w:cs="Times New Roman"/>
                <w:color w:val="auto"/>
                <w:sz w:val="24"/>
                <w:szCs w:val="24"/>
                <w:lang w:val="en-US" w:eastAsia="zh-CN"/>
              </w:rPr>
            </w:pPr>
            <w:r>
              <w:rPr>
                <w:rFonts w:hint="eastAsia" w:cs="Times New Roman"/>
                <w:color w:val="auto"/>
                <w:sz w:val="24"/>
                <w:szCs w:val="24"/>
                <w:lang w:val="en-US" w:eastAsia="zh-CN"/>
              </w:rPr>
              <w:t>①</w:t>
            </w:r>
            <w:r>
              <w:rPr>
                <w:rFonts w:hint="default" w:ascii="Times New Roman" w:hAnsi="Times New Roman" w:cs="Times New Roman"/>
                <w:color w:val="auto"/>
                <w:sz w:val="24"/>
                <w:szCs w:val="24"/>
                <w:lang w:val="en-US" w:eastAsia="zh-CN"/>
              </w:rPr>
              <w:t>员工生活产生的生活垃圾</w:t>
            </w:r>
          </w:p>
          <w:p w14:paraId="35C9E8BE">
            <w:pPr>
              <w:keepNext w:val="0"/>
              <w:keepLines w:val="0"/>
              <w:widowControl/>
              <w:suppressLineNumbers w:val="0"/>
              <w:jc w:val="left"/>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项目劳动定员</w:t>
            </w:r>
            <w:r>
              <w:rPr>
                <w:rFonts w:hint="eastAsia" w:cs="Times New Roman"/>
                <w:color w:val="auto"/>
                <w:sz w:val="24"/>
                <w:szCs w:val="24"/>
                <w:lang w:val="en-US" w:eastAsia="zh-CN"/>
              </w:rPr>
              <w:t>2</w:t>
            </w:r>
            <w:r>
              <w:rPr>
                <w:rFonts w:hint="default" w:ascii="Times New Roman" w:hAnsi="Times New Roman" w:cs="Times New Roman"/>
                <w:color w:val="auto"/>
                <w:sz w:val="24"/>
                <w:szCs w:val="24"/>
                <w:lang w:val="en-US" w:eastAsia="zh-CN"/>
              </w:rPr>
              <w:t>0人，生活垃圾产生量按0.5kg/人﹒d，年工作3</w:t>
            </w:r>
            <w:r>
              <w:rPr>
                <w:rFonts w:hint="eastAsia" w:cs="Times New Roman"/>
                <w:color w:val="auto"/>
                <w:sz w:val="24"/>
                <w:szCs w:val="24"/>
                <w:lang w:val="en-US" w:eastAsia="zh-CN"/>
              </w:rPr>
              <w:t>3</w:t>
            </w:r>
            <w:r>
              <w:rPr>
                <w:rFonts w:hint="default" w:ascii="Times New Roman" w:hAnsi="Times New Roman" w:cs="Times New Roman"/>
                <w:color w:val="auto"/>
                <w:sz w:val="24"/>
                <w:szCs w:val="24"/>
                <w:lang w:val="en-US" w:eastAsia="zh-CN"/>
              </w:rPr>
              <w:t>0天，则员工生活垃圾产生量约为</w:t>
            </w:r>
            <w:r>
              <w:rPr>
                <w:rFonts w:hint="eastAsia" w:cs="Times New Roman"/>
                <w:color w:val="auto"/>
                <w:sz w:val="24"/>
                <w:szCs w:val="24"/>
                <w:lang w:val="en-US" w:eastAsia="zh-CN"/>
              </w:rPr>
              <w:t>3.3</w:t>
            </w:r>
            <w:r>
              <w:rPr>
                <w:rFonts w:hint="default" w:ascii="Times New Roman" w:hAnsi="Times New Roman" w:cs="Times New Roman"/>
                <w:color w:val="auto"/>
                <w:sz w:val="24"/>
                <w:szCs w:val="24"/>
                <w:lang w:val="en-US" w:eastAsia="zh-CN"/>
              </w:rPr>
              <w:t>t/a，委托环卫工人定期清理。根据《固体废物分类与代码目录》（公告2024年第4号），生活垃圾属于S64其他垃圾，代码为900-099-S64。</w:t>
            </w:r>
          </w:p>
          <w:p w14:paraId="4B713B95">
            <w:pPr>
              <w:bidi w:val="0"/>
              <w:rPr>
                <w:rFonts w:hint="default" w:ascii="Times New Roman" w:hAnsi="Times New Roman" w:cs="Times New Roman"/>
                <w:color w:val="auto"/>
                <w:sz w:val="24"/>
                <w:szCs w:val="24"/>
                <w:lang w:val="en-US" w:eastAsia="zh-CN"/>
              </w:rPr>
            </w:pPr>
            <w:r>
              <w:rPr>
                <w:rFonts w:hint="eastAsia" w:cs="Times New Roman"/>
                <w:color w:val="auto"/>
                <w:sz w:val="24"/>
                <w:szCs w:val="24"/>
                <w:lang w:val="en-US" w:eastAsia="zh-CN"/>
              </w:rPr>
              <w:t>②</w:t>
            </w:r>
            <w:r>
              <w:rPr>
                <w:rFonts w:hint="default" w:ascii="Times New Roman" w:hAnsi="Times New Roman" w:cs="Times New Roman"/>
                <w:color w:val="auto"/>
                <w:sz w:val="24"/>
                <w:szCs w:val="24"/>
                <w:lang w:val="en-US" w:eastAsia="zh-CN"/>
              </w:rPr>
              <w:t>废包材</w:t>
            </w:r>
          </w:p>
          <w:p w14:paraId="4635C234">
            <w:pPr>
              <w:keepNext w:val="0"/>
              <w:keepLines w:val="0"/>
              <w:widowControl/>
              <w:suppressLineNumbers w:val="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根据企业提供资料，本项目</w:t>
            </w:r>
            <w:r>
              <w:rPr>
                <w:rFonts w:hint="eastAsia" w:cs="Times New Roman"/>
                <w:color w:val="auto"/>
                <w:sz w:val="24"/>
                <w:szCs w:val="24"/>
                <w:lang w:val="en-US" w:eastAsia="zh-CN"/>
              </w:rPr>
              <w:t>原料和辅料</w:t>
            </w:r>
            <w:r>
              <w:rPr>
                <w:rFonts w:hint="default" w:ascii="Times New Roman" w:hAnsi="Times New Roman" w:cs="Times New Roman"/>
                <w:color w:val="auto"/>
                <w:sz w:val="24"/>
                <w:szCs w:val="24"/>
                <w:lang w:val="en-US" w:eastAsia="zh-CN"/>
              </w:rPr>
              <w:t>包装材料</w:t>
            </w:r>
            <w:r>
              <w:rPr>
                <w:rFonts w:hint="eastAsia" w:cs="Times New Roman"/>
                <w:color w:val="auto"/>
                <w:sz w:val="24"/>
                <w:szCs w:val="24"/>
                <w:lang w:val="en-US" w:eastAsia="zh-CN"/>
              </w:rPr>
              <w:t>以及</w:t>
            </w:r>
            <w:r>
              <w:rPr>
                <w:rFonts w:hint="default" w:ascii="Times New Roman" w:hAnsi="Times New Roman" w:cs="Times New Roman"/>
                <w:color w:val="auto"/>
                <w:sz w:val="24"/>
                <w:szCs w:val="24"/>
                <w:lang w:val="en-US" w:eastAsia="zh-CN"/>
              </w:rPr>
              <w:t>打包产生的废包装材料共计</w:t>
            </w:r>
            <w:r>
              <w:rPr>
                <w:rFonts w:hint="eastAsia" w:cs="Times New Roman"/>
                <w:color w:val="auto"/>
                <w:sz w:val="24"/>
                <w:szCs w:val="24"/>
                <w:lang w:val="en-US" w:eastAsia="zh-CN"/>
              </w:rPr>
              <w:t>10.0</w:t>
            </w:r>
            <w:r>
              <w:rPr>
                <w:rFonts w:hint="default" w:ascii="Times New Roman" w:hAnsi="Times New Roman" w:cs="Times New Roman"/>
                <w:color w:val="auto"/>
                <w:sz w:val="24"/>
                <w:szCs w:val="24"/>
                <w:lang w:val="en-US" w:eastAsia="zh-CN"/>
              </w:rPr>
              <w:t>t/a，收集后暂存一般固废库，定期外售综合利用。根据《固体废物分类与代码目录》（公告2024年第4号），该固废属于S59其他工业固体废物，代码为900-099-S59。</w:t>
            </w:r>
          </w:p>
          <w:p w14:paraId="6A2A0687">
            <w:pPr>
              <w:rPr>
                <w:rFonts w:hint="eastAsia" w:cs="Times New Roman"/>
                <w:color w:val="auto"/>
                <w:sz w:val="24"/>
                <w:szCs w:val="24"/>
                <w:lang w:val="en-US" w:eastAsia="zh-CN"/>
              </w:rPr>
            </w:pPr>
            <w:r>
              <w:rPr>
                <w:rFonts w:hint="eastAsia" w:cs="Times New Roman"/>
                <w:color w:val="auto"/>
                <w:sz w:val="24"/>
                <w:szCs w:val="24"/>
                <w:lang w:val="en-US" w:eastAsia="zh-CN"/>
              </w:rPr>
              <w:t>③沉降金属碎屑</w:t>
            </w:r>
          </w:p>
          <w:p w14:paraId="446F3A12">
            <w:pPr>
              <w:bidi w:val="0"/>
              <w:rPr>
                <w:rFonts w:hint="default"/>
                <w:color w:val="auto"/>
                <w:lang w:val="en-US" w:eastAsia="zh-CN"/>
              </w:rPr>
            </w:pPr>
            <w:r>
              <w:rPr>
                <w:rFonts w:hint="default"/>
                <w:color w:val="auto"/>
                <w:lang w:val="en-US" w:eastAsia="zh-CN"/>
              </w:rPr>
              <w:t>本项目大尺寸钢材用锯床进行切割，产生的切割金属粉尘</w:t>
            </w:r>
            <w:r>
              <w:rPr>
                <w:rFonts w:hint="eastAsia"/>
                <w:color w:val="auto"/>
                <w:lang w:val="en-US" w:eastAsia="zh-CN"/>
              </w:rPr>
              <w:t>10.51</w:t>
            </w:r>
            <w:r>
              <w:rPr>
                <w:rFonts w:hint="default"/>
                <w:color w:val="auto"/>
                <w:lang w:val="en-US" w:eastAsia="zh-CN"/>
              </w:rPr>
              <w:t>t/a。约</w:t>
            </w:r>
            <w:r>
              <w:rPr>
                <w:rFonts w:hint="eastAsia"/>
                <w:color w:val="auto"/>
                <w:lang w:val="en-US" w:eastAsia="zh-CN"/>
              </w:rPr>
              <w:t>20</w:t>
            </w:r>
            <w:r>
              <w:rPr>
                <w:rFonts w:hint="default"/>
                <w:color w:val="auto"/>
                <w:lang w:val="en-US" w:eastAsia="zh-CN"/>
              </w:rPr>
              <w:t>%进行沉降，沉降后对车间定期清扫，收集外售，收集量为</w:t>
            </w:r>
            <w:r>
              <w:rPr>
                <w:rFonts w:hint="eastAsia"/>
                <w:color w:val="auto"/>
                <w:lang w:val="en-US" w:eastAsia="zh-CN"/>
              </w:rPr>
              <w:t>2.102</w:t>
            </w:r>
            <w:r>
              <w:rPr>
                <w:rFonts w:hint="default"/>
                <w:color w:val="auto"/>
                <w:lang w:val="en-US" w:eastAsia="zh-CN"/>
              </w:rPr>
              <w:t>t/a。根据《固体废物分类与代码目录》（公告2024年第4号），</w:t>
            </w:r>
            <w:r>
              <w:rPr>
                <w:rFonts w:hint="default" w:ascii="Times New Roman" w:hAnsi="Times New Roman" w:cs="Times New Roman"/>
                <w:color w:val="auto"/>
                <w:sz w:val="24"/>
                <w:szCs w:val="24"/>
                <w:lang w:eastAsia="zh-CN"/>
              </w:rPr>
              <w:t>工业生产活动中产生的以钢铁为主要成分的边角料代码为900-001-S17。</w:t>
            </w:r>
          </w:p>
          <w:p w14:paraId="2F3FC708">
            <w:pPr>
              <w:rPr>
                <w:rFonts w:hint="eastAsia" w:cs="Times New Roman"/>
                <w:color w:val="auto"/>
                <w:sz w:val="24"/>
                <w:szCs w:val="24"/>
                <w:lang w:val="en-US" w:eastAsia="zh-CN"/>
              </w:rPr>
            </w:pPr>
            <w:r>
              <w:rPr>
                <w:rFonts w:hint="eastAsia" w:cs="Times New Roman"/>
                <w:color w:val="auto"/>
                <w:sz w:val="24"/>
                <w:szCs w:val="24"/>
                <w:lang w:val="en-US" w:eastAsia="zh-CN"/>
              </w:rPr>
              <w:t>④金属边角料（机加工）</w:t>
            </w:r>
          </w:p>
          <w:p w14:paraId="42D4AEC0">
            <w:pPr>
              <w:ind w:firstLine="480"/>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切割、剪切等机加工工序会产生金属边角料，</w:t>
            </w:r>
            <w:r>
              <w:rPr>
                <w:rFonts w:hint="default" w:ascii="Times New Roman" w:hAnsi="Times New Roman" w:cs="Times New Roman"/>
                <w:color w:val="auto"/>
                <w:sz w:val="24"/>
                <w:szCs w:val="24"/>
                <w:lang w:eastAsia="zh-CN"/>
              </w:rPr>
              <w:t>根据建设单位提供资料，此过程</w:t>
            </w:r>
            <w:r>
              <w:rPr>
                <w:rFonts w:hint="eastAsia" w:cs="Times New Roman"/>
                <w:color w:val="auto"/>
                <w:sz w:val="24"/>
                <w:szCs w:val="24"/>
                <w:lang w:val="en-US" w:eastAsia="zh-CN"/>
              </w:rPr>
              <w:t>金属</w:t>
            </w:r>
            <w:r>
              <w:rPr>
                <w:rFonts w:hint="default" w:ascii="Times New Roman" w:hAnsi="Times New Roman" w:cs="Times New Roman"/>
                <w:color w:val="auto"/>
                <w:sz w:val="24"/>
                <w:szCs w:val="24"/>
                <w:lang w:eastAsia="zh-CN"/>
              </w:rPr>
              <w:t>的产量为</w:t>
            </w:r>
            <w:r>
              <w:rPr>
                <w:rFonts w:hint="eastAsia" w:cs="Times New Roman"/>
                <w:color w:val="auto"/>
                <w:sz w:val="24"/>
                <w:szCs w:val="24"/>
                <w:lang w:val="en-US" w:eastAsia="zh-CN"/>
              </w:rPr>
              <w:t>15</w:t>
            </w:r>
            <w:r>
              <w:rPr>
                <w:rFonts w:hint="default" w:ascii="Times New Roman" w:hAnsi="Times New Roman" w:cs="Times New Roman"/>
                <w:color w:val="auto"/>
                <w:sz w:val="24"/>
                <w:szCs w:val="24"/>
                <w:lang w:eastAsia="zh-CN"/>
              </w:rPr>
              <w:t>t/a，主要成分为金属，属于一般固废，根据《固体废物分类与代码目录》（公告2024年第4号），工业生产活动中产生的以钢铁为主要成分的边角料代码为900-001-S17。暂存在一般固废存储间，外售有关单位，综合利用。</w:t>
            </w:r>
          </w:p>
          <w:p w14:paraId="04EDA897">
            <w:pPr>
              <w:bidi w:val="0"/>
              <w:rPr>
                <w:rFonts w:hint="default" w:cs="Times New Roman"/>
                <w:color w:val="auto"/>
                <w:sz w:val="24"/>
                <w:szCs w:val="24"/>
                <w:lang w:val="en-US" w:eastAsia="zh-CN"/>
              </w:rPr>
            </w:pPr>
            <w:r>
              <w:rPr>
                <w:rFonts w:hint="eastAsia" w:cs="Times New Roman"/>
                <w:color w:val="auto"/>
                <w:sz w:val="24"/>
                <w:szCs w:val="24"/>
                <w:lang w:val="en-US" w:eastAsia="zh-CN"/>
              </w:rPr>
              <w:t>⑤过滤金属碎屑</w:t>
            </w:r>
          </w:p>
          <w:p w14:paraId="01D1E4B0">
            <w:pPr>
              <w:ind w:firstLine="480"/>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钻孔、铣槽、车床加工伴水作业，</w:t>
            </w:r>
            <w:r>
              <w:rPr>
                <w:rFonts w:hint="default" w:ascii="Times New Roman" w:hAnsi="Times New Roman" w:cs="Times New Roman"/>
                <w:color w:val="auto"/>
                <w:sz w:val="24"/>
                <w:szCs w:val="24"/>
                <w:lang w:eastAsia="zh-CN"/>
              </w:rPr>
              <w:t>加工工序中会产生金属屑与</w:t>
            </w:r>
            <w:r>
              <w:rPr>
                <w:rFonts w:hint="eastAsia" w:cs="Times New Roman"/>
                <w:color w:val="auto"/>
                <w:sz w:val="24"/>
                <w:szCs w:val="24"/>
                <w:lang w:val="en-US" w:eastAsia="zh-CN"/>
              </w:rPr>
              <w:t>水</w:t>
            </w:r>
            <w:r>
              <w:rPr>
                <w:rFonts w:hint="default" w:ascii="Times New Roman" w:hAnsi="Times New Roman" w:cs="Times New Roman"/>
                <w:color w:val="auto"/>
                <w:sz w:val="24"/>
                <w:szCs w:val="24"/>
                <w:lang w:eastAsia="zh-CN"/>
              </w:rPr>
              <w:t>混合物，通过设备配套的过滤器，将金属屑与</w:t>
            </w:r>
            <w:r>
              <w:rPr>
                <w:rFonts w:hint="eastAsia" w:cs="Times New Roman"/>
                <w:color w:val="auto"/>
                <w:sz w:val="24"/>
                <w:szCs w:val="24"/>
                <w:lang w:val="en-US" w:eastAsia="zh-CN"/>
              </w:rPr>
              <w:t>水</w:t>
            </w:r>
            <w:r>
              <w:rPr>
                <w:rFonts w:hint="default" w:ascii="Times New Roman" w:hAnsi="Times New Roman" w:cs="Times New Roman"/>
                <w:color w:val="auto"/>
                <w:sz w:val="24"/>
                <w:szCs w:val="24"/>
                <w:lang w:eastAsia="zh-CN"/>
              </w:rPr>
              <w:t>进行分离，</w:t>
            </w:r>
            <w:r>
              <w:rPr>
                <w:rFonts w:hint="eastAsia" w:cs="Times New Roman"/>
                <w:color w:val="auto"/>
                <w:sz w:val="24"/>
                <w:szCs w:val="24"/>
                <w:lang w:val="en-US" w:eastAsia="zh-CN"/>
              </w:rPr>
              <w:t>过滤后的自来水</w:t>
            </w:r>
            <w:r>
              <w:rPr>
                <w:rFonts w:hint="default" w:ascii="Times New Roman" w:hAnsi="Times New Roman" w:cs="Times New Roman"/>
                <w:color w:val="auto"/>
                <w:sz w:val="24"/>
                <w:szCs w:val="24"/>
                <w:lang w:eastAsia="zh-CN"/>
              </w:rPr>
              <w:t>循环使用。根据建设单位提供资料，此过程金属屑的产量为</w:t>
            </w:r>
            <w:r>
              <w:rPr>
                <w:rFonts w:hint="eastAsia" w:cs="Times New Roman"/>
                <w:color w:val="auto"/>
                <w:sz w:val="24"/>
                <w:szCs w:val="24"/>
                <w:lang w:val="en-US" w:eastAsia="zh-CN"/>
              </w:rPr>
              <w:t>3.0</w:t>
            </w:r>
            <w:r>
              <w:rPr>
                <w:rFonts w:hint="default" w:ascii="Times New Roman" w:hAnsi="Times New Roman" w:cs="Times New Roman"/>
                <w:color w:val="auto"/>
                <w:sz w:val="24"/>
                <w:szCs w:val="24"/>
                <w:lang w:eastAsia="zh-CN"/>
              </w:rPr>
              <w:t>t/a，主要成分为金属，属于一般固废，根据《固体废物分类与代码目录》（公告2024年第4号），工业生产活动中产生的以钢铁为主要成分的边角料代码为900-001-S17</w:t>
            </w:r>
            <w:r>
              <w:rPr>
                <w:rFonts w:hint="eastAsia" w:cs="Times New Roman"/>
                <w:color w:val="auto"/>
                <w:sz w:val="24"/>
                <w:szCs w:val="24"/>
                <w:lang w:eastAsia="zh-CN"/>
              </w:rPr>
              <w:t>。</w:t>
            </w:r>
            <w:r>
              <w:rPr>
                <w:rFonts w:hint="default" w:ascii="Times New Roman" w:hAnsi="Times New Roman" w:cs="Times New Roman"/>
                <w:color w:val="auto"/>
                <w:sz w:val="24"/>
                <w:szCs w:val="24"/>
                <w:lang w:eastAsia="zh-CN"/>
              </w:rPr>
              <w:t>暂存在一般固废存储间，外售有关单位，综合利用。</w:t>
            </w:r>
          </w:p>
          <w:p w14:paraId="62D21984">
            <w:pPr>
              <w:bidi w:val="0"/>
              <w:rPr>
                <w:rFonts w:hint="default" w:cs="Times New Roman"/>
                <w:color w:val="auto"/>
                <w:sz w:val="24"/>
                <w:szCs w:val="24"/>
                <w:lang w:val="en-US" w:eastAsia="zh-CN"/>
              </w:rPr>
            </w:pPr>
            <w:r>
              <w:rPr>
                <w:rFonts w:hint="eastAsia" w:cs="Times New Roman"/>
                <w:color w:val="auto"/>
                <w:sz w:val="24"/>
                <w:szCs w:val="24"/>
                <w:lang w:val="en-US" w:eastAsia="zh-CN"/>
              </w:rPr>
              <w:t>⑥焊渣</w:t>
            </w:r>
          </w:p>
          <w:p w14:paraId="0CDE7A77">
            <w:pPr>
              <w:bidi w:val="0"/>
              <w:rPr>
                <w:rFonts w:hint="default" w:cs="Times New Roman"/>
                <w:color w:val="auto"/>
                <w:sz w:val="24"/>
                <w:szCs w:val="24"/>
                <w:lang w:val="en-US" w:eastAsia="zh-CN"/>
              </w:rPr>
            </w:pPr>
            <w:r>
              <w:rPr>
                <w:rFonts w:hint="eastAsia" w:cs="Times New Roman"/>
                <w:color w:val="auto"/>
                <w:sz w:val="24"/>
                <w:szCs w:val="24"/>
                <w:lang w:val="en-US" w:eastAsia="zh-CN"/>
              </w:rPr>
              <w:t>本项目需焊接的金属件为325t，焊渣的生成量占焊接金属的1%，则本项目焊渣产生量为3.25t，</w:t>
            </w:r>
            <w:r>
              <w:rPr>
                <w:rFonts w:hint="default" w:ascii="Times New Roman" w:hAnsi="Times New Roman" w:cs="Times New Roman"/>
                <w:color w:val="auto"/>
                <w:sz w:val="24"/>
                <w:szCs w:val="24"/>
                <w:lang w:eastAsia="zh-CN"/>
              </w:rPr>
              <w:t>暂存在一般固废存储间，外售有关单位，综合利用。</w:t>
            </w:r>
          </w:p>
          <w:p w14:paraId="06148F93">
            <w:pPr>
              <w:bidi w:val="0"/>
              <w:rPr>
                <w:rFonts w:hint="eastAsia" w:cs="Times New Roman"/>
                <w:color w:val="auto"/>
                <w:sz w:val="24"/>
                <w:szCs w:val="24"/>
                <w:lang w:val="en-US" w:eastAsia="zh-CN"/>
              </w:rPr>
            </w:pPr>
            <w:r>
              <w:rPr>
                <w:rFonts w:hint="eastAsia" w:cs="Times New Roman"/>
                <w:color w:val="auto"/>
                <w:sz w:val="24"/>
                <w:szCs w:val="24"/>
                <w:lang w:val="en-US" w:eastAsia="zh-CN"/>
              </w:rPr>
              <w:t>⑦不合格品</w:t>
            </w:r>
          </w:p>
          <w:p w14:paraId="738B5115">
            <w:pPr>
              <w:bidi w:val="0"/>
              <w:rPr>
                <w:rFonts w:hint="default"/>
                <w:color w:val="auto"/>
                <w:lang w:val="en-US" w:eastAsia="zh-CN"/>
              </w:rPr>
            </w:pPr>
            <w:r>
              <w:rPr>
                <w:rFonts w:hint="eastAsia"/>
                <w:color w:val="auto"/>
                <w:lang w:val="en-US" w:eastAsia="zh-CN"/>
              </w:rPr>
              <w:t>组装后对产品进行测试，不合格的返修至合格包装出库。</w:t>
            </w:r>
          </w:p>
          <w:p w14:paraId="2F55C07E">
            <w:pPr>
              <w:bidi w:val="0"/>
              <w:rPr>
                <w:rFonts w:hint="eastAsia" w:cs="Times New Roman"/>
                <w:color w:val="auto"/>
                <w:sz w:val="24"/>
                <w:szCs w:val="24"/>
                <w:lang w:val="en-US" w:eastAsia="zh-CN"/>
              </w:rPr>
            </w:pPr>
            <w:r>
              <w:rPr>
                <w:rFonts w:hint="eastAsia" w:cs="Times New Roman"/>
                <w:color w:val="auto"/>
                <w:sz w:val="24"/>
                <w:szCs w:val="24"/>
                <w:lang w:val="en-US" w:eastAsia="zh-CN"/>
              </w:rPr>
              <w:t>⑧布袋除尘器收集粉尘（激光、锯床切割）</w:t>
            </w:r>
          </w:p>
          <w:p w14:paraId="3919EA54">
            <w:pPr>
              <w:bidi w:val="0"/>
              <w:rPr>
                <w:rFonts w:hint="eastAsia"/>
                <w:color w:val="auto"/>
                <w:lang w:val="en-US" w:eastAsia="zh-CN"/>
              </w:rPr>
            </w:pPr>
            <w:r>
              <w:rPr>
                <w:rFonts w:hint="eastAsia" w:cs="Times New Roman"/>
                <w:color w:val="auto"/>
                <w:sz w:val="24"/>
                <w:szCs w:val="24"/>
                <w:lang w:val="en-US" w:eastAsia="zh-CN"/>
              </w:rPr>
              <w:t>本项目布袋除尘器收集的激光、锯床切割粉尘为一般固废，根据上文废气源强产生情况分析，其中布袋除尘器截留的激光切割金属粉尘0.722t/a、锯床切割粉尘8.408t/a，共计9.13t/a。存于一般固废库，定期外售综合利用。根据《固体废物分类与代码目录》（公告2024年第4号），</w:t>
            </w:r>
            <w:r>
              <w:rPr>
                <w:rFonts w:hint="default" w:ascii="Times New Roman" w:hAnsi="Times New Roman" w:cs="Times New Roman"/>
                <w:color w:val="auto"/>
                <w:sz w:val="24"/>
                <w:szCs w:val="24"/>
                <w:lang w:eastAsia="zh-CN"/>
              </w:rPr>
              <w:t>工业生产活动中产生的以钢铁为主要成分的边角料代码为900-001-S17</w:t>
            </w:r>
            <w:r>
              <w:rPr>
                <w:rFonts w:hint="eastAsia" w:cs="Times New Roman"/>
                <w:color w:val="auto"/>
                <w:sz w:val="24"/>
                <w:szCs w:val="24"/>
                <w:lang w:val="en-US" w:eastAsia="zh-CN"/>
              </w:rPr>
              <w:t>。</w:t>
            </w:r>
          </w:p>
          <w:p w14:paraId="1D927949">
            <w:pPr>
              <w:bidi w:val="0"/>
              <w:rPr>
                <w:rFonts w:hint="eastAsia" w:cs="Times New Roman"/>
                <w:color w:val="auto"/>
                <w:sz w:val="24"/>
                <w:szCs w:val="24"/>
                <w:lang w:val="en-US" w:eastAsia="zh-CN"/>
              </w:rPr>
            </w:pPr>
            <w:r>
              <w:rPr>
                <w:rFonts w:hint="eastAsia" w:cs="Times New Roman"/>
                <w:color w:val="auto"/>
                <w:sz w:val="24"/>
                <w:szCs w:val="24"/>
                <w:lang w:val="en-US" w:eastAsia="zh-CN"/>
              </w:rPr>
              <w:t>⑨废布袋（激光、锯床切割废气处理定期更换）</w:t>
            </w:r>
          </w:p>
          <w:p w14:paraId="4001ADD5">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激光切割</w:t>
            </w:r>
            <w:r>
              <w:rPr>
                <w:rFonts w:hint="eastAsia" w:ascii="Times New Roman" w:hAnsi="Times New Roman" w:cs="Times New Roman"/>
                <w:color w:val="auto"/>
                <w:sz w:val="24"/>
                <w:szCs w:val="24"/>
                <w:lang w:val="en-US" w:eastAsia="zh-CN"/>
              </w:rPr>
              <w:t>废气</w:t>
            </w:r>
            <w:r>
              <w:rPr>
                <w:rFonts w:hint="eastAsia" w:cs="Times New Roman"/>
                <w:color w:val="auto"/>
                <w:sz w:val="24"/>
                <w:szCs w:val="24"/>
                <w:lang w:val="en-US" w:eastAsia="zh-CN"/>
              </w:rPr>
              <w:t>收集后采用1套布袋除尘，锯床切割</w:t>
            </w:r>
            <w:r>
              <w:rPr>
                <w:rFonts w:hint="eastAsia" w:ascii="Times New Roman" w:hAnsi="Times New Roman" w:cs="Times New Roman"/>
                <w:color w:val="auto"/>
                <w:sz w:val="24"/>
                <w:szCs w:val="24"/>
                <w:lang w:val="en-US" w:eastAsia="zh-CN"/>
              </w:rPr>
              <w:t>废气</w:t>
            </w:r>
            <w:r>
              <w:rPr>
                <w:rFonts w:hint="eastAsia" w:cs="Times New Roman"/>
                <w:color w:val="auto"/>
                <w:sz w:val="24"/>
                <w:szCs w:val="24"/>
                <w:lang w:val="en-US" w:eastAsia="zh-CN"/>
              </w:rPr>
              <w:t>收集后采用2套移动式袋式除尘器，布袋均一年更换一次，单个废布袋重量为5kg</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共计15kg/a，</w:t>
            </w:r>
            <w:r>
              <w:rPr>
                <w:rFonts w:hint="default" w:ascii="Times New Roman" w:hAnsi="Times New Roman" w:cs="Times New Roman"/>
                <w:color w:val="auto"/>
                <w:sz w:val="24"/>
                <w:szCs w:val="24"/>
                <w:lang w:val="en-US" w:eastAsia="zh-CN"/>
              </w:rPr>
              <w:t>收集后暂存一般固废间，</w:t>
            </w:r>
            <w:r>
              <w:rPr>
                <w:rFonts w:hint="eastAsia" w:cs="Times New Roman"/>
                <w:color w:val="auto"/>
                <w:sz w:val="24"/>
                <w:szCs w:val="24"/>
                <w:lang w:val="en-US" w:eastAsia="zh-CN"/>
              </w:rPr>
              <w:t>交厂家回收</w:t>
            </w:r>
            <w:r>
              <w:rPr>
                <w:rFonts w:hint="default" w:ascii="Times New Roman" w:hAnsi="Times New Roman" w:cs="Times New Roman"/>
                <w:color w:val="auto"/>
                <w:sz w:val="24"/>
                <w:szCs w:val="24"/>
                <w:lang w:val="en-US" w:eastAsia="zh-CN"/>
              </w:rPr>
              <w:t>。根据《固体废物分类与代码目录》（公告2024年第4号）</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工业生产活动中产生的废过滤袋、过滤器等过滤材料。代码为900-009-S59。</w:t>
            </w:r>
          </w:p>
          <w:p w14:paraId="56F30668">
            <w:pPr>
              <w:bidi w:val="0"/>
              <w:rPr>
                <w:rFonts w:hint="eastAsia" w:cs="Times New Roman"/>
                <w:color w:val="auto"/>
                <w:sz w:val="24"/>
                <w:szCs w:val="24"/>
                <w:lang w:val="en-US" w:eastAsia="zh-CN"/>
              </w:rPr>
            </w:pPr>
            <w:r>
              <w:rPr>
                <w:rFonts w:hint="eastAsia" w:cs="Times New Roman"/>
                <w:color w:val="auto"/>
                <w:sz w:val="24"/>
                <w:szCs w:val="24"/>
                <w:lang w:val="en-US" w:eastAsia="zh-CN"/>
              </w:rPr>
              <w:t>⑩废气瓶</w:t>
            </w:r>
          </w:p>
          <w:p w14:paraId="2D97F44E">
            <w:pPr>
              <w:numPr>
                <w:ilvl w:val="0"/>
                <w:numId w:val="0"/>
              </w:numPr>
              <w:bidi w:val="0"/>
              <w:ind w:left="-2" w:leftChars="0" w:firstLine="480" w:firstLineChars="200"/>
              <w:rPr>
                <w:rFonts w:hint="default" w:ascii="Times New Roman" w:hAnsi="Times New Roman" w:cs="Times New Roman"/>
                <w:color w:val="auto"/>
                <w:lang w:val="en-US" w:eastAsia="zh-CN"/>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CO</w:t>
            </w:r>
            <w:r>
              <w:rPr>
                <w:rFonts w:hint="eastAsia" w:cs="Times New Roman"/>
                <w:color w:val="auto"/>
                <w:sz w:val="24"/>
                <w:szCs w:val="24"/>
                <w:vertAlign w:val="subscript"/>
                <w:lang w:val="en-US" w:eastAsia="zh-CN"/>
              </w:rPr>
              <w:t>2</w:t>
            </w:r>
            <w:r>
              <w:rPr>
                <w:rFonts w:hint="eastAsia" w:cs="Times New Roman"/>
                <w:color w:val="auto"/>
                <w:sz w:val="24"/>
                <w:szCs w:val="24"/>
                <w:lang w:val="en-US" w:eastAsia="zh-CN"/>
              </w:rPr>
              <w:t>保护焊和氩弧焊接时，使用的保护气体包装容器产生废气瓶，</w:t>
            </w:r>
            <w:r>
              <w:rPr>
                <w:rFonts w:hint="eastAsia" w:cs="Times New Roman"/>
                <w:color w:val="auto"/>
                <w:lang w:val="en-US" w:eastAsia="zh-CN"/>
              </w:rPr>
              <w:t>本项目CO2、氩气废气瓶，具体产生量计算如下：</w:t>
            </w:r>
          </w:p>
          <w:p w14:paraId="7FBF6515">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使用</w:t>
            </w:r>
            <w:r>
              <w:rPr>
                <w:rFonts w:hint="default" w:ascii="Times New Roman" w:hAnsi="Times New Roman" w:cs="Times New Roman"/>
                <w:color w:val="auto"/>
                <w:sz w:val="24"/>
                <w:szCs w:val="24"/>
                <w:lang w:val="en-US" w:eastAsia="zh-CN"/>
              </w:rPr>
              <w:t>的</w:t>
            </w:r>
            <w:r>
              <w:rPr>
                <w:rFonts w:hint="eastAsia" w:ascii="Times New Roman" w:hAnsi="Times New Roman" w:cs="Times New Roman"/>
                <w:color w:val="auto"/>
                <w:sz w:val="24"/>
                <w:szCs w:val="24"/>
                <w:lang w:val="en-US" w:eastAsia="zh-CN"/>
              </w:rPr>
              <w:t>CO</w:t>
            </w:r>
            <w:r>
              <w:rPr>
                <w:rFonts w:hint="eastAsia" w:ascii="Times New Roman" w:hAnsi="Times New Roman" w:cs="Times New Roman"/>
                <w:color w:val="auto"/>
                <w:sz w:val="24"/>
                <w:szCs w:val="24"/>
                <w:vertAlign w:val="subscript"/>
                <w:lang w:val="en-US" w:eastAsia="zh-CN"/>
              </w:rPr>
              <w:t>2</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15</w:t>
            </w:r>
            <w:r>
              <w:rPr>
                <w:rFonts w:hint="default" w:ascii="Times New Roman" w:hAnsi="Times New Roman" w:cs="Times New Roman"/>
                <w:color w:val="auto"/>
                <w:sz w:val="24"/>
                <w:szCs w:val="24"/>
                <w:lang w:val="en-US" w:eastAsia="zh-CN"/>
              </w:rPr>
              <w:t>kg/</w:t>
            </w:r>
            <w:r>
              <w:rPr>
                <w:rFonts w:hint="eastAsia" w:ascii="Times New Roman" w:hAnsi="Times New Roman" w:cs="Times New Roman"/>
                <w:color w:val="auto"/>
                <w:sz w:val="24"/>
                <w:szCs w:val="24"/>
                <w:lang w:val="en-US" w:eastAsia="zh-CN"/>
              </w:rPr>
              <w:t>瓶</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瓶</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10</w:t>
            </w:r>
            <w:r>
              <w:rPr>
                <w:rFonts w:hint="default" w:ascii="Times New Roman" w:hAnsi="Times New Roman" w:cs="Times New Roman"/>
                <w:color w:val="auto"/>
                <w:sz w:val="24"/>
                <w:szCs w:val="24"/>
                <w:lang w:val="en-US" w:eastAsia="zh-CN"/>
              </w:rPr>
              <w:t>kg/只），使用总量为</w:t>
            </w:r>
            <w:r>
              <w:rPr>
                <w:rFonts w:hint="eastAsia" w:cs="Times New Roman"/>
                <w:color w:val="auto"/>
                <w:sz w:val="24"/>
                <w:szCs w:val="24"/>
                <w:lang w:val="en-US" w:eastAsia="zh-CN"/>
              </w:rPr>
              <w:t>2.4</w:t>
            </w:r>
            <w:r>
              <w:rPr>
                <w:rFonts w:hint="default" w:ascii="Times New Roman" w:hAnsi="Times New Roman" w:cs="Times New Roman"/>
                <w:color w:val="auto"/>
                <w:sz w:val="24"/>
                <w:szCs w:val="24"/>
                <w:lang w:val="en-US" w:eastAsia="zh-CN"/>
              </w:rPr>
              <w:t>t/a，</w:t>
            </w:r>
            <w:r>
              <w:rPr>
                <w:rFonts w:hint="eastAsia" w:ascii="Times New Roman" w:hAnsi="Times New Roman" w:cs="Times New Roman"/>
                <w:color w:val="auto"/>
                <w:sz w:val="24"/>
                <w:szCs w:val="24"/>
                <w:lang w:val="en-US" w:eastAsia="zh-CN"/>
              </w:rPr>
              <w:t>废气瓶</w:t>
            </w:r>
            <w:r>
              <w:rPr>
                <w:rFonts w:hint="default" w:ascii="Times New Roman" w:hAnsi="Times New Roman" w:cs="Times New Roman"/>
                <w:color w:val="auto"/>
                <w:sz w:val="24"/>
                <w:szCs w:val="24"/>
                <w:lang w:val="en-US" w:eastAsia="zh-CN"/>
              </w:rPr>
              <w:t>的产量约</w:t>
            </w:r>
            <w:r>
              <w:rPr>
                <w:rFonts w:hint="eastAsia" w:ascii="Times New Roman" w:hAnsi="Times New Roman" w:cs="Times New Roman"/>
                <w:color w:val="auto"/>
                <w:sz w:val="24"/>
                <w:szCs w:val="24"/>
                <w:lang w:val="en-US" w:eastAsia="zh-CN"/>
              </w:rPr>
              <w:t>1.6</w:t>
            </w:r>
            <w:r>
              <w:rPr>
                <w:rFonts w:hint="default" w:ascii="Times New Roman" w:hAnsi="Times New Roman" w:cs="Times New Roman"/>
                <w:color w:val="auto"/>
                <w:sz w:val="24"/>
                <w:szCs w:val="24"/>
                <w:lang w:val="en-US" w:eastAsia="zh-CN"/>
              </w:rPr>
              <w:t>t/a；</w:t>
            </w:r>
            <w:r>
              <w:rPr>
                <w:rFonts w:hint="eastAsia" w:ascii="Times New Roman" w:hAnsi="Times New Roman" w:cs="Times New Roman"/>
                <w:color w:val="auto"/>
                <w:sz w:val="24"/>
                <w:szCs w:val="24"/>
                <w:lang w:val="en-US" w:eastAsia="zh-CN"/>
              </w:rPr>
              <w:t>氩气</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15</w:t>
            </w:r>
            <w:r>
              <w:rPr>
                <w:rFonts w:hint="default" w:ascii="Times New Roman" w:hAnsi="Times New Roman" w:cs="Times New Roman"/>
                <w:color w:val="auto"/>
                <w:sz w:val="24"/>
                <w:szCs w:val="24"/>
                <w:lang w:val="en-US" w:eastAsia="zh-CN"/>
              </w:rPr>
              <w:t>kg/桶（</w:t>
            </w:r>
            <w:r>
              <w:rPr>
                <w:rFonts w:hint="eastAsia" w:cs="Times New Roman"/>
                <w:color w:val="auto"/>
                <w:sz w:val="24"/>
                <w:szCs w:val="24"/>
                <w:lang w:val="en-US" w:eastAsia="zh-CN"/>
              </w:rPr>
              <w:t>瓶</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10</w:t>
            </w:r>
            <w:r>
              <w:rPr>
                <w:rFonts w:hint="default" w:ascii="Times New Roman" w:hAnsi="Times New Roman" w:cs="Times New Roman"/>
                <w:color w:val="auto"/>
                <w:sz w:val="24"/>
                <w:szCs w:val="24"/>
                <w:lang w:val="en-US" w:eastAsia="zh-CN"/>
              </w:rPr>
              <w:t>kg/只），使用总量为</w:t>
            </w:r>
            <w:r>
              <w:rPr>
                <w:rFonts w:hint="eastAsia" w:ascii="Times New Roman" w:hAnsi="Times New Roman" w:cs="Times New Roman"/>
                <w:color w:val="auto"/>
                <w:sz w:val="24"/>
                <w:szCs w:val="24"/>
                <w:lang w:val="en-US" w:eastAsia="zh-CN"/>
              </w:rPr>
              <w:t>1.2</w:t>
            </w:r>
            <w:r>
              <w:rPr>
                <w:rFonts w:hint="default" w:ascii="Times New Roman" w:hAnsi="Times New Roman" w:cs="Times New Roman"/>
                <w:color w:val="auto"/>
                <w:sz w:val="24"/>
                <w:szCs w:val="24"/>
                <w:lang w:val="en-US" w:eastAsia="zh-CN"/>
              </w:rPr>
              <w:t>t/a，废</w:t>
            </w:r>
            <w:r>
              <w:rPr>
                <w:rFonts w:hint="eastAsia" w:ascii="Times New Roman" w:hAnsi="Times New Roman" w:cs="Times New Roman"/>
                <w:color w:val="auto"/>
                <w:sz w:val="24"/>
                <w:szCs w:val="24"/>
                <w:lang w:val="en-US" w:eastAsia="zh-CN"/>
              </w:rPr>
              <w:t>气瓶</w:t>
            </w:r>
            <w:r>
              <w:rPr>
                <w:rFonts w:hint="default" w:ascii="Times New Roman" w:hAnsi="Times New Roman" w:cs="Times New Roman"/>
                <w:color w:val="auto"/>
                <w:sz w:val="24"/>
                <w:szCs w:val="24"/>
                <w:lang w:val="en-US" w:eastAsia="zh-CN"/>
              </w:rPr>
              <w:t>的产量约0.</w:t>
            </w:r>
            <w:r>
              <w:rPr>
                <w:rFonts w:hint="eastAsia" w:cs="Times New Roman"/>
                <w:color w:val="auto"/>
                <w:sz w:val="24"/>
                <w:szCs w:val="24"/>
                <w:lang w:val="en-US" w:eastAsia="zh-CN"/>
              </w:rPr>
              <w:t>8</w:t>
            </w:r>
            <w:r>
              <w:rPr>
                <w:rFonts w:hint="default" w:ascii="Times New Roman" w:hAnsi="Times New Roman" w:cs="Times New Roman"/>
                <w:color w:val="auto"/>
                <w:sz w:val="24"/>
                <w:szCs w:val="24"/>
                <w:lang w:val="en-US" w:eastAsia="zh-CN"/>
              </w:rPr>
              <w:t>t/a</w:t>
            </w:r>
            <w:r>
              <w:rPr>
                <w:rFonts w:hint="eastAsia" w:ascii="Times New Roman" w:hAnsi="Times New Roman" w:cs="Times New Roman"/>
                <w:color w:val="auto"/>
                <w:sz w:val="24"/>
                <w:szCs w:val="24"/>
                <w:lang w:val="en-US" w:eastAsia="zh-CN"/>
              </w:rPr>
              <w:t>；共计2.4t/a，</w:t>
            </w:r>
            <w:r>
              <w:rPr>
                <w:rFonts w:hint="default" w:ascii="Times New Roman" w:hAnsi="Times New Roman" w:cs="Times New Roman"/>
                <w:color w:val="auto"/>
                <w:sz w:val="24"/>
                <w:szCs w:val="24"/>
                <w:lang w:val="en-US" w:eastAsia="zh-CN"/>
              </w:rPr>
              <w:t>收集后暂存，交厂家回收。</w:t>
            </w:r>
          </w:p>
          <w:p w14:paraId="5A545A1F">
            <w:pPr>
              <w:pStyle w:val="38"/>
              <w:bidi w:val="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表4-</w:t>
            </w:r>
            <w:r>
              <w:rPr>
                <w:rFonts w:hint="default" w:ascii="Times New Roman" w:hAnsi="Times New Roman" w:cs="Times New Roman"/>
                <w:color w:val="auto"/>
                <w:sz w:val="21"/>
                <w:szCs w:val="21"/>
                <w:lang w:val="en-US" w:eastAsia="zh-CN"/>
              </w:rPr>
              <w:t xml:space="preserve">16 </w:t>
            </w:r>
            <w:r>
              <w:rPr>
                <w:rFonts w:hint="default" w:ascii="Times New Roman" w:hAnsi="Times New Roman" w:cs="Times New Roman"/>
                <w:color w:val="auto"/>
                <w:sz w:val="21"/>
                <w:szCs w:val="21"/>
              </w:rPr>
              <w:t xml:space="preserve"> </w:t>
            </w:r>
            <w:r>
              <w:rPr>
                <w:rFonts w:hint="eastAsia" w:cs="Times New Roman"/>
                <w:color w:val="auto"/>
                <w:sz w:val="21"/>
                <w:szCs w:val="21"/>
                <w:lang w:val="en-US" w:eastAsia="zh-CN"/>
              </w:rPr>
              <w:t>本</w:t>
            </w:r>
            <w:r>
              <w:rPr>
                <w:rFonts w:hint="default" w:ascii="Times New Roman" w:hAnsi="Times New Roman" w:cs="Times New Roman"/>
                <w:color w:val="auto"/>
                <w:sz w:val="21"/>
                <w:szCs w:val="21"/>
              </w:rPr>
              <w:t>项目固体废物产生及处置情况</w:t>
            </w:r>
          </w:p>
          <w:tbl>
            <w:tblPr>
              <w:tblStyle w:val="31"/>
              <w:tblW w:w="8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1135"/>
              <w:gridCol w:w="1"/>
              <w:gridCol w:w="1410"/>
              <w:gridCol w:w="1333"/>
              <w:gridCol w:w="5"/>
              <w:gridCol w:w="762"/>
              <w:gridCol w:w="823"/>
              <w:gridCol w:w="2541"/>
            </w:tblGrid>
            <w:tr w14:paraId="7690D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269" w:type="pct"/>
                  <w:tcBorders>
                    <w:tl2br w:val="nil"/>
                    <w:tr2bl w:val="nil"/>
                  </w:tcBorders>
                  <w:noWrap w:val="0"/>
                  <w:vAlign w:val="center"/>
                </w:tcPr>
                <w:p w14:paraId="701FE07C">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cs="Times New Roman"/>
                      <w:b/>
                      <w:bCs/>
                      <w:color w:val="auto"/>
                      <w:sz w:val="21"/>
                      <w:szCs w:val="21"/>
                      <w:lang w:eastAsia="zh-CN"/>
                    </w:rPr>
                    <w:t>序号</w:t>
                  </w:r>
                </w:p>
              </w:tc>
              <w:tc>
                <w:tcPr>
                  <w:tcW w:w="670" w:type="pct"/>
                  <w:tcBorders>
                    <w:tl2br w:val="nil"/>
                    <w:tr2bl w:val="nil"/>
                  </w:tcBorders>
                  <w:noWrap w:val="0"/>
                  <w:vAlign w:val="center"/>
                </w:tcPr>
                <w:p w14:paraId="7D6CB52E">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来源</w:t>
                  </w:r>
                </w:p>
              </w:tc>
              <w:tc>
                <w:tcPr>
                  <w:tcW w:w="833" w:type="pct"/>
                  <w:gridSpan w:val="2"/>
                  <w:tcBorders>
                    <w:tl2br w:val="nil"/>
                    <w:tr2bl w:val="nil"/>
                  </w:tcBorders>
                  <w:noWrap w:val="0"/>
                  <w:vAlign w:val="center"/>
                </w:tcPr>
                <w:p w14:paraId="2A5871EB">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名称</w:t>
                  </w:r>
                </w:p>
              </w:tc>
              <w:tc>
                <w:tcPr>
                  <w:tcW w:w="787" w:type="pct"/>
                  <w:tcBorders>
                    <w:tl2br w:val="nil"/>
                    <w:tr2bl w:val="nil"/>
                  </w:tcBorders>
                  <w:noWrap w:val="0"/>
                  <w:vAlign w:val="center"/>
                </w:tcPr>
                <w:p w14:paraId="08ECFF58">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eastAsia="zh-CN"/>
                    </w:rPr>
                    <w:t>固废代码</w:t>
                  </w:r>
                </w:p>
              </w:tc>
              <w:tc>
                <w:tcPr>
                  <w:tcW w:w="452" w:type="pct"/>
                  <w:gridSpan w:val="2"/>
                  <w:tcBorders>
                    <w:tl2br w:val="nil"/>
                    <w:tr2bl w:val="nil"/>
                  </w:tcBorders>
                  <w:noWrap w:val="0"/>
                  <w:vAlign w:val="center"/>
                </w:tcPr>
                <w:p w14:paraId="0156FD74">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性状</w:t>
                  </w:r>
                </w:p>
              </w:tc>
              <w:tc>
                <w:tcPr>
                  <w:tcW w:w="486" w:type="pct"/>
                  <w:tcBorders>
                    <w:tl2br w:val="nil"/>
                    <w:tr2bl w:val="nil"/>
                  </w:tcBorders>
                  <w:noWrap w:val="0"/>
                  <w:vAlign w:val="center"/>
                </w:tcPr>
                <w:p w14:paraId="0297010D">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产生量（t/a）</w:t>
                  </w:r>
                </w:p>
              </w:tc>
              <w:tc>
                <w:tcPr>
                  <w:tcW w:w="1500" w:type="pct"/>
                  <w:tcBorders>
                    <w:tl2br w:val="nil"/>
                    <w:tr2bl w:val="nil"/>
                  </w:tcBorders>
                  <w:noWrap w:val="0"/>
                  <w:vAlign w:val="center"/>
                </w:tcPr>
                <w:p w14:paraId="0AD77B27">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处理或处置方式</w:t>
                  </w:r>
                </w:p>
              </w:tc>
            </w:tr>
            <w:tr w14:paraId="7B03F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269" w:type="pct"/>
                  <w:tcBorders>
                    <w:tl2br w:val="nil"/>
                    <w:tr2bl w:val="nil"/>
                  </w:tcBorders>
                  <w:noWrap w:val="0"/>
                  <w:vAlign w:val="center"/>
                </w:tcPr>
                <w:p w14:paraId="16F5D50B">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670" w:type="pct"/>
                  <w:tcBorders>
                    <w:tl2br w:val="nil"/>
                    <w:tr2bl w:val="nil"/>
                  </w:tcBorders>
                  <w:noWrap w:val="0"/>
                  <w:vAlign w:val="center"/>
                </w:tcPr>
                <w:p w14:paraId="5BA16274">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包装材料</w:t>
                  </w:r>
                </w:p>
              </w:tc>
              <w:tc>
                <w:tcPr>
                  <w:tcW w:w="833" w:type="pct"/>
                  <w:gridSpan w:val="2"/>
                  <w:tcBorders>
                    <w:tl2br w:val="nil"/>
                    <w:tr2bl w:val="nil"/>
                  </w:tcBorders>
                  <w:noWrap w:val="0"/>
                  <w:vAlign w:val="center"/>
                </w:tcPr>
                <w:p w14:paraId="1FA2C149">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废包材</w:t>
                  </w:r>
                </w:p>
              </w:tc>
              <w:tc>
                <w:tcPr>
                  <w:tcW w:w="787" w:type="pct"/>
                  <w:tcBorders>
                    <w:tl2br w:val="nil"/>
                    <w:tr2bl w:val="nil"/>
                  </w:tcBorders>
                  <w:noWrap w:val="0"/>
                  <w:vAlign w:val="center"/>
                </w:tcPr>
                <w:p w14:paraId="66281160">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val="en-US" w:eastAsia="zh-CN"/>
                    </w:rPr>
                    <w:t>900-099-S59</w:t>
                  </w:r>
                </w:p>
              </w:tc>
              <w:tc>
                <w:tcPr>
                  <w:tcW w:w="452" w:type="pct"/>
                  <w:gridSpan w:val="2"/>
                  <w:tcBorders>
                    <w:tl2br w:val="nil"/>
                    <w:tr2bl w:val="nil"/>
                  </w:tcBorders>
                  <w:noWrap w:val="0"/>
                  <w:vAlign w:val="center"/>
                </w:tcPr>
                <w:p w14:paraId="29645CCE">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固态</w:t>
                  </w:r>
                </w:p>
              </w:tc>
              <w:tc>
                <w:tcPr>
                  <w:tcW w:w="486" w:type="pct"/>
                  <w:tcBorders>
                    <w:tl2br w:val="nil"/>
                    <w:tr2bl w:val="nil"/>
                  </w:tcBorders>
                  <w:noWrap w:val="0"/>
                  <w:vAlign w:val="center"/>
                </w:tcPr>
                <w:p w14:paraId="2D0BB429">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10.0</w:t>
                  </w:r>
                </w:p>
              </w:tc>
              <w:tc>
                <w:tcPr>
                  <w:tcW w:w="1500" w:type="pct"/>
                  <w:tcBorders>
                    <w:tl2br w:val="nil"/>
                    <w:tr2bl w:val="nil"/>
                  </w:tcBorders>
                  <w:noWrap w:val="0"/>
                  <w:vAlign w:val="center"/>
                </w:tcPr>
                <w:p w14:paraId="3295F113">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收集后定期外售综合利用</w:t>
                  </w:r>
                </w:p>
              </w:tc>
            </w:tr>
            <w:tr w14:paraId="3869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269" w:type="pct"/>
                  <w:tcBorders>
                    <w:tl2br w:val="nil"/>
                    <w:tr2bl w:val="nil"/>
                  </w:tcBorders>
                  <w:noWrap w:val="0"/>
                  <w:vAlign w:val="center"/>
                </w:tcPr>
                <w:p w14:paraId="48BC0D00">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lang w:val="en-US" w:eastAsia="zh-CN"/>
                    </w:rPr>
                    <w:t>2</w:t>
                  </w:r>
                </w:p>
              </w:tc>
              <w:tc>
                <w:tcPr>
                  <w:tcW w:w="670" w:type="pct"/>
                  <w:tcBorders>
                    <w:tl2br w:val="nil"/>
                    <w:tr2bl w:val="nil"/>
                  </w:tcBorders>
                  <w:noWrap w:val="0"/>
                  <w:vAlign w:val="center"/>
                </w:tcPr>
                <w:p w14:paraId="160A7C8B">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锯床切割</w:t>
                  </w:r>
                </w:p>
              </w:tc>
              <w:tc>
                <w:tcPr>
                  <w:tcW w:w="833" w:type="pct"/>
                  <w:gridSpan w:val="2"/>
                  <w:tcBorders>
                    <w:tl2br w:val="nil"/>
                    <w:tr2bl w:val="nil"/>
                  </w:tcBorders>
                  <w:noWrap w:val="0"/>
                  <w:vAlign w:val="center"/>
                </w:tcPr>
                <w:p w14:paraId="020F246E">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val="en-US" w:eastAsia="zh-CN"/>
                    </w:rPr>
                    <w:t>金属碎屑</w:t>
                  </w:r>
                </w:p>
              </w:tc>
              <w:tc>
                <w:tcPr>
                  <w:tcW w:w="787" w:type="pct"/>
                  <w:tcBorders>
                    <w:tl2br w:val="nil"/>
                    <w:tr2bl w:val="nil"/>
                  </w:tcBorders>
                  <w:noWrap w:val="0"/>
                  <w:vAlign w:val="center"/>
                </w:tcPr>
                <w:p w14:paraId="186B0690">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eastAsia="zh-CN"/>
                    </w:rPr>
                    <w:t>900-00</w:t>
                  </w:r>
                  <w:r>
                    <w:rPr>
                      <w:rFonts w:hint="eastAsia" w:cs="Times New Roman"/>
                      <w:color w:val="auto"/>
                      <w:sz w:val="21"/>
                      <w:szCs w:val="21"/>
                      <w:lang w:val="en-US" w:eastAsia="zh-CN"/>
                    </w:rPr>
                    <w:t>1</w:t>
                  </w:r>
                  <w:r>
                    <w:rPr>
                      <w:rFonts w:hint="default" w:ascii="Times New Roman" w:hAnsi="Times New Roman" w:cs="Times New Roman"/>
                      <w:color w:val="auto"/>
                      <w:sz w:val="21"/>
                      <w:szCs w:val="21"/>
                      <w:lang w:eastAsia="zh-CN"/>
                    </w:rPr>
                    <w:t>-S17</w:t>
                  </w:r>
                </w:p>
              </w:tc>
              <w:tc>
                <w:tcPr>
                  <w:tcW w:w="452" w:type="pct"/>
                  <w:gridSpan w:val="2"/>
                  <w:tcBorders>
                    <w:tl2br w:val="nil"/>
                    <w:tr2bl w:val="nil"/>
                  </w:tcBorders>
                  <w:noWrap w:val="0"/>
                  <w:vAlign w:val="center"/>
                </w:tcPr>
                <w:p w14:paraId="4A279895">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固态</w:t>
                  </w:r>
                </w:p>
              </w:tc>
              <w:tc>
                <w:tcPr>
                  <w:tcW w:w="486" w:type="pct"/>
                  <w:tcBorders>
                    <w:tl2br w:val="nil"/>
                    <w:tr2bl w:val="nil"/>
                  </w:tcBorders>
                  <w:noWrap w:val="0"/>
                  <w:vAlign w:val="center"/>
                </w:tcPr>
                <w:p w14:paraId="762D74AC">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2.102</w:t>
                  </w:r>
                </w:p>
              </w:tc>
              <w:tc>
                <w:tcPr>
                  <w:tcW w:w="1500" w:type="pct"/>
                  <w:tcBorders>
                    <w:tl2br w:val="nil"/>
                    <w:tr2bl w:val="nil"/>
                  </w:tcBorders>
                  <w:noWrap w:val="0"/>
                  <w:vAlign w:val="center"/>
                </w:tcPr>
                <w:p w14:paraId="7327845B">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收集后定期外售综合利用</w:t>
                  </w:r>
                </w:p>
              </w:tc>
            </w:tr>
            <w:tr w14:paraId="634D7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9" w:type="pct"/>
                  <w:tcBorders>
                    <w:tl2br w:val="nil"/>
                    <w:tr2bl w:val="nil"/>
                  </w:tcBorders>
                  <w:noWrap w:val="0"/>
                  <w:vAlign w:val="center"/>
                </w:tcPr>
                <w:p w14:paraId="2B1DC78E">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lang w:val="en-US" w:eastAsia="zh-CN"/>
                    </w:rPr>
                  </w:pPr>
                  <w:r>
                    <w:rPr>
                      <w:rFonts w:hint="default" w:ascii="Times New Roman" w:hAnsi="Times New Roman" w:cs="Times New Roman"/>
                      <w:color w:val="auto"/>
                      <w:sz w:val="21"/>
                      <w:szCs w:val="21"/>
                      <w:lang w:val="en-US" w:eastAsia="zh-CN"/>
                    </w:rPr>
                    <w:t>3</w:t>
                  </w:r>
                </w:p>
              </w:tc>
              <w:tc>
                <w:tcPr>
                  <w:tcW w:w="670" w:type="pct"/>
                  <w:gridSpan w:val="2"/>
                  <w:tcBorders>
                    <w:tl2br w:val="nil"/>
                    <w:tr2bl w:val="nil"/>
                  </w:tcBorders>
                  <w:noWrap w:val="0"/>
                  <w:vAlign w:val="center"/>
                </w:tcPr>
                <w:p w14:paraId="0F4F856F">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机加工</w:t>
                  </w:r>
                </w:p>
              </w:tc>
              <w:tc>
                <w:tcPr>
                  <w:tcW w:w="832" w:type="pct"/>
                  <w:tcBorders>
                    <w:tl2br w:val="nil"/>
                    <w:tr2bl w:val="nil"/>
                  </w:tcBorders>
                  <w:noWrap w:val="0"/>
                  <w:vAlign w:val="center"/>
                </w:tcPr>
                <w:p w14:paraId="3F14500A">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金属边角料</w:t>
                  </w:r>
                </w:p>
              </w:tc>
              <w:tc>
                <w:tcPr>
                  <w:tcW w:w="790" w:type="pct"/>
                  <w:gridSpan w:val="2"/>
                  <w:tcBorders>
                    <w:tl2br w:val="nil"/>
                    <w:tr2bl w:val="nil"/>
                  </w:tcBorders>
                  <w:noWrap w:val="0"/>
                  <w:vAlign w:val="center"/>
                </w:tcPr>
                <w:p w14:paraId="33A9E35A">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900-00</w:t>
                  </w:r>
                  <w:r>
                    <w:rPr>
                      <w:rFonts w:hint="eastAsia" w:cs="Times New Roman"/>
                      <w:color w:val="auto"/>
                      <w:sz w:val="21"/>
                      <w:szCs w:val="21"/>
                      <w:lang w:val="en-US" w:eastAsia="zh-CN"/>
                    </w:rPr>
                    <w:t>1</w:t>
                  </w:r>
                  <w:r>
                    <w:rPr>
                      <w:rFonts w:hint="default" w:ascii="Times New Roman" w:hAnsi="Times New Roman" w:cs="Times New Roman"/>
                      <w:color w:val="auto"/>
                      <w:sz w:val="21"/>
                      <w:szCs w:val="21"/>
                      <w:lang w:eastAsia="zh-CN"/>
                    </w:rPr>
                    <w:t>-S17</w:t>
                  </w:r>
                </w:p>
              </w:tc>
              <w:tc>
                <w:tcPr>
                  <w:tcW w:w="450" w:type="pct"/>
                  <w:tcBorders>
                    <w:tl2br w:val="nil"/>
                    <w:tr2bl w:val="nil"/>
                  </w:tcBorders>
                  <w:noWrap w:val="0"/>
                  <w:vAlign w:val="center"/>
                </w:tcPr>
                <w:p w14:paraId="0ACC51AC">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固态</w:t>
                  </w:r>
                </w:p>
              </w:tc>
              <w:tc>
                <w:tcPr>
                  <w:tcW w:w="486" w:type="pct"/>
                  <w:tcBorders>
                    <w:tl2br w:val="nil"/>
                    <w:tr2bl w:val="nil"/>
                  </w:tcBorders>
                  <w:noWrap w:val="0"/>
                  <w:vAlign w:val="center"/>
                </w:tcPr>
                <w:p w14:paraId="4804D7AF">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15.0</w:t>
                  </w:r>
                </w:p>
              </w:tc>
              <w:tc>
                <w:tcPr>
                  <w:tcW w:w="1500" w:type="pct"/>
                  <w:tcBorders>
                    <w:tl2br w:val="nil"/>
                    <w:tr2bl w:val="nil"/>
                  </w:tcBorders>
                  <w:noWrap w:val="0"/>
                  <w:vAlign w:val="center"/>
                </w:tcPr>
                <w:p w14:paraId="50D31845">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收集后定期外售综合利用</w:t>
                  </w:r>
                </w:p>
              </w:tc>
            </w:tr>
            <w:tr w14:paraId="2C979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9" w:type="pct"/>
                  <w:tcBorders>
                    <w:tl2br w:val="nil"/>
                    <w:tr2bl w:val="nil"/>
                  </w:tcBorders>
                  <w:noWrap w:val="0"/>
                  <w:vAlign w:val="center"/>
                </w:tcPr>
                <w:p w14:paraId="7F7FE1B1">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4</w:t>
                  </w:r>
                </w:p>
              </w:tc>
              <w:tc>
                <w:tcPr>
                  <w:tcW w:w="670" w:type="pct"/>
                  <w:tcBorders>
                    <w:tl2br w:val="nil"/>
                    <w:tr2bl w:val="nil"/>
                  </w:tcBorders>
                  <w:noWrap w:val="0"/>
                  <w:vAlign w:val="center"/>
                </w:tcPr>
                <w:p w14:paraId="425C68BF">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机加工</w:t>
                  </w:r>
                </w:p>
              </w:tc>
              <w:tc>
                <w:tcPr>
                  <w:tcW w:w="833" w:type="pct"/>
                  <w:gridSpan w:val="2"/>
                  <w:tcBorders>
                    <w:tl2br w:val="nil"/>
                    <w:tr2bl w:val="nil"/>
                  </w:tcBorders>
                  <w:noWrap w:val="0"/>
                  <w:vAlign w:val="center"/>
                </w:tcPr>
                <w:p w14:paraId="22252BFF">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过滤金属碎屑</w:t>
                  </w:r>
                </w:p>
              </w:tc>
              <w:tc>
                <w:tcPr>
                  <w:tcW w:w="787" w:type="pct"/>
                  <w:tcBorders>
                    <w:tl2br w:val="nil"/>
                    <w:tr2bl w:val="nil"/>
                  </w:tcBorders>
                  <w:noWrap w:val="0"/>
                  <w:vAlign w:val="center"/>
                </w:tcPr>
                <w:p w14:paraId="2183B6E2">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900-00</w:t>
                  </w:r>
                  <w:r>
                    <w:rPr>
                      <w:rFonts w:hint="eastAsia" w:cs="Times New Roman"/>
                      <w:color w:val="auto"/>
                      <w:sz w:val="21"/>
                      <w:szCs w:val="21"/>
                      <w:lang w:val="en-US" w:eastAsia="zh-CN"/>
                    </w:rPr>
                    <w:t>1</w:t>
                  </w:r>
                  <w:r>
                    <w:rPr>
                      <w:rFonts w:hint="default" w:ascii="Times New Roman" w:hAnsi="Times New Roman" w:cs="Times New Roman"/>
                      <w:color w:val="auto"/>
                      <w:sz w:val="21"/>
                      <w:szCs w:val="21"/>
                      <w:lang w:eastAsia="zh-CN"/>
                    </w:rPr>
                    <w:t>-S17</w:t>
                  </w:r>
                </w:p>
              </w:tc>
              <w:tc>
                <w:tcPr>
                  <w:tcW w:w="452" w:type="pct"/>
                  <w:gridSpan w:val="2"/>
                  <w:tcBorders>
                    <w:tl2br w:val="nil"/>
                    <w:tr2bl w:val="nil"/>
                  </w:tcBorders>
                  <w:noWrap w:val="0"/>
                  <w:vAlign w:val="center"/>
                </w:tcPr>
                <w:p w14:paraId="6978AFA2">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固态</w:t>
                  </w:r>
                </w:p>
              </w:tc>
              <w:tc>
                <w:tcPr>
                  <w:tcW w:w="486" w:type="pct"/>
                  <w:tcBorders>
                    <w:tl2br w:val="nil"/>
                    <w:tr2bl w:val="nil"/>
                  </w:tcBorders>
                  <w:noWrap w:val="0"/>
                  <w:vAlign w:val="center"/>
                </w:tcPr>
                <w:p w14:paraId="55B50599">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3.0</w:t>
                  </w:r>
                </w:p>
              </w:tc>
              <w:tc>
                <w:tcPr>
                  <w:tcW w:w="1500" w:type="pct"/>
                  <w:tcBorders>
                    <w:tl2br w:val="nil"/>
                    <w:tr2bl w:val="nil"/>
                  </w:tcBorders>
                  <w:noWrap w:val="0"/>
                  <w:vAlign w:val="center"/>
                </w:tcPr>
                <w:p w14:paraId="53E6675C">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收集后定期外售综合利用</w:t>
                  </w:r>
                </w:p>
              </w:tc>
            </w:tr>
            <w:tr w14:paraId="6F541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9" w:type="pct"/>
                  <w:tcBorders>
                    <w:tl2br w:val="nil"/>
                    <w:tr2bl w:val="nil"/>
                  </w:tcBorders>
                  <w:noWrap w:val="0"/>
                  <w:vAlign w:val="center"/>
                </w:tcPr>
                <w:p w14:paraId="314A5964">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5</w:t>
                  </w:r>
                </w:p>
              </w:tc>
              <w:tc>
                <w:tcPr>
                  <w:tcW w:w="670" w:type="pct"/>
                  <w:tcBorders>
                    <w:tl2br w:val="nil"/>
                    <w:tr2bl w:val="nil"/>
                  </w:tcBorders>
                  <w:noWrap w:val="0"/>
                  <w:vAlign w:val="center"/>
                </w:tcPr>
                <w:p w14:paraId="139A867F">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焊接</w:t>
                  </w:r>
                </w:p>
              </w:tc>
              <w:tc>
                <w:tcPr>
                  <w:tcW w:w="833" w:type="pct"/>
                  <w:gridSpan w:val="2"/>
                  <w:tcBorders>
                    <w:tl2br w:val="nil"/>
                    <w:tr2bl w:val="nil"/>
                  </w:tcBorders>
                  <w:noWrap w:val="0"/>
                  <w:vAlign w:val="center"/>
                </w:tcPr>
                <w:p w14:paraId="23DB0EFA">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焊渣</w:t>
                  </w:r>
                </w:p>
              </w:tc>
              <w:tc>
                <w:tcPr>
                  <w:tcW w:w="787" w:type="pct"/>
                  <w:tcBorders>
                    <w:tl2br w:val="nil"/>
                    <w:tr2bl w:val="nil"/>
                  </w:tcBorders>
                  <w:noWrap w:val="0"/>
                  <w:vAlign w:val="center"/>
                </w:tcPr>
                <w:p w14:paraId="72CB3F82">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eastAsia="zh-CN"/>
                    </w:rPr>
                  </w:pPr>
                  <w:r>
                    <w:rPr>
                      <w:rFonts w:hint="eastAsia" w:cs="Times New Roman"/>
                      <w:color w:val="auto"/>
                      <w:sz w:val="21"/>
                      <w:szCs w:val="21"/>
                      <w:lang w:val="en-US" w:eastAsia="zh-CN"/>
                    </w:rPr>
                    <w:t>/</w:t>
                  </w:r>
                </w:p>
              </w:tc>
              <w:tc>
                <w:tcPr>
                  <w:tcW w:w="452" w:type="pct"/>
                  <w:gridSpan w:val="2"/>
                  <w:tcBorders>
                    <w:tl2br w:val="nil"/>
                    <w:tr2bl w:val="nil"/>
                  </w:tcBorders>
                  <w:noWrap w:val="0"/>
                  <w:vAlign w:val="center"/>
                </w:tcPr>
                <w:p w14:paraId="1318F176">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rPr>
                  </w:pPr>
                  <w:r>
                    <w:rPr>
                      <w:rFonts w:hint="eastAsia" w:cs="Times New Roman"/>
                      <w:color w:val="auto"/>
                      <w:sz w:val="21"/>
                      <w:szCs w:val="21"/>
                      <w:lang w:val="en-US" w:eastAsia="zh-CN"/>
                    </w:rPr>
                    <w:t>固态</w:t>
                  </w:r>
                </w:p>
              </w:tc>
              <w:tc>
                <w:tcPr>
                  <w:tcW w:w="486" w:type="pct"/>
                  <w:tcBorders>
                    <w:tl2br w:val="nil"/>
                    <w:tr2bl w:val="nil"/>
                  </w:tcBorders>
                  <w:noWrap w:val="0"/>
                  <w:vAlign w:val="center"/>
                </w:tcPr>
                <w:p w14:paraId="6D514AD3">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3.25</w:t>
                  </w:r>
                </w:p>
              </w:tc>
              <w:tc>
                <w:tcPr>
                  <w:tcW w:w="1500" w:type="pct"/>
                  <w:tcBorders>
                    <w:tl2br w:val="nil"/>
                    <w:tr2bl w:val="nil"/>
                  </w:tcBorders>
                  <w:noWrap w:val="0"/>
                  <w:vAlign w:val="center"/>
                </w:tcPr>
                <w:p w14:paraId="745FA305">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收集后定期外售综合利用</w:t>
                  </w:r>
                </w:p>
              </w:tc>
            </w:tr>
            <w:tr w14:paraId="42E3B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9" w:type="pct"/>
                  <w:tcBorders>
                    <w:tl2br w:val="nil"/>
                    <w:tr2bl w:val="nil"/>
                  </w:tcBorders>
                  <w:noWrap w:val="0"/>
                  <w:vAlign w:val="center"/>
                </w:tcPr>
                <w:p w14:paraId="2752BFD5">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6</w:t>
                  </w:r>
                </w:p>
              </w:tc>
              <w:tc>
                <w:tcPr>
                  <w:tcW w:w="670" w:type="pct"/>
                  <w:tcBorders>
                    <w:tl2br w:val="nil"/>
                    <w:tr2bl w:val="nil"/>
                  </w:tcBorders>
                  <w:noWrap w:val="0"/>
                  <w:vAlign w:val="center"/>
                </w:tcPr>
                <w:p w14:paraId="33AEDAC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color w:val="auto"/>
                      <w:lang w:eastAsia="zh-CN"/>
                    </w:rPr>
                  </w:pPr>
                  <w:r>
                    <w:rPr>
                      <w:rFonts w:hint="eastAsia"/>
                      <w:color w:val="auto"/>
                      <w:lang w:val="en-US" w:eastAsia="zh-CN"/>
                    </w:rPr>
                    <w:t>激光、锯床切割</w:t>
                  </w:r>
                </w:p>
              </w:tc>
              <w:tc>
                <w:tcPr>
                  <w:tcW w:w="833" w:type="pct"/>
                  <w:gridSpan w:val="2"/>
                  <w:tcBorders>
                    <w:tl2br w:val="nil"/>
                    <w:tr2bl w:val="nil"/>
                  </w:tcBorders>
                  <w:noWrap w:val="0"/>
                  <w:vAlign w:val="center"/>
                </w:tcPr>
                <w:p w14:paraId="5EFEBB2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color w:val="auto"/>
                      <w:lang w:val="en-US" w:eastAsia="zh-CN"/>
                    </w:rPr>
                  </w:pPr>
                  <w:r>
                    <w:rPr>
                      <w:rFonts w:hint="default"/>
                      <w:color w:val="auto"/>
                      <w:lang w:eastAsia="zh-CN"/>
                    </w:rPr>
                    <w:t>布袋除尘器收集</w:t>
                  </w:r>
                  <w:r>
                    <w:rPr>
                      <w:rFonts w:hint="eastAsia"/>
                      <w:color w:val="auto"/>
                      <w:lang w:val="en-US" w:eastAsia="zh-CN"/>
                    </w:rPr>
                    <w:t>激光、锯床切割</w:t>
                  </w:r>
                  <w:r>
                    <w:rPr>
                      <w:rFonts w:hint="default"/>
                      <w:color w:val="auto"/>
                      <w:lang w:val="en-US" w:eastAsia="zh-CN"/>
                    </w:rPr>
                    <w:t>粉尘</w:t>
                  </w:r>
                </w:p>
              </w:tc>
              <w:tc>
                <w:tcPr>
                  <w:tcW w:w="787" w:type="pct"/>
                  <w:tcBorders>
                    <w:tl2br w:val="nil"/>
                    <w:tr2bl w:val="nil"/>
                  </w:tcBorders>
                  <w:noWrap w:val="0"/>
                  <w:vAlign w:val="center"/>
                </w:tcPr>
                <w:p w14:paraId="219A1B96">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900-00</w:t>
                  </w:r>
                  <w:r>
                    <w:rPr>
                      <w:rFonts w:hint="eastAsia" w:cs="Times New Roman"/>
                      <w:color w:val="auto"/>
                      <w:sz w:val="21"/>
                      <w:szCs w:val="21"/>
                      <w:lang w:val="en-US" w:eastAsia="zh-CN"/>
                    </w:rPr>
                    <w:t>1</w:t>
                  </w:r>
                  <w:r>
                    <w:rPr>
                      <w:rFonts w:hint="default" w:ascii="Times New Roman" w:hAnsi="Times New Roman" w:cs="Times New Roman"/>
                      <w:color w:val="auto"/>
                      <w:sz w:val="21"/>
                      <w:szCs w:val="21"/>
                      <w:lang w:eastAsia="zh-CN"/>
                    </w:rPr>
                    <w:t>-S17</w:t>
                  </w:r>
                </w:p>
              </w:tc>
              <w:tc>
                <w:tcPr>
                  <w:tcW w:w="452" w:type="pct"/>
                  <w:gridSpan w:val="2"/>
                  <w:tcBorders>
                    <w:tl2br w:val="nil"/>
                    <w:tr2bl w:val="nil"/>
                  </w:tcBorders>
                  <w:noWrap w:val="0"/>
                  <w:vAlign w:val="center"/>
                </w:tcPr>
                <w:p w14:paraId="558F593E">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固态</w:t>
                  </w:r>
                </w:p>
              </w:tc>
              <w:tc>
                <w:tcPr>
                  <w:tcW w:w="486" w:type="pct"/>
                  <w:tcBorders>
                    <w:tl2br w:val="nil"/>
                    <w:tr2bl w:val="nil"/>
                  </w:tcBorders>
                  <w:noWrap w:val="0"/>
                  <w:vAlign w:val="center"/>
                </w:tcPr>
                <w:p w14:paraId="40E2271E">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9.13</w:t>
                  </w:r>
                </w:p>
              </w:tc>
              <w:tc>
                <w:tcPr>
                  <w:tcW w:w="1500" w:type="pct"/>
                  <w:tcBorders>
                    <w:tl2br w:val="nil"/>
                    <w:tr2bl w:val="nil"/>
                  </w:tcBorders>
                  <w:noWrap w:val="0"/>
                  <w:vAlign w:val="center"/>
                </w:tcPr>
                <w:p w14:paraId="15495396">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收集后定期外售</w:t>
                  </w:r>
                </w:p>
              </w:tc>
            </w:tr>
            <w:tr w14:paraId="02307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9" w:type="pct"/>
                  <w:tcBorders>
                    <w:tl2br w:val="nil"/>
                    <w:tr2bl w:val="nil"/>
                  </w:tcBorders>
                  <w:noWrap w:val="0"/>
                  <w:vAlign w:val="center"/>
                </w:tcPr>
                <w:p w14:paraId="2D25A6B2">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7</w:t>
                  </w:r>
                </w:p>
              </w:tc>
              <w:tc>
                <w:tcPr>
                  <w:tcW w:w="670" w:type="pct"/>
                  <w:tcBorders>
                    <w:tl2br w:val="nil"/>
                    <w:tr2bl w:val="nil"/>
                  </w:tcBorders>
                  <w:noWrap w:val="0"/>
                  <w:vAlign w:val="center"/>
                </w:tcPr>
                <w:p w14:paraId="2C2AA83C">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eastAsia="zh-CN"/>
                    </w:rPr>
                  </w:pPr>
                  <w:r>
                    <w:rPr>
                      <w:rFonts w:hint="eastAsia" w:cs="Times New Roman"/>
                      <w:color w:val="auto"/>
                      <w:sz w:val="21"/>
                      <w:szCs w:val="21"/>
                      <w:lang w:val="en-US" w:eastAsia="zh-CN"/>
                    </w:rPr>
                    <w:t>激光、锯床切割废气处理</w:t>
                  </w:r>
                </w:p>
              </w:tc>
              <w:tc>
                <w:tcPr>
                  <w:tcW w:w="833" w:type="pct"/>
                  <w:gridSpan w:val="2"/>
                  <w:tcBorders>
                    <w:tl2br w:val="nil"/>
                    <w:tr2bl w:val="nil"/>
                  </w:tcBorders>
                  <w:noWrap w:val="0"/>
                  <w:vAlign w:val="center"/>
                </w:tcPr>
                <w:p w14:paraId="2B791CB7">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处理激光、锯床切割废气废布袋</w:t>
                  </w:r>
                </w:p>
              </w:tc>
              <w:tc>
                <w:tcPr>
                  <w:tcW w:w="787" w:type="pct"/>
                  <w:tcBorders>
                    <w:tl2br w:val="nil"/>
                    <w:tr2bl w:val="nil"/>
                  </w:tcBorders>
                  <w:noWrap w:val="0"/>
                  <w:vAlign w:val="center"/>
                </w:tcPr>
                <w:p w14:paraId="0BB6D427">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900-009-S59</w:t>
                  </w:r>
                </w:p>
              </w:tc>
              <w:tc>
                <w:tcPr>
                  <w:tcW w:w="452" w:type="pct"/>
                  <w:gridSpan w:val="2"/>
                  <w:tcBorders>
                    <w:tl2br w:val="nil"/>
                    <w:tr2bl w:val="nil"/>
                  </w:tcBorders>
                  <w:noWrap w:val="0"/>
                  <w:vAlign w:val="center"/>
                </w:tcPr>
                <w:p w14:paraId="4FD5462C">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eastAsia="zh-CN"/>
                    </w:rPr>
                  </w:pPr>
                  <w:r>
                    <w:rPr>
                      <w:rFonts w:hint="eastAsia" w:cs="Times New Roman"/>
                      <w:color w:val="auto"/>
                      <w:sz w:val="21"/>
                      <w:szCs w:val="21"/>
                      <w:lang w:val="en-US" w:eastAsia="zh-CN"/>
                    </w:rPr>
                    <w:t>固态</w:t>
                  </w:r>
                </w:p>
              </w:tc>
              <w:tc>
                <w:tcPr>
                  <w:tcW w:w="486" w:type="pct"/>
                  <w:tcBorders>
                    <w:tl2br w:val="nil"/>
                    <w:tr2bl w:val="nil"/>
                  </w:tcBorders>
                  <w:noWrap w:val="0"/>
                  <w:vAlign w:val="center"/>
                </w:tcPr>
                <w:p w14:paraId="008B1A44">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0.015</w:t>
                  </w:r>
                </w:p>
              </w:tc>
              <w:tc>
                <w:tcPr>
                  <w:tcW w:w="1500" w:type="pct"/>
                  <w:tcBorders>
                    <w:tl2br w:val="nil"/>
                    <w:tr2bl w:val="nil"/>
                  </w:tcBorders>
                  <w:noWrap w:val="0"/>
                  <w:vAlign w:val="center"/>
                </w:tcPr>
                <w:p w14:paraId="248A31E9">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收集后</w:t>
                  </w:r>
                  <w:r>
                    <w:rPr>
                      <w:rFonts w:hint="eastAsia" w:cs="Times New Roman"/>
                      <w:color w:val="auto"/>
                      <w:sz w:val="21"/>
                      <w:szCs w:val="21"/>
                      <w:lang w:val="en-US" w:eastAsia="zh-CN"/>
                    </w:rPr>
                    <w:t>厂家定期回收</w:t>
                  </w:r>
                </w:p>
              </w:tc>
            </w:tr>
            <w:tr w14:paraId="581CE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9" w:type="pct"/>
                  <w:tcBorders>
                    <w:tl2br w:val="nil"/>
                    <w:tr2bl w:val="nil"/>
                  </w:tcBorders>
                  <w:noWrap w:val="0"/>
                  <w:vAlign w:val="center"/>
                </w:tcPr>
                <w:p w14:paraId="6B807194">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8</w:t>
                  </w:r>
                </w:p>
              </w:tc>
              <w:tc>
                <w:tcPr>
                  <w:tcW w:w="670" w:type="pct"/>
                  <w:tcBorders>
                    <w:tl2br w:val="nil"/>
                    <w:tr2bl w:val="nil"/>
                  </w:tcBorders>
                  <w:noWrap w:val="0"/>
                  <w:vAlign w:val="center"/>
                </w:tcPr>
                <w:p w14:paraId="1E58862E">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焊接</w:t>
                  </w:r>
                </w:p>
              </w:tc>
              <w:tc>
                <w:tcPr>
                  <w:tcW w:w="833" w:type="pct"/>
                  <w:gridSpan w:val="2"/>
                  <w:tcBorders>
                    <w:tl2br w:val="nil"/>
                    <w:tr2bl w:val="nil"/>
                  </w:tcBorders>
                  <w:noWrap w:val="0"/>
                  <w:vAlign w:val="center"/>
                </w:tcPr>
                <w:p w14:paraId="707C936A">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废气瓶</w:t>
                  </w:r>
                </w:p>
              </w:tc>
              <w:tc>
                <w:tcPr>
                  <w:tcW w:w="787" w:type="pct"/>
                  <w:tcBorders>
                    <w:tl2br w:val="nil"/>
                    <w:tr2bl w:val="nil"/>
                  </w:tcBorders>
                  <w:noWrap w:val="0"/>
                  <w:vAlign w:val="center"/>
                </w:tcPr>
                <w:p w14:paraId="1C61D5B8">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w:t>
                  </w:r>
                </w:p>
              </w:tc>
              <w:tc>
                <w:tcPr>
                  <w:tcW w:w="452" w:type="pct"/>
                  <w:gridSpan w:val="2"/>
                  <w:tcBorders>
                    <w:tl2br w:val="nil"/>
                    <w:tr2bl w:val="nil"/>
                  </w:tcBorders>
                  <w:noWrap w:val="0"/>
                  <w:vAlign w:val="center"/>
                </w:tcPr>
                <w:p w14:paraId="61F7B17B">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固态</w:t>
                  </w:r>
                </w:p>
              </w:tc>
              <w:tc>
                <w:tcPr>
                  <w:tcW w:w="486" w:type="pct"/>
                  <w:tcBorders>
                    <w:tl2br w:val="nil"/>
                    <w:tr2bl w:val="nil"/>
                  </w:tcBorders>
                  <w:noWrap w:val="0"/>
                  <w:vAlign w:val="center"/>
                </w:tcPr>
                <w:p w14:paraId="344F7AE0">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2.4</w:t>
                  </w:r>
                </w:p>
              </w:tc>
              <w:tc>
                <w:tcPr>
                  <w:tcW w:w="1500" w:type="pct"/>
                  <w:tcBorders>
                    <w:tl2br w:val="nil"/>
                    <w:tr2bl w:val="nil"/>
                  </w:tcBorders>
                  <w:noWrap w:val="0"/>
                  <w:vAlign w:val="center"/>
                </w:tcPr>
                <w:p w14:paraId="10F1B99B">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收集后</w:t>
                  </w:r>
                  <w:r>
                    <w:rPr>
                      <w:rFonts w:hint="eastAsia" w:cs="Times New Roman"/>
                      <w:color w:val="auto"/>
                      <w:sz w:val="21"/>
                      <w:szCs w:val="21"/>
                      <w:lang w:val="en-US" w:eastAsia="zh-CN"/>
                    </w:rPr>
                    <w:t>厂家定期回收</w:t>
                  </w:r>
                </w:p>
              </w:tc>
            </w:tr>
            <w:tr w14:paraId="395C8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69" w:type="pct"/>
                  <w:tcBorders>
                    <w:tl2br w:val="nil"/>
                    <w:tr2bl w:val="nil"/>
                  </w:tcBorders>
                  <w:noWrap w:val="0"/>
                  <w:vAlign w:val="center"/>
                </w:tcPr>
                <w:p w14:paraId="0F045D06">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9</w:t>
                  </w:r>
                </w:p>
              </w:tc>
              <w:tc>
                <w:tcPr>
                  <w:tcW w:w="670" w:type="pct"/>
                  <w:tcBorders>
                    <w:tl2br w:val="nil"/>
                    <w:tr2bl w:val="nil"/>
                  </w:tcBorders>
                  <w:noWrap w:val="0"/>
                  <w:vAlign w:val="center"/>
                </w:tcPr>
                <w:p w14:paraId="44208F0D">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工人生活办公</w:t>
                  </w:r>
                </w:p>
              </w:tc>
              <w:tc>
                <w:tcPr>
                  <w:tcW w:w="833" w:type="pct"/>
                  <w:gridSpan w:val="2"/>
                  <w:tcBorders>
                    <w:tl2br w:val="nil"/>
                    <w:tr2bl w:val="nil"/>
                  </w:tcBorders>
                  <w:noWrap w:val="0"/>
                  <w:vAlign w:val="center"/>
                </w:tcPr>
                <w:p w14:paraId="40770085">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生活垃圾</w:t>
                  </w:r>
                </w:p>
              </w:tc>
              <w:tc>
                <w:tcPr>
                  <w:tcW w:w="787" w:type="pct"/>
                  <w:tcBorders>
                    <w:tl2br w:val="nil"/>
                    <w:tr2bl w:val="nil"/>
                  </w:tcBorders>
                  <w:noWrap w:val="0"/>
                  <w:vAlign w:val="center"/>
                </w:tcPr>
                <w:p w14:paraId="2C4F7073">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900-099-S64</w:t>
                  </w:r>
                </w:p>
              </w:tc>
              <w:tc>
                <w:tcPr>
                  <w:tcW w:w="452" w:type="pct"/>
                  <w:gridSpan w:val="2"/>
                  <w:tcBorders>
                    <w:tl2br w:val="nil"/>
                    <w:tr2bl w:val="nil"/>
                  </w:tcBorders>
                  <w:noWrap w:val="0"/>
                  <w:vAlign w:val="center"/>
                </w:tcPr>
                <w:p w14:paraId="47A32230">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固态</w:t>
                  </w:r>
                </w:p>
              </w:tc>
              <w:tc>
                <w:tcPr>
                  <w:tcW w:w="486" w:type="pct"/>
                  <w:tcBorders>
                    <w:tl2br w:val="nil"/>
                    <w:tr2bl w:val="nil"/>
                  </w:tcBorders>
                  <w:noWrap w:val="0"/>
                  <w:vAlign w:val="center"/>
                </w:tcPr>
                <w:p w14:paraId="44D6BAFD">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3.3</w:t>
                  </w:r>
                </w:p>
              </w:tc>
              <w:tc>
                <w:tcPr>
                  <w:tcW w:w="1500" w:type="pct"/>
                  <w:tcBorders>
                    <w:tl2br w:val="nil"/>
                    <w:tr2bl w:val="nil"/>
                  </w:tcBorders>
                  <w:noWrap w:val="0"/>
                  <w:vAlign w:val="center"/>
                </w:tcPr>
                <w:p w14:paraId="7F1C4809">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定期委托环卫部门进行清理</w:t>
                  </w:r>
                </w:p>
              </w:tc>
            </w:tr>
            <w:tr w14:paraId="78986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9" w:type="pct"/>
                  <w:gridSpan w:val="2"/>
                  <w:tcBorders>
                    <w:tl2br w:val="nil"/>
                    <w:tr2bl w:val="nil"/>
                  </w:tcBorders>
                  <w:noWrap w:val="0"/>
                  <w:vAlign w:val="center"/>
                </w:tcPr>
                <w:p w14:paraId="1496B223">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合计</w:t>
                  </w:r>
                </w:p>
              </w:tc>
              <w:tc>
                <w:tcPr>
                  <w:tcW w:w="833" w:type="pct"/>
                  <w:gridSpan w:val="2"/>
                  <w:tcBorders>
                    <w:tl2br w:val="nil"/>
                    <w:tr2bl w:val="nil"/>
                  </w:tcBorders>
                  <w:noWrap w:val="0"/>
                  <w:vAlign w:val="center"/>
                </w:tcPr>
                <w:p w14:paraId="483BC8B5">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w:t>
                  </w:r>
                </w:p>
              </w:tc>
              <w:tc>
                <w:tcPr>
                  <w:tcW w:w="787" w:type="pct"/>
                  <w:tcBorders>
                    <w:tl2br w:val="nil"/>
                    <w:tr2bl w:val="nil"/>
                  </w:tcBorders>
                  <w:noWrap w:val="0"/>
                  <w:vAlign w:val="center"/>
                </w:tcPr>
                <w:p w14:paraId="77B28F4A">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w:t>
                  </w:r>
                </w:p>
              </w:tc>
              <w:tc>
                <w:tcPr>
                  <w:tcW w:w="452" w:type="pct"/>
                  <w:gridSpan w:val="2"/>
                  <w:tcBorders>
                    <w:tl2br w:val="nil"/>
                    <w:tr2bl w:val="nil"/>
                  </w:tcBorders>
                  <w:noWrap w:val="0"/>
                  <w:vAlign w:val="center"/>
                </w:tcPr>
                <w:p w14:paraId="5FD7F667">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固态</w:t>
                  </w:r>
                </w:p>
              </w:tc>
              <w:tc>
                <w:tcPr>
                  <w:tcW w:w="486" w:type="pct"/>
                  <w:tcBorders>
                    <w:tl2br w:val="nil"/>
                    <w:tr2bl w:val="nil"/>
                  </w:tcBorders>
                  <w:noWrap w:val="0"/>
                  <w:vAlign w:val="center"/>
                </w:tcPr>
                <w:p w14:paraId="179DEDFC">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lang w:val="en-US" w:eastAsia="zh-CN"/>
                    </w:rPr>
                  </w:pPr>
                  <w:r>
                    <w:rPr>
                      <w:rFonts w:hint="eastAsia" w:cs="Times New Roman"/>
                      <w:b/>
                      <w:bCs/>
                      <w:color w:val="auto"/>
                      <w:sz w:val="21"/>
                      <w:szCs w:val="21"/>
                      <w:lang w:val="en-US" w:eastAsia="zh-CN"/>
                    </w:rPr>
                    <w:t>48.197</w:t>
                  </w:r>
                </w:p>
              </w:tc>
              <w:tc>
                <w:tcPr>
                  <w:tcW w:w="1500" w:type="pct"/>
                  <w:tcBorders>
                    <w:tl2br w:val="nil"/>
                    <w:tr2bl w:val="nil"/>
                  </w:tcBorders>
                  <w:noWrap w:val="0"/>
                  <w:vAlign w:val="center"/>
                </w:tcPr>
                <w:p w14:paraId="2AC6A159">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w:t>
                  </w:r>
                </w:p>
              </w:tc>
            </w:tr>
          </w:tbl>
          <w:p w14:paraId="6FC57B44">
            <w:pPr>
              <w:bidi w:val="0"/>
              <w:rPr>
                <w:rFonts w:hint="default" w:ascii="Times New Roman" w:hAnsi="Times New Roman" w:cs="Times New Roman"/>
                <w:b/>
                <w:bCs/>
                <w:color w:val="auto"/>
                <w:sz w:val="24"/>
                <w:szCs w:val="24"/>
                <w:lang w:val="en-US" w:eastAsia="zh-CN"/>
              </w:rPr>
            </w:pPr>
            <w:r>
              <w:rPr>
                <w:rFonts w:hint="eastAsia" w:cs="Times New Roman"/>
                <w:b/>
                <w:bCs/>
                <w:color w:val="auto"/>
                <w:sz w:val="24"/>
                <w:szCs w:val="24"/>
                <w:lang w:val="en-US" w:eastAsia="zh-CN"/>
              </w:rPr>
              <w:t>（2）</w:t>
            </w:r>
            <w:r>
              <w:rPr>
                <w:rFonts w:hint="default" w:ascii="Times New Roman" w:hAnsi="Times New Roman" w:cs="Times New Roman"/>
                <w:b/>
                <w:bCs/>
                <w:color w:val="auto"/>
                <w:sz w:val="24"/>
                <w:szCs w:val="24"/>
                <w:lang w:val="en-US" w:eastAsia="zh-CN"/>
              </w:rPr>
              <w:t>危险废物：</w:t>
            </w:r>
          </w:p>
          <w:p w14:paraId="5D599AAC">
            <w:pPr>
              <w:bidi w:val="0"/>
              <w:rPr>
                <w:rFonts w:hint="eastAsia" w:cs="Times New Roman"/>
                <w:color w:val="auto"/>
                <w:sz w:val="24"/>
                <w:szCs w:val="24"/>
                <w:lang w:val="en-US" w:eastAsia="zh-CN"/>
              </w:rPr>
            </w:pPr>
            <w:r>
              <w:rPr>
                <w:rFonts w:hint="eastAsia" w:cs="Times New Roman"/>
                <w:color w:val="auto"/>
                <w:sz w:val="24"/>
                <w:szCs w:val="24"/>
                <w:lang w:val="en-US" w:eastAsia="zh-CN"/>
              </w:rPr>
              <w:t>①机加工更换废液</w:t>
            </w:r>
          </w:p>
          <w:p w14:paraId="4E3568A6">
            <w:pPr>
              <w:bidi w:val="0"/>
              <w:rPr>
                <w:rFonts w:hint="default" w:ascii="Times New Roman" w:hAnsi="Times New Roman" w:cs="Times New Roman"/>
                <w:color w:val="auto"/>
                <w:lang w:val="en-US" w:eastAsia="zh-CN"/>
              </w:rPr>
            </w:pPr>
            <w:r>
              <w:rPr>
                <w:rFonts w:hint="eastAsia" w:cs="Times New Roman"/>
                <w:color w:val="auto"/>
                <w:sz w:val="24"/>
                <w:szCs w:val="24"/>
                <w:lang w:val="en-US" w:eastAsia="zh-CN"/>
              </w:rPr>
              <w:t>根据水平衡计算，本项目数控车床、摇臂钻床、铣床等机加工设备为湿法作业，每台设备水槽中的水循环使用，定期更换，</w:t>
            </w:r>
            <w:r>
              <w:rPr>
                <w:rFonts w:hint="eastAsia" w:cs="Times New Roman"/>
                <w:color w:val="auto"/>
                <w:lang w:val="en-US" w:eastAsia="zh-CN"/>
              </w:rPr>
              <w:t>年更换水量为0.4</w:t>
            </w:r>
            <w:r>
              <w:rPr>
                <w:rFonts w:hint="default" w:ascii="Times New Roman" w:hAnsi="Times New Roman" w:cs="Times New Roman"/>
                <w:color w:val="auto"/>
                <w:lang w:val="en-US" w:eastAsia="zh-CN"/>
              </w:rPr>
              <w:t>t/a</w:t>
            </w:r>
            <w:r>
              <w:rPr>
                <w:rFonts w:hint="eastAsia" w:cs="Times New Roman"/>
                <w:color w:val="auto"/>
                <w:lang w:val="en-US" w:eastAsia="zh-CN"/>
              </w:rPr>
              <w:t>，主要为含油物质，</w:t>
            </w:r>
            <w:r>
              <w:rPr>
                <w:rFonts w:hint="default" w:ascii="Times New Roman" w:hAnsi="Times New Roman" w:cs="Times New Roman"/>
                <w:color w:val="auto"/>
                <w:sz w:val="24"/>
                <w:szCs w:val="24"/>
                <w:lang w:val="en-US" w:eastAsia="zh-CN"/>
              </w:rPr>
              <w:t>对照《国家危险废物名录（2025年版）》，其他工艺过程中产生的废弃的油/水、烃/水混合物或者乳化液为危险废物，分类编号为：HW</w:t>
            </w:r>
            <w:r>
              <w:rPr>
                <w:rFonts w:hint="eastAsia" w:cs="Times New Roman"/>
                <w:color w:val="auto"/>
                <w:sz w:val="24"/>
                <w:szCs w:val="24"/>
                <w:lang w:val="en-US" w:eastAsia="zh-CN"/>
              </w:rPr>
              <w:t>0</w:t>
            </w:r>
            <w:r>
              <w:rPr>
                <w:rFonts w:hint="default" w:ascii="Times New Roman" w:hAnsi="Times New Roman" w:cs="Times New Roman"/>
                <w:color w:val="auto"/>
                <w:sz w:val="24"/>
                <w:szCs w:val="24"/>
                <w:lang w:val="en-US" w:eastAsia="zh-CN"/>
              </w:rPr>
              <w:t>9，危废代码为：900-007-09。</w:t>
            </w:r>
            <w:r>
              <w:rPr>
                <w:rFonts w:hint="default" w:ascii="Times New Roman" w:hAnsi="Times New Roman" w:cs="Times New Roman"/>
                <w:color w:val="auto"/>
                <w:sz w:val="24"/>
                <w:szCs w:val="24"/>
              </w:rPr>
              <w:t>要求企业妥善</w:t>
            </w:r>
            <w:r>
              <w:rPr>
                <w:rFonts w:hint="default" w:ascii="Times New Roman" w:hAnsi="Times New Roman" w:cs="Times New Roman"/>
                <w:color w:val="auto"/>
                <w:sz w:val="24"/>
                <w:szCs w:val="24"/>
                <w:lang w:val="en-US" w:eastAsia="zh-CN"/>
              </w:rPr>
              <w:t>统一收集后暂存于</w:t>
            </w:r>
            <w:r>
              <w:rPr>
                <w:rFonts w:hint="default" w:ascii="Times New Roman" w:hAnsi="Times New Roman" w:cs="Times New Roman"/>
                <w:color w:val="auto"/>
                <w:sz w:val="24"/>
                <w:szCs w:val="24"/>
                <w:vertAlign w:val="baseline"/>
                <w:lang w:val="en-US" w:eastAsia="zh-CN"/>
              </w:rPr>
              <w:t>危</w:t>
            </w:r>
            <w:r>
              <w:rPr>
                <w:rFonts w:hint="default" w:ascii="Times New Roman" w:hAnsi="Times New Roman" w:cs="Times New Roman"/>
                <w:color w:val="auto"/>
                <w:sz w:val="24"/>
                <w:szCs w:val="24"/>
                <w:lang w:val="en-US" w:eastAsia="zh-CN"/>
              </w:rPr>
              <w:t>废暂存间</w:t>
            </w:r>
            <w:r>
              <w:rPr>
                <w:rFonts w:hint="default" w:ascii="Times New Roman" w:hAnsi="Times New Roman" w:cs="Times New Roman"/>
                <w:color w:val="auto"/>
                <w:sz w:val="24"/>
                <w:szCs w:val="24"/>
              </w:rPr>
              <w:t>后委托有相应资质的单位安全处置，不得随意丢弃、倾倒</w:t>
            </w:r>
            <w:r>
              <w:rPr>
                <w:rFonts w:hint="default" w:ascii="Times New Roman" w:hAnsi="Times New Roman" w:cs="Times New Roman"/>
                <w:color w:val="auto"/>
                <w:lang w:val="en-US" w:eastAsia="zh-CN"/>
              </w:rPr>
              <w:t>。</w:t>
            </w:r>
          </w:p>
          <w:p w14:paraId="1B54D4DA">
            <w:pPr>
              <w:bidi w:val="0"/>
              <w:rPr>
                <w:rFonts w:hint="default" w:ascii="Times New Roman" w:hAnsi="Times New Roman" w:cs="Times New Roman"/>
                <w:color w:val="auto"/>
                <w:sz w:val="24"/>
                <w:szCs w:val="24"/>
                <w:lang w:val="en-US" w:eastAsia="zh-CN"/>
              </w:rPr>
            </w:pPr>
            <w:r>
              <w:rPr>
                <w:rFonts w:hint="eastAsia" w:cs="Times New Roman"/>
                <w:color w:val="auto"/>
                <w:sz w:val="24"/>
                <w:szCs w:val="24"/>
                <w:lang w:val="en-US" w:eastAsia="zh-CN"/>
              </w:rPr>
              <w:t>②</w:t>
            </w:r>
            <w:r>
              <w:rPr>
                <w:rFonts w:hint="default" w:ascii="Times New Roman" w:hAnsi="Times New Roman" w:cs="Times New Roman"/>
                <w:color w:val="auto"/>
                <w:sz w:val="24"/>
                <w:szCs w:val="24"/>
                <w:lang w:val="en-US" w:eastAsia="zh-CN"/>
              </w:rPr>
              <w:t>废</w:t>
            </w:r>
            <w:r>
              <w:rPr>
                <w:rFonts w:hint="eastAsia" w:cs="Times New Roman"/>
                <w:b w:val="0"/>
                <w:bCs/>
                <w:color w:val="auto"/>
                <w:sz w:val="24"/>
                <w:szCs w:val="24"/>
                <w:lang w:val="en-US" w:eastAsia="zh-CN"/>
              </w:rPr>
              <w:t>水性丙烯酸面漆桶</w:t>
            </w:r>
          </w:p>
          <w:p w14:paraId="3E5911FD">
            <w:pPr>
              <w:numPr>
                <w:ilvl w:val="0"/>
                <w:numId w:val="0"/>
              </w:numPr>
              <w:bidi w:val="0"/>
              <w:ind w:left="-2" w:leftChars="0" w:firstLine="480" w:firstLineChars="200"/>
              <w:rPr>
                <w:rFonts w:hint="default" w:ascii="Times New Roman" w:hAnsi="Times New Roman" w:cs="Times New Roman"/>
                <w:color w:val="auto"/>
                <w:lang w:val="en-US" w:eastAsia="zh-CN"/>
              </w:rPr>
            </w:pPr>
            <w:r>
              <w:rPr>
                <w:rFonts w:hint="eastAsia" w:cs="Times New Roman"/>
                <w:color w:val="auto"/>
                <w:lang w:val="en-US" w:eastAsia="zh-CN"/>
              </w:rPr>
              <w:t>本项目废包装容器为水性丙烯酸面漆</w:t>
            </w:r>
            <w:r>
              <w:rPr>
                <w:rFonts w:hint="default" w:ascii="Times New Roman" w:hAnsi="Times New Roman" w:cs="Times New Roman"/>
                <w:color w:val="auto"/>
                <w:lang w:val="en-US" w:eastAsia="zh-CN"/>
              </w:rPr>
              <w:t>、</w:t>
            </w:r>
            <w:r>
              <w:rPr>
                <w:rFonts w:hint="eastAsia" w:ascii="Times New Roman" w:hAnsi="Times New Roman" w:cs="Times New Roman"/>
                <w:color w:val="auto"/>
                <w:lang w:val="en-US" w:eastAsia="zh-CN"/>
              </w:rPr>
              <w:t>润滑油</w:t>
            </w:r>
            <w:r>
              <w:rPr>
                <w:rFonts w:hint="eastAsia" w:cs="Times New Roman"/>
                <w:color w:val="auto"/>
                <w:lang w:val="en-US" w:eastAsia="zh-CN"/>
              </w:rPr>
              <w:t>的包装，具体产生量计算如下：</w:t>
            </w:r>
          </w:p>
          <w:p w14:paraId="3F9E13C5">
            <w:pPr>
              <w:bidi w:val="0"/>
              <w:rPr>
                <w:rFonts w:hint="default" w:ascii="Times New Roman" w:hAnsi="Times New Roman" w:cs="Times New Roman"/>
                <w:color w:val="auto"/>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使用</w:t>
            </w:r>
            <w:r>
              <w:rPr>
                <w:rFonts w:hint="default" w:ascii="Times New Roman" w:hAnsi="Times New Roman" w:cs="Times New Roman"/>
                <w:color w:val="auto"/>
                <w:sz w:val="24"/>
                <w:szCs w:val="24"/>
                <w:lang w:val="en-US" w:eastAsia="zh-CN"/>
              </w:rPr>
              <w:t>的</w:t>
            </w:r>
            <w:r>
              <w:rPr>
                <w:rFonts w:hint="eastAsia" w:cs="Times New Roman"/>
                <w:color w:val="auto"/>
                <w:lang w:val="en-US" w:eastAsia="zh-CN"/>
              </w:rPr>
              <w:t>水性丙烯酸面漆</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2</w:t>
            </w:r>
            <w:r>
              <w:rPr>
                <w:rFonts w:hint="eastAsia" w:cs="Times New Roman"/>
                <w:color w:val="auto"/>
                <w:sz w:val="24"/>
                <w:szCs w:val="24"/>
                <w:lang w:val="en-US" w:eastAsia="zh-CN"/>
              </w:rPr>
              <w:t>5</w:t>
            </w:r>
            <w:r>
              <w:rPr>
                <w:rFonts w:hint="default" w:ascii="Times New Roman" w:hAnsi="Times New Roman" w:cs="Times New Roman"/>
                <w:color w:val="auto"/>
                <w:sz w:val="24"/>
                <w:szCs w:val="24"/>
                <w:lang w:val="en-US" w:eastAsia="zh-CN"/>
              </w:rPr>
              <w:t>kg/桶（桶：0.</w:t>
            </w:r>
            <w:r>
              <w:rPr>
                <w:rFonts w:hint="eastAsia" w:cs="Times New Roman"/>
                <w:color w:val="auto"/>
                <w:sz w:val="24"/>
                <w:szCs w:val="24"/>
                <w:lang w:val="en-US" w:eastAsia="zh-CN"/>
              </w:rPr>
              <w:t>5</w:t>
            </w:r>
            <w:r>
              <w:rPr>
                <w:rFonts w:hint="default" w:ascii="Times New Roman" w:hAnsi="Times New Roman" w:cs="Times New Roman"/>
                <w:color w:val="auto"/>
                <w:sz w:val="24"/>
                <w:szCs w:val="24"/>
                <w:lang w:val="en-US" w:eastAsia="zh-CN"/>
              </w:rPr>
              <w:t>kg/只），使用总量为</w:t>
            </w:r>
            <w:r>
              <w:rPr>
                <w:rFonts w:hint="eastAsia" w:cs="Times New Roman"/>
                <w:color w:val="auto"/>
                <w:sz w:val="24"/>
                <w:szCs w:val="24"/>
                <w:lang w:val="en-US" w:eastAsia="zh-CN"/>
              </w:rPr>
              <w:t>22.15</w:t>
            </w:r>
            <w:r>
              <w:rPr>
                <w:rFonts w:hint="default" w:ascii="Times New Roman" w:hAnsi="Times New Roman" w:cs="Times New Roman"/>
                <w:color w:val="auto"/>
                <w:sz w:val="24"/>
                <w:szCs w:val="24"/>
                <w:lang w:val="en-US" w:eastAsia="zh-CN"/>
              </w:rPr>
              <w:t>t/a，废包装桶的产量约</w:t>
            </w:r>
            <w:r>
              <w:rPr>
                <w:rFonts w:hint="eastAsia" w:ascii="Times New Roman" w:hAnsi="Times New Roman" w:cs="Times New Roman"/>
                <w:color w:val="auto"/>
                <w:sz w:val="24"/>
                <w:szCs w:val="24"/>
                <w:lang w:val="en-US" w:eastAsia="zh-CN"/>
              </w:rPr>
              <w:t>0.</w:t>
            </w:r>
            <w:r>
              <w:rPr>
                <w:rFonts w:hint="eastAsia" w:cs="Times New Roman"/>
                <w:color w:val="auto"/>
                <w:sz w:val="24"/>
                <w:szCs w:val="24"/>
                <w:lang w:val="en-US" w:eastAsia="zh-CN"/>
              </w:rPr>
              <w:t>443</w:t>
            </w:r>
            <w:r>
              <w:rPr>
                <w:rFonts w:hint="default" w:ascii="Times New Roman" w:hAnsi="Times New Roman" w:cs="Times New Roman"/>
                <w:color w:val="auto"/>
                <w:sz w:val="24"/>
                <w:szCs w:val="24"/>
                <w:lang w:val="en-US" w:eastAsia="zh-CN"/>
              </w:rPr>
              <w:t>t/a。对照《国家危险废物名录（2025年版）》，含有机溶剂的包装物为危险废物，分类编号为：HW49，危废代码为：900-041-49。</w:t>
            </w:r>
            <w:r>
              <w:rPr>
                <w:rFonts w:hint="default" w:ascii="Times New Roman" w:hAnsi="Times New Roman" w:cs="Times New Roman"/>
                <w:color w:val="auto"/>
                <w:sz w:val="24"/>
                <w:szCs w:val="24"/>
              </w:rPr>
              <w:t>要求企业妥善</w:t>
            </w:r>
            <w:r>
              <w:rPr>
                <w:rFonts w:hint="default" w:ascii="Times New Roman" w:hAnsi="Times New Roman" w:cs="Times New Roman"/>
                <w:color w:val="auto"/>
                <w:sz w:val="24"/>
                <w:szCs w:val="24"/>
                <w:lang w:val="en-US" w:eastAsia="zh-CN"/>
              </w:rPr>
              <w:t>统一收集后暂存于</w:t>
            </w:r>
            <w:r>
              <w:rPr>
                <w:rFonts w:hint="default" w:ascii="Times New Roman" w:hAnsi="Times New Roman" w:cs="Times New Roman"/>
                <w:color w:val="auto"/>
                <w:sz w:val="24"/>
                <w:szCs w:val="24"/>
                <w:vertAlign w:val="baseline"/>
                <w:lang w:val="en-US" w:eastAsia="zh-CN"/>
              </w:rPr>
              <w:t>危</w:t>
            </w:r>
            <w:r>
              <w:rPr>
                <w:rFonts w:hint="default" w:ascii="Times New Roman" w:hAnsi="Times New Roman" w:cs="Times New Roman"/>
                <w:color w:val="auto"/>
                <w:sz w:val="24"/>
                <w:szCs w:val="24"/>
                <w:lang w:val="en-US" w:eastAsia="zh-CN"/>
              </w:rPr>
              <w:t>废暂存间</w:t>
            </w:r>
            <w:r>
              <w:rPr>
                <w:rFonts w:hint="default" w:ascii="Times New Roman" w:hAnsi="Times New Roman" w:cs="Times New Roman"/>
                <w:color w:val="auto"/>
                <w:sz w:val="24"/>
                <w:szCs w:val="24"/>
              </w:rPr>
              <w:t>后委托有相应资质的单位安全处置，不得随意丢弃、倾倒。</w:t>
            </w:r>
          </w:p>
          <w:p w14:paraId="6F651984">
            <w:pPr>
              <w:bidi w:val="0"/>
              <w:rPr>
                <w:rFonts w:hint="default" w:ascii="Times New Roman" w:hAnsi="Times New Roman" w:cs="Times New Roman"/>
                <w:color w:val="auto"/>
                <w:sz w:val="24"/>
                <w:szCs w:val="24"/>
                <w:lang w:val="en-US" w:eastAsia="zh-CN"/>
              </w:rPr>
            </w:pPr>
            <w:r>
              <w:rPr>
                <w:rFonts w:hint="eastAsia" w:cs="Times New Roman"/>
                <w:color w:val="auto"/>
                <w:sz w:val="24"/>
                <w:szCs w:val="24"/>
                <w:lang w:val="en-US" w:eastAsia="zh-CN"/>
              </w:rPr>
              <w:t>③</w:t>
            </w:r>
            <w:r>
              <w:rPr>
                <w:rFonts w:hint="default" w:ascii="Times New Roman" w:hAnsi="Times New Roman" w:cs="Times New Roman"/>
                <w:color w:val="auto"/>
                <w:sz w:val="24"/>
                <w:szCs w:val="24"/>
                <w:lang w:val="en-US" w:eastAsia="zh-CN"/>
              </w:rPr>
              <w:t>漆渣</w:t>
            </w:r>
          </w:p>
          <w:p w14:paraId="50BD04D1">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喷漆过程未附着的漆料部分附在喷漆室地面和墙面处，需定期处理，根据物料衡算及源强核算，根据物料平衡，本项目底面漆喷漆过程中漆渣产生量为0.2463t/a，根据《国家危险废物名录（2025年版）》，分类编号为：</w:t>
            </w:r>
            <w:r>
              <w:rPr>
                <w:rFonts w:hint="default" w:ascii="Times New Roman" w:hAnsi="Times New Roman" w:cs="Times New Roman"/>
                <w:color w:val="auto"/>
                <w:sz w:val="24"/>
                <w:szCs w:val="24"/>
                <w:lang w:val="en-US" w:eastAsia="zh-CN"/>
              </w:rPr>
              <w:t>HW49，危废代码为：900-041-49，</w:t>
            </w:r>
            <w:r>
              <w:rPr>
                <w:rFonts w:hint="eastAsia" w:cs="Times New Roman"/>
                <w:color w:val="auto"/>
                <w:sz w:val="24"/>
                <w:szCs w:val="24"/>
                <w:lang w:val="en-US" w:eastAsia="zh-CN"/>
              </w:rPr>
              <w:t>要求企业妥善收集后委托有相应资质的单位安全处置。</w:t>
            </w:r>
          </w:p>
          <w:p w14:paraId="0B7611F2">
            <w:pPr>
              <w:bidi w:val="0"/>
              <w:rPr>
                <w:rFonts w:hint="eastAsia" w:cs="Times New Roman"/>
                <w:color w:val="auto"/>
                <w:sz w:val="24"/>
                <w:szCs w:val="24"/>
                <w:lang w:val="en-US" w:eastAsia="zh-CN"/>
              </w:rPr>
            </w:pPr>
            <w:r>
              <w:rPr>
                <w:rFonts w:hint="eastAsia" w:cs="Times New Roman"/>
                <w:color w:val="auto"/>
                <w:sz w:val="24"/>
                <w:szCs w:val="24"/>
                <w:lang w:val="en-US" w:eastAsia="zh-CN"/>
              </w:rPr>
              <w:t>④喷枪清洗废液</w:t>
            </w:r>
          </w:p>
          <w:p w14:paraId="72A334E8">
            <w:pPr>
              <w:bidi w:val="0"/>
              <w:rPr>
                <w:rFonts w:hint="default" w:ascii="Times New Roman" w:hAnsi="Times New Roman" w:cs="Times New Roman"/>
                <w:color w:val="auto"/>
                <w:sz w:val="24"/>
                <w:szCs w:val="24"/>
                <w:lang w:val="en-US" w:eastAsia="zh-CN"/>
              </w:rPr>
            </w:pPr>
            <w:r>
              <w:rPr>
                <w:rFonts w:hint="eastAsia" w:cs="Times New Roman"/>
                <w:color w:val="auto"/>
                <w:lang w:eastAsia="zh-CN"/>
              </w:rPr>
              <w:t>根据水平衡计算，</w:t>
            </w:r>
            <w:r>
              <w:rPr>
                <w:rFonts w:hint="default" w:ascii="Times New Roman" w:hAnsi="Times New Roman" w:cs="Times New Roman"/>
                <w:color w:val="auto"/>
              </w:rPr>
              <w:t>本项目使用的面漆喷头在喷漆房内用自来水清洗，</w:t>
            </w:r>
            <w:r>
              <w:rPr>
                <w:rFonts w:hint="default" w:ascii="Times New Roman" w:hAnsi="Times New Roman" w:cs="Times New Roman"/>
                <w:color w:val="auto"/>
                <w:szCs w:val="21"/>
                <w:lang w:val="en-US" w:eastAsia="zh-CN"/>
              </w:rPr>
              <w:t>清洗用水为0.75t/a，</w:t>
            </w:r>
            <w:r>
              <w:rPr>
                <w:rFonts w:hint="eastAsia" w:cs="Times New Roman"/>
                <w:color w:val="auto"/>
                <w:sz w:val="24"/>
                <w:szCs w:val="24"/>
                <w:lang w:val="en-US" w:eastAsia="zh-CN"/>
              </w:rPr>
              <w:t>根据《国家危险废物名录（2025年版）》，分类编号为：</w:t>
            </w:r>
            <w:r>
              <w:rPr>
                <w:rFonts w:hint="default" w:ascii="Times New Roman" w:hAnsi="Times New Roman" w:cs="Times New Roman"/>
                <w:color w:val="auto"/>
                <w:sz w:val="24"/>
                <w:szCs w:val="24"/>
                <w:lang w:val="en-US" w:eastAsia="zh-CN"/>
              </w:rPr>
              <w:t>HW49，危废代码为：900-041-49，</w:t>
            </w:r>
            <w:r>
              <w:rPr>
                <w:rFonts w:hint="eastAsia" w:cs="Times New Roman"/>
                <w:color w:val="auto"/>
                <w:sz w:val="24"/>
                <w:szCs w:val="24"/>
                <w:lang w:val="en-US" w:eastAsia="zh-CN"/>
              </w:rPr>
              <w:t>要求企业妥善收集后委托有相应资质的单位安全处置。</w:t>
            </w:r>
          </w:p>
          <w:p w14:paraId="5ABA31F4">
            <w:pPr>
              <w:bidi w:val="0"/>
              <w:rPr>
                <w:rFonts w:hint="default" w:ascii="Times New Roman" w:hAnsi="Times New Roman" w:cs="Times New Roman"/>
                <w:b w:val="0"/>
                <w:bCs/>
                <w:color w:val="auto"/>
                <w:sz w:val="24"/>
                <w:szCs w:val="24"/>
                <w:lang w:val="en-US" w:eastAsia="zh-CN"/>
              </w:rPr>
            </w:pPr>
            <w:r>
              <w:rPr>
                <w:rFonts w:hint="eastAsia" w:cs="Times New Roman"/>
                <w:color w:val="auto"/>
                <w:sz w:val="24"/>
                <w:szCs w:val="24"/>
                <w:lang w:val="en-US" w:eastAsia="zh-CN"/>
              </w:rPr>
              <w:t>⑤</w:t>
            </w:r>
            <w:r>
              <w:rPr>
                <w:rFonts w:hint="default" w:ascii="Times New Roman" w:hAnsi="Times New Roman" w:cs="Times New Roman"/>
                <w:b w:val="0"/>
                <w:bCs/>
                <w:color w:val="auto"/>
                <w:sz w:val="24"/>
                <w:szCs w:val="24"/>
                <w:lang w:val="en-US" w:eastAsia="zh-CN"/>
              </w:rPr>
              <w:t>废润滑油</w:t>
            </w:r>
            <w:r>
              <w:rPr>
                <w:rFonts w:hint="eastAsia" w:cs="Times New Roman"/>
                <w:b w:val="0"/>
                <w:bCs/>
                <w:color w:val="auto"/>
                <w:sz w:val="24"/>
                <w:szCs w:val="24"/>
                <w:lang w:val="en-US" w:eastAsia="zh-CN"/>
              </w:rPr>
              <w:t>和废润滑油桶</w:t>
            </w:r>
          </w:p>
          <w:p w14:paraId="52EA5EDC">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设备需定期保养</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过程中</w:t>
            </w:r>
            <w:r>
              <w:rPr>
                <w:rFonts w:hint="default" w:ascii="Times New Roman" w:hAnsi="Times New Roman" w:cs="Times New Roman"/>
                <w:color w:val="auto"/>
                <w:sz w:val="24"/>
                <w:szCs w:val="24"/>
                <w:lang w:val="en-US" w:eastAsia="zh-CN"/>
              </w:rPr>
              <w:t>废润滑油的产生量为</w:t>
            </w:r>
            <w:r>
              <w:rPr>
                <w:rFonts w:hint="eastAsia" w:cs="Times New Roman"/>
                <w:color w:val="auto"/>
                <w:sz w:val="24"/>
                <w:szCs w:val="24"/>
                <w:lang w:val="en-US" w:eastAsia="zh-CN"/>
              </w:rPr>
              <w:t>0.02</w:t>
            </w:r>
            <w:r>
              <w:rPr>
                <w:rFonts w:hint="default" w:ascii="Times New Roman" w:hAnsi="Times New Roman" w:cs="Times New Roman"/>
                <w:color w:val="auto"/>
                <w:sz w:val="24"/>
                <w:szCs w:val="24"/>
                <w:lang w:val="en-US" w:eastAsia="zh-CN"/>
              </w:rPr>
              <w:t>t/a；</w:t>
            </w:r>
            <w:r>
              <w:rPr>
                <w:rFonts w:hint="eastAsia" w:ascii="Times New Roman" w:hAnsi="Times New Roman" w:cs="Times New Roman"/>
                <w:color w:val="auto"/>
                <w:sz w:val="24"/>
                <w:szCs w:val="24"/>
                <w:lang w:val="en-US" w:eastAsia="zh-CN"/>
              </w:rPr>
              <w:t>润滑油</w:t>
            </w:r>
            <w:r>
              <w:rPr>
                <w:rFonts w:hint="eastAsia" w:cs="Times New Roman"/>
                <w:color w:val="auto"/>
                <w:sz w:val="24"/>
                <w:szCs w:val="24"/>
                <w:lang w:val="en-US" w:eastAsia="zh-CN"/>
              </w:rPr>
              <w:t>包装规格</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2</w:t>
            </w:r>
            <w:r>
              <w:rPr>
                <w:rFonts w:hint="eastAsia" w:cs="Times New Roman"/>
                <w:color w:val="auto"/>
                <w:sz w:val="24"/>
                <w:szCs w:val="24"/>
                <w:lang w:val="en-US" w:eastAsia="zh-CN"/>
              </w:rPr>
              <w:t>0</w:t>
            </w:r>
            <w:r>
              <w:rPr>
                <w:rFonts w:hint="default" w:ascii="Times New Roman" w:hAnsi="Times New Roman" w:cs="Times New Roman"/>
                <w:color w:val="auto"/>
                <w:sz w:val="24"/>
                <w:szCs w:val="24"/>
                <w:lang w:val="en-US" w:eastAsia="zh-CN"/>
              </w:rPr>
              <w:t>kg/桶（桶：0.</w:t>
            </w:r>
            <w:r>
              <w:rPr>
                <w:rFonts w:hint="eastAsia" w:cs="Times New Roman"/>
                <w:color w:val="auto"/>
                <w:sz w:val="24"/>
                <w:szCs w:val="24"/>
                <w:lang w:val="en-US" w:eastAsia="zh-CN"/>
              </w:rPr>
              <w:t>5</w:t>
            </w:r>
            <w:r>
              <w:rPr>
                <w:rFonts w:hint="default" w:ascii="Times New Roman" w:hAnsi="Times New Roman" w:cs="Times New Roman"/>
                <w:color w:val="auto"/>
                <w:sz w:val="24"/>
                <w:szCs w:val="24"/>
                <w:lang w:val="en-US" w:eastAsia="zh-CN"/>
              </w:rPr>
              <w:t>kg/只），使用总量为</w:t>
            </w:r>
            <w:r>
              <w:rPr>
                <w:rFonts w:hint="eastAsia" w:ascii="Times New Roman" w:hAnsi="Times New Roman" w:cs="Times New Roman"/>
                <w:color w:val="auto"/>
                <w:sz w:val="24"/>
                <w:szCs w:val="24"/>
                <w:lang w:val="en-US" w:eastAsia="zh-CN"/>
              </w:rPr>
              <w:t>0.</w:t>
            </w:r>
            <w:r>
              <w:rPr>
                <w:rFonts w:hint="eastAsia" w:cs="Times New Roman"/>
                <w:color w:val="auto"/>
                <w:sz w:val="24"/>
                <w:szCs w:val="24"/>
                <w:lang w:val="en-US" w:eastAsia="zh-CN"/>
              </w:rPr>
              <w:t>2</w:t>
            </w:r>
            <w:r>
              <w:rPr>
                <w:rFonts w:hint="default" w:ascii="Times New Roman" w:hAnsi="Times New Roman" w:cs="Times New Roman"/>
                <w:color w:val="auto"/>
                <w:sz w:val="24"/>
                <w:szCs w:val="24"/>
                <w:lang w:val="en-US" w:eastAsia="zh-CN"/>
              </w:rPr>
              <w:t>t/a，废包装桶的产量约0.</w:t>
            </w:r>
            <w:r>
              <w:rPr>
                <w:rFonts w:hint="eastAsia" w:cs="Times New Roman"/>
                <w:color w:val="auto"/>
                <w:sz w:val="24"/>
                <w:szCs w:val="24"/>
                <w:lang w:val="en-US" w:eastAsia="zh-CN"/>
              </w:rPr>
              <w:t>005</w:t>
            </w:r>
            <w:r>
              <w:rPr>
                <w:rFonts w:hint="default" w:ascii="Times New Roman" w:hAnsi="Times New Roman" w:cs="Times New Roman"/>
                <w:color w:val="auto"/>
                <w:sz w:val="24"/>
                <w:szCs w:val="24"/>
                <w:lang w:val="en-US" w:eastAsia="zh-CN"/>
              </w:rPr>
              <w:t>t/a</w:t>
            </w:r>
            <w:r>
              <w:rPr>
                <w:rFonts w:hint="eastAsia" w:cs="Times New Roman"/>
                <w:color w:val="auto"/>
                <w:sz w:val="24"/>
                <w:szCs w:val="24"/>
                <w:lang w:val="en-US" w:eastAsia="zh-CN"/>
              </w:rPr>
              <w:t>；共计0.025t/a。</w:t>
            </w:r>
            <w:r>
              <w:rPr>
                <w:rFonts w:hint="default" w:ascii="Times New Roman" w:hAnsi="Times New Roman" w:cs="Times New Roman"/>
                <w:color w:val="auto"/>
                <w:sz w:val="24"/>
                <w:szCs w:val="24"/>
              </w:rPr>
              <w:t>根据《国家危险废物名录</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2025年版</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》，其他生产、销售、使用过程中产生的废矿物油及沾染矿物油的废弃包装物属于危险废物，分类编号为：HW</w:t>
            </w:r>
            <w:r>
              <w:rPr>
                <w:rFonts w:hint="default" w:ascii="Times New Roman" w:hAnsi="Times New Roman" w:cs="Times New Roman"/>
                <w:color w:val="auto"/>
                <w:sz w:val="24"/>
                <w:szCs w:val="24"/>
                <w:lang w:val="en-US" w:eastAsia="zh-CN"/>
              </w:rPr>
              <w:t>08</w:t>
            </w:r>
            <w:r>
              <w:rPr>
                <w:rFonts w:hint="default" w:ascii="Times New Roman" w:hAnsi="Times New Roman" w:cs="Times New Roman"/>
                <w:color w:val="auto"/>
                <w:sz w:val="24"/>
                <w:szCs w:val="24"/>
              </w:rPr>
              <w:t>，危废代码为：900-</w:t>
            </w:r>
            <w:r>
              <w:rPr>
                <w:rFonts w:hint="default" w:ascii="Times New Roman" w:hAnsi="Times New Roman" w:cs="Times New Roman"/>
                <w:color w:val="auto"/>
                <w:sz w:val="24"/>
                <w:szCs w:val="24"/>
                <w:lang w:val="en-US" w:eastAsia="zh-CN"/>
              </w:rPr>
              <w:t>2</w:t>
            </w:r>
            <w:r>
              <w:rPr>
                <w:rFonts w:hint="eastAsia" w:cs="Times New Roman"/>
                <w:color w:val="auto"/>
                <w:sz w:val="24"/>
                <w:szCs w:val="24"/>
                <w:lang w:val="en-US" w:eastAsia="zh-CN"/>
              </w:rPr>
              <w:t>49</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US" w:eastAsia="zh-CN"/>
              </w:rPr>
              <w:t>08</w:t>
            </w:r>
            <w:r>
              <w:rPr>
                <w:rFonts w:hint="default" w:ascii="Times New Roman" w:hAnsi="Times New Roman" w:cs="Times New Roman"/>
                <w:color w:val="auto"/>
                <w:sz w:val="24"/>
                <w:szCs w:val="24"/>
              </w:rPr>
              <w:t>。要求企业妥善收集</w:t>
            </w:r>
            <w:r>
              <w:rPr>
                <w:rFonts w:hint="default" w:ascii="Times New Roman" w:hAnsi="Times New Roman" w:cs="Times New Roman"/>
                <w:color w:val="auto"/>
                <w:sz w:val="24"/>
                <w:szCs w:val="24"/>
                <w:lang w:eastAsia="zh-CN"/>
              </w:rPr>
              <w:t>暂存于</w:t>
            </w:r>
            <w:r>
              <w:rPr>
                <w:rFonts w:hint="default" w:ascii="Times New Roman" w:hAnsi="Times New Roman" w:cs="Times New Roman"/>
                <w:color w:val="auto"/>
                <w:sz w:val="24"/>
                <w:szCs w:val="24"/>
                <w:vertAlign w:val="baseline"/>
                <w:lang w:val="en-US" w:eastAsia="zh-CN"/>
              </w:rPr>
              <w:t>危</w:t>
            </w:r>
            <w:r>
              <w:rPr>
                <w:rFonts w:hint="default" w:ascii="Times New Roman" w:hAnsi="Times New Roman" w:cs="Times New Roman"/>
                <w:color w:val="auto"/>
                <w:sz w:val="24"/>
                <w:szCs w:val="24"/>
                <w:lang w:val="en-US" w:eastAsia="zh-CN"/>
              </w:rPr>
              <w:t>废暂存间</w:t>
            </w:r>
            <w:r>
              <w:rPr>
                <w:rFonts w:hint="default" w:ascii="Times New Roman" w:hAnsi="Times New Roman" w:cs="Times New Roman"/>
                <w:color w:val="auto"/>
                <w:sz w:val="24"/>
                <w:szCs w:val="24"/>
              </w:rPr>
              <w:t>后委托有相应资质的单</w:t>
            </w:r>
            <w:r>
              <w:rPr>
                <w:rFonts w:hint="default" w:ascii="Times New Roman" w:hAnsi="Times New Roman" w:cs="Times New Roman"/>
                <w:color w:val="auto"/>
                <w:sz w:val="24"/>
                <w:szCs w:val="24"/>
                <w:lang w:eastAsia="zh-CN"/>
              </w:rPr>
              <w:t>位</w:t>
            </w:r>
            <w:r>
              <w:rPr>
                <w:rFonts w:hint="eastAsia" w:cs="Times New Roman"/>
                <w:color w:val="auto"/>
                <w:sz w:val="24"/>
                <w:szCs w:val="24"/>
                <w:lang w:eastAsia="zh-CN"/>
              </w:rPr>
              <w:t>安全</w:t>
            </w:r>
            <w:r>
              <w:rPr>
                <w:rFonts w:hint="default" w:ascii="Times New Roman" w:hAnsi="Times New Roman" w:cs="Times New Roman"/>
                <w:color w:val="auto"/>
                <w:sz w:val="24"/>
                <w:szCs w:val="24"/>
              </w:rPr>
              <w:t>处置，不得随意丢弃、倾倒。</w:t>
            </w:r>
          </w:p>
          <w:p w14:paraId="1DFED574">
            <w:pPr>
              <w:bidi w:val="0"/>
              <w:rPr>
                <w:rFonts w:hint="default" w:ascii="Times New Roman" w:hAnsi="Times New Roman" w:cs="Times New Roman"/>
                <w:color w:val="auto"/>
                <w:sz w:val="24"/>
                <w:szCs w:val="24"/>
              </w:rPr>
            </w:pPr>
            <w:r>
              <w:rPr>
                <w:rFonts w:hint="eastAsia" w:cs="Times New Roman"/>
                <w:color w:val="auto"/>
                <w:sz w:val="24"/>
                <w:szCs w:val="24"/>
                <w:lang w:val="en-US" w:eastAsia="zh-CN"/>
              </w:rPr>
              <w:t>⑥</w:t>
            </w:r>
            <w:r>
              <w:rPr>
                <w:rFonts w:hint="default" w:ascii="Times New Roman" w:hAnsi="Times New Roman" w:cs="Times New Roman"/>
                <w:color w:val="auto"/>
                <w:sz w:val="24"/>
                <w:szCs w:val="24"/>
                <w:lang w:val="en-US" w:eastAsia="zh-CN"/>
              </w:rPr>
              <w:t>含油抹布手套</w:t>
            </w:r>
          </w:p>
          <w:p w14:paraId="6615EC8B">
            <w:pPr>
              <w:spacing w:line="360" w:lineRule="auto"/>
              <w:ind w:firstLine="480" w:firstLineChars="20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本项目</w:t>
            </w:r>
            <w:r>
              <w:rPr>
                <w:rFonts w:hint="eastAsia" w:cs="Times New Roman"/>
                <w:color w:val="auto"/>
                <w:sz w:val="24"/>
                <w:szCs w:val="24"/>
                <w:lang w:val="en-US" w:eastAsia="zh-CN"/>
              </w:rPr>
              <w:t>设备保养过程产生</w:t>
            </w:r>
            <w:r>
              <w:rPr>
                <w:rFonts w:hint="default" w:ascii="Times New Roman" w:hAnsi="Times New Roman" w:cs="Times New Roman"/>
                <w:color w:val="auto"/>
                <w:sz w:val="24"/>
                <w:szCs w:val="24"/>
                <w:lang w:val="en-US" w:eastAsia="zh-CN"/>
              </w:rPr>
              <w:t>含油抹布</w:t>
            </w:r>
            <w:r>
              <w:rPr>
                <w:rFonts w:hint="eastAsia" w:cs="Times New Roman"/>
                <w:color w:val="auto"/>
                <w:sz w:val="24"/>
                <w:szCs w:val="24"/>
                <w:lang w:val="en-US" w:eastAsia="zh-CN"/>
              </w:rPr>
              <w:t>及</w:t>
            </w:r>
            <w:r>
              <w:rPr>
                <w:rFonts w:hint="default" w:ascii="Times New Roman" w:hAnsi="Times New Roman" w:cs="Times New Roman"/>
                <w:color w:val="auto"/>
                <w:sz w:val="24"/>
                <w:szCs w:val="24"/>
                <w:lang w:val="en-US" w:eastAsia="zh-CN"/>
              </w:rPr>
              <w:t>手套</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产生量为0.0</w:t>
            </w:r>
            <w:r>
              <w:rPr>
                <w:rFonts w:hint="eastAsia" w:cs="Times New Roman"/>
                <w:color w:val="auto"/>
                <w:sz w:val="24"/>
                <w:szCs w:val="24"/>
                <w:lang w:val="en-US" w:eastAsia="zh-CN"/>
              </w:rPr>
              <w:t>05</w:t>
            </w:r>
            <w:r>
              <w:rPr>
                <w:rFonts w:hint="default" w:ascii="Times New Roman" w:hAnsi="Times New Roman" w:cs="Times New Roman"/>
                <w:color w:val="auto"/>
                <w:sz w:val="24"/>
                <w:szCs w:val="24"/>
                <w:lang w:val="en-US" w:eastAsia="zh-CN"/>
              </w:rPr>
              <w:t>t</w:t>
            </w:r>
            <w:r>
              <w:rPr>
                <w:rFonts w:hint="eastAsia" w:cs="Times New Roman"/>
                <w:color w:val="auto"/>
                <w:sz w:val="24"/>
                <w:szCs w:val="24"/>
                <w:lang w:val="en-US" w:eastAsia="zh-CN"/>
              </w:rPr>
              <w:t>/a</w:t>
            </w:r>
            <w:r>
              <w:rPr>
                <w:rFonts w:hint="default" w:ascii="Times New Roman" w:hAnsi="Times New Roman" w:cs="Times New Roman"/>
                <w:color w:val="auto"/>
                <w:sz w:val="24"/>
                <w:szCs w:val="24"/>
                <w:lang w:val="en-US" w:eastAsia="zh-CN"/>
              </w:rPr>
              <w:t>，根据《国家危险废物名录（2025）》，分类编号为：HW49，危废代码为：900-041-49，要求企业妥善收集暂存于危废暂存间后委托有相应资质的单位于全处置，不得随意丢弃、倾倒。</w:t>
            </w:r>
          </w:p>
          <w:p w14:paraId="2FA8876C">
            <w:pPr>
              <w:rPr>
                <w:rFonts w:hint="default" w:ascii="Times New Roman" w:hAnsi="Times New Roman" w:cs="Times New Roman"/>
                <w:b w:val="0"/>
                <w:bCs/>
                <w:color w:val="auto"/>
                <w:sz w:val="24"/>
                <w:szCs w:val="24"/>
                <w:lang w:val="en-US" w:eastAsia="zh-CN"/>
              </w:rPr>
            </w:pPr>
            <w:r>
              <w:rPr>
                <w:rFonts w:hint="eastAsia" w:cs="Times New Roman"/>
                <w:color w:val="auto"/>
                <w:sz w:val="24"/>
                <w:szCs w:val="24"/>
                <w:lang w:val="en-US" w:eastAsia="zh-CN"/>
              </w:rPr>
              <w:t>⑦</w:t>
            </w:r>
            <w:r>
              <w:rPr>
                <w:rFonts w:hint="default" w:ascii="Times New Roman" w:hAnsi="Times New Roman" w:cs="Times New Roman"/>
                <w:b w:val="0"/>
                <w:bCs/>
                <w:color w:val="auto"/>
                <w:sz w:val="24"/>
                <w:szCs w:val="24"/>
                <w:lang w:val="en-US" w:eastAsia="zh-CN"/>
              </w:rPr>
              <w:t>废</w:t>
            </w:r>
            <w:r>
              <w:rPr>
                <w:rFonts w:hint="eastAsia" w:cs="Times New Roman"/>
                <w:b w:val="0"/>
                <w:bCs/>
                <w:color w:val="auto"/>
                <w:sz w:val="24"/>
                <w:szCs w:val="24"/>
                <w:lang w:val="en-US" w:eastAsia="zh-CN"/>
              </w:rPr>
              <w:t>滤芯</w:t>
            </w:r>
          </w:p>
          <w:p w14:paraId="4BC065B6">
            <w:pPr>
              <w:widowControl/>
              <w:ind w:firstLine="420"/>
              <w:rPr>
                <w:rFonts w:hint="eastAsia"/>
                <w:color w:val="auto"/>
                <w:lang w:val="en-US" w:eastAsia="zh-CN"/>
              </w:rPr>
            </w:pPr>
            <w:r>
              <w:rPr>
                <w:rFonts w:hint="eastAsia"/>
                <w:color w:val="auto"/>
              </w:rPr>
              <w:t>项目漆雾处理使用干式漆雾过滤器，产生废</w:t>
            </w:r>
            <w:r>
              <w:rPr>
                <w:rFonts w:hint="eastAsia"/>
                <w:color w:val="auto"/>
                <w:lang w:val="en-US" w:eastAsia="zh-CN"/>
              </w:rPr>
              <w:t>滤芯</w:t>
            </w:r>
            <w:r>
              <w:rPr>
                <w:rFonts w:hint="eastAsia"/>
                <w:color w:val="auto"/>
              </w:rPr>
              <w:t>，根据</w:t>
            </w:r>
            <w:r>
              <w:rPr>
                <w:rFonts w:hint="eastAsia"/>
                <w:color w:val="auto"/>
                <w:lang w:val="en-US" w:eastAsia="zh-CN"/>
              </w:rPr>
              <w:t>滤芯</w:t>
            </w:r>
            <w:r>
              <w:rPr>
                <w:rFonts w:hint="eastAsia"/>
                <w:color w:val="auto"/>
              </w:rPr>
              <w:t>生产企业的常规技术参数，1吨</w:t>
            </w:r>
            <w:r>
              <w:rPr>
                <w:rFonts w:hint="eastAsia"/>
                <w:color w:val="auto"/>
                <w:lang w:val="en-US" w:eastAsia="zh-CN"/>
              </w:rPr>
              <w:t>滤芯</w:t>
            </w:r>
            <w:r>
              <w:rPr>
                <w:rFonts w:hint="eastAsia"/>
                <w:color w:val="auto"/>
              </w:rPr>
              <w:t>的颗粒物吸附处理量约0.8t/a，本项目颗粒物处理量为</w:t>
            </w:r>
            <w:r>
              <w:rPr>
                <w:rFonts w:hint="eastAsia"/>
                <w:color w:val="auto"/>
                <w:lang w:val="en-US" w:eastAsia="zh-CN"/>
              </w:rPr>
              <w:t>4.4459</w:t>
            </w:r>
            <w:r>
              <w:rPr>
                <w:rFonts w:hint="eastAsia"/>
                <w:color w:val="auto"/>
              </w:rPr>
              <w:t>t/a，则</w:t>
            </w:r>
            <w:r>
              <w:rPr>
                <w:rFonts w:hint="eastAsia"/>
                <w:color w:val="auto"/>
                <w:lang w:val="en-US" w:eastAsia="zh-CN"/>
              </w:rPr>
              <w:t>废滤芯</w:t>
            </w:r>
            <w:r>
              <w:rPr>
                <w:rFonts w:hint="eastAsia"/>
                <w:color w:val="auto"/>
              </w:rPr>
              <w:t>的使用量为</w:t>
            </w:r>
            <w:r>
              <w:rPr>
                <w:rFonts w:hint="eastAsia"/>
                <w:color w:val="auto"/>
                <w:lang w:val="en-US" w:eastAsia="zh-CN"/>
              </w:rPr>
              <w:t>5.5574</w:t>
            </w:r>
            <w:r>
              <w:rPr>
                <w:rFonts w:hint="eastAsia"/>
                <w:color w:val="auto"/>
              </w:rPr>
              <w:t>t/a，则漆雾处理产生废</w:t>
            </w:r>
            <w:r>
              <w:rPr>
                <w:rFonts w:hint="eastAsia"/>
                <w:color w:val="auto"/>
                <w:lang w:val="en-US" w:eastAsia="zh-CN"/>
              </w:rPr>
              <w:t>滤芯</w:t>
            </w:r>
            <w:r>
              <w:rPr>
                <w:rFonts w:hint="eastAsia"/>
                <w:color w:val="auto"/>
              </w:rPr>
              <w:t>（含漆雾）约</w:t>
            </w:r>
            <w:r>
              <w:rPr>
                <w:rFonts w:hint="eastAsia"/>
                <w:color w:val="auto"/>
                <w:lang w:val="en-US" w:eastAsia="zh-CN"/>
              </w:rPr>
              <w:t>10.0033</w:t>
            </w:r>
            <w:r>
              <w:rPr>
                <w:rFonts w:hint="eastAsia"/>
                <w:color w:val="auto"/>
              </w:rPr>
              <w:t>t/a，</w:t>
            </w:r>
            <w:r>
              <w:rPr>
                <w:rFonts w:hint="eastAsia"/>
                <w:color w:val="auto"/>
                <w:lang w:eastAsia="zh-CN"/>
              </w:rPr>
              <w:t>据查《国家危险废物名录（202</w:t>
            </w:r>
            <w:r>
              <w:rPr>
                <w:rFonts w:hint="eastAsia"/>
                <w:color w:val="auto"/>
                <w:lang w:val="en-US" w:eastAsia="zh-CN"/>
              </w:rPr>
              <w:t>5</w:t>
            </w:r>
            <w:r>
              <w:rPr>
                <w:rFonts w:hint="eastAsia"/>
                <w:color w:val="auto"/>
                <w:lang w:eastAsia="zh-CN"/>
              </w:rPr>
              <w:t>年版）》，废滤芯属于危险废物，废物类别为HW49其他废物，废物代码为900-0</w:t>
            </w:r>
            <w:r>
              <w:rPr>
                <w:rFonts w:hint="eastAsia"/>
                <w:color w:val="auto"/>
                <w:lang w:val="en-US" w:eastAsia="zh-CN"/>
              </w:rPr>
              <w:t>39</w:t>
            </w:r>
            <w:r>
              <w:rPr>
                <w:rFonts w:hint="eastAsia"/>
                <w:color w:val="auto"/>
                <w:lang w:eastAsia="zh-CN"/>
              </w:rPr>
              <w:t>-49，要求企业妥善收集后委托有相应资质的单位安全处置。</w:t>
            </w:r>
          </w:p>
          <w:p w14:paraId="5B74B647">
            <w:pPr>
              <w:rPr>
                <w:rFonts w:hint="default" w:ascii="Times New Roman" w:hAnsi="Times New Roman" w:cs="Times New Roman"/>
                <w:color w:val="auto"/>
                <w:sz w:val="24"/>
                <w:szCs w:val="24"/>
                <w:lang w:val="en-US" w:eastAsia="zh-CN"/>
              </w:rPr>
            </w:pPr>
            <w:r>
              <w:rPr>
                <w:rFonts w:hint="eastAsia" w:cs="Times New Roman"/>
                <w:color w:val="auto"/>
                <w:sz w:val="24"/>
                <w:szCs w:val="24"/>
                <w:lang w:val="en-US" w:eastAsia="zh-CN"/>
              </w:rPr>
              <w:t>⑧</w:t>
            </w:r>
            <w:r>
              <w:rPr>
                <w:rFonts w:hint="default" w:ascii="Times New Roman" w:hAnsi="Times New Roman" w:cs="Times New Roman"/>
                <w:color w:val="auto"/>
                <w:sz w:val="24"/>
                <w:szCs w:val="24"/>
                <w:lang w:val="en-US" w:eastAsia="zh-CN"/>
              </w:rPr>
              <w:t>处理有机废气的废活性炭</w:t>
            </w:r>
          </w:p>
          <w:p w14:paraId="1E8B580F">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活性炭吸附量按0.1~0.3kg/kg，</w:t>
            </w:r>
            <w:r>
              <w:rPr>
                <w:rFonts w:hint="default" w:ascii="Times New Roman" w:hAnsi="Times New Roman" w:cs="Times New Roman"/>
                <w:color w:val="auto"/>
                <w:sz w:val="24"/>
                <w:szCs w:val="24"/>
                <w:lang w:eastAsia="zh-CN"/>
              </w:rPr>
              <w:t>本项目</w:t>
            </w:r>
            <w:r>
              <w:rPr>
                <w:rFonts w:hint="default" w:ascii="Times New Roman" w:hAnsi="Times New Roman" w:cs="Times New Roman"/>
                <w:color w:val="auto"/>
                <w:sz w:val="24"/>
                <w:szCs w:val="24"/>
              </w:rPr>
              <w:t>按0.</w:t>
            </w:r>
            <w:r>
              <w:rPr>
                <w:rFonts w:hint="default" w:ascii="Times New Roman" w:hAnsi="Times New Roman" w:cs="Times New Roman"/>
                <w:color w:val="auto"/>
                <w:sz w:val="24"/>
                <w:szCs w:val="24"/>
                <w:lang w:val="en-US" w:eastAsia="zh-CN"/>
              </w:rPr>
              <w:t>3</w:t>
            </w:r>
            <w:r>
              <w:rPr>
                <w:rFonts w:hint="default" w:ascii="Times New Roman" w:hAnsi="Times New Roman" w:cs="Times New Roman"/>
                <w:color w:val="auto"/>
                <w:sz w:val="24"/>
                <w:szCs w:val="24"/>
              </w:rPr>
              <w:t>kg/kg</w:t>
            </w:r>
            <w:r>
              <w:rPr>
                <w:rFonts w:hint="default" w:ascii="Times New Roman" w:hAnsi="Times New Roman" w:cs="Times New Roman"/>
                <w:color w:val="auto"/>
                <w:sz w:val="24"/>
                <w:szCs w:val="24"/>
                <w:lang w:eastAsia="zh-CN"/>
              </w:rPr>
              <w:t>活性炭</w:t>
            </w:r>
            <w:r>
              <w:rPr>
                <w:rFonts w:hint="default" w:ascii="Times New Roman" w:hAnsi="Times New Roman" w:cs="Times New Roman"/>
                <w:color w:val="auto"/>
                <w:sz w:val="24"/>
                <w:szCs w:val="24"/>
              </w:rPr>
              <w:t>，项目被活性炭吸附的有机废气量</w:t>
            </w:r>
            <w:r>
              <w:rPr>
                <w:rFonts w:hint="default" w:ascii="Times New Roman" w:hAnsi="Times New Roman" w:cs="Times New Roman"/>
                <w:color w:val="auto"/>
                <w:sz w:val="24"/>
                <w:szCs w:val="24"/>
                <w:lang w:eastAsia="zh-CN"/>
              </w:rPr>
              <w:t>约</w:t>
            </w:r>
            <w:r>
              <w:rPr>
                <w:rFonts w:hint="default" w:ascii="Times New Roman" w:hAnsi="Times New Roman" w:cs="Times New Roman"/>
                <w:color w:val="auto"/>
                <w:sz w:val="24"/>
                <w:szCs w:val="24"/>
              </w:rPr>
              <w:t>为</w:t>
            </w:r>
            <w:r>
              <w:rPr>
                <w:rFonts w:hint="eastAsia"/>
                <w:color w:val="auto"/>
                <w:sz w:val="24"/>
                <w:szCs w:val="24"/>
                <w:lang w:val="en-US" w:eastAsia="zh-CN"/>
              </w:rPr>
              <w:t>0.60t，</w:t>
            </w:r>
            <w:r>
              <w:rPr>
                <w:rFonts w:hint="eastAsia"/>
                <w:color w:val="auto"/>
                <w:sz w:val="24"/>
                <w:szCs w:val="24"/>
              </w:rPr>
              <w:t>则所需活</w:t>
            </w:r>
            <w:r>
              <w:rPr>
                <w:color w:val="auto"/>
                <w:sz w:val="24"/>
                <w:szCs w:val="24"/>
              </w:rPr>
              <w:t>性炭量为=</w:t>
            </w:r>
            <w:r>
              <w:rPr>
                <w:rFonts w:hint="eastAsia"/>
                <w:color w:val="auto"/>
                <w:sz w:val="24"/>
                <w:szCs w:val="24"/>
                <w:lang w:val="en-US" w:eastAsia="zh-CN"/>
              </w:rPr>
              <w:t>2.2222</w:t>
            </w:r>
            <w:r>
              <w:rPr>
                <w:color w:val="auto"/>
                <w:sz w:val="24"/>
                <w:szCs w:val="24"/>
              </w:rPr>
              <w:t>t</w:t>
            </w:r>
            <w:r>
              <w:rPr>
                <w:rFonts w:hint="eastAsia"/>
                <w:color w:val="auto"/>
                <w:sz w:val="24"/>
                <w:szCs w:val="24"/>
                <w:lang w:val="en-US" w:eastAsia="zh-CN"/>
              </w:rPr>
              <w:t>/a</w:t>
            </w:r>
            <w:r>
              <w:rPr>
                <w:rFonts w:hint="default" w:ascii="Times New Roman" w:hAnsi="Times New Roman" w:cs="Times New Roman"/>
                <w:color w:val="auto"/>
                <w:sz w:val="24"/>
                <w:szCs w:val="24"/>
                <w:lang w:eastAsia="zh-CN"/>
              </w:rPr>
              <w:t>，根据活性炭箱设计尺寸，活性炭箱一次装填量为</w:t>
            </w:r>
            <w:r>
              <w:rPr>
                <w:rFonts w:hint="eastAsia"/>
                <w:color w:val="auto"/>
                <w:sz w:val="24"/>
                <w:szCs w:val="24"/>
                <w:lang w:val="en-US" w:eastAsia="zh-CN"/>
              </w:rPr>
              <w:t>2691kg</w:t>
            </w:r>
            <w:r>
              <w:rPr>
                <w:rFonts w:hint="eastAsia"/>
                <w:color w:val="auto"/>
                <w:sz w:val="24"/>
                <w:szCs w:val="24"/>
              </w:rPr>
              <w:t>，</w:t>
            </w:r>
            <w:r>
              <w:rPr>
                <w:rFonts w:hint="eastAsia"/>
                <w:color w:val="auto"/>
                <w:sz w:val="24"/>
                <w:szCs w:val="24"/>
                <w:lang w:eastAsia="zh-CN"/>
              </w:rPr>
              <w:t>本项目建设单位</w:t>
            </w:r>
            <w:r>
              <w:rPr>
                <w:rFonts w:hint="eastAsia"/>
                <w:color w:val="auto"/>
                <w:sz w:val="24"/>
                <w:szCs w:val="24"/>
                <w:lang w:val="en-US" w:eastAsia="zh-CN"/>
              </w:rPr>
              <w:t>每半年</w:t>
            </w:r>
            <w:r>
              <w:rPr>
                <w:rFonts w:hint="eastAsia"/>
                <w:color w:val="auto"/>
                <w:sz w:val="24"/>
                <w:szCs w:val="24"/>
                <w:lang w:eastAsia="zh-CN"/>
              </w:rPr>
              <w:t>更换一次，</w:t>
            </w:r>
            <w:r>
              <w:rPr>
                <w:rFonts w:hint="eastAsia"/>
                <w:color w:val="auto"/>
                <w:sz w:val="24"/>
                <w:szCs w:val="24"/>
                <w:lang w:val="en-US" w:eastAsia="zh-CN"/>
              </w:rPr>
              <w:t>年更换2次</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则废活性炭的产生量约为</w:t>
            </w:r>
            <w:r>
              <w:rPr>
                <w:rFonts w:hint="eastAsia" w:cs="Times New Roman"/>
                <w:color w:val="auto"/>
                <w:sz w:val="24"/>
                <w:szCs w:val="24"/>
                <w:lang w:val="en-US" w:eastAsia="zh-CN"/>
              </w:rPr>
              <w:t>5.982t/</w:t>
            </w:r>
            <w:r>
              <w:rPr>
                <w:rFonts w:hint="default" w:ascii="Times New Roman" w:hAnsi="Times New Roman" w:cs="Times New Roman"/>
                <w:color w:val="auto"/>
                <w:sz w:val="24"/>
                <w:szCs w:val="24"/>
              </w:rPr>
              <w:t>a（含</w:t>
            </w:r>
            <w:r>
              <w:rPr>
                <w:rFonts w:hint="default" w:ascii="Times New Roman" w:hAnsi="Times New Roman" w:cs="Times New Roman"/>
                <w:color w:val="auto"/>
                <w:sz w:val="24"/>
                <w:szCs w:val="24"/>
                <w:lang w:eastAsia="zh-CN"/>
              </w:rPr>
              <w:t>吸附有机物</w:t>
            </w:r>
            <w:r>
              <w:rPr>
                <w:rFonts w:hint="default" w:ascii="Times New Roman" w:hAnsi="Times New Roman" w:cs="Times New Roman"/>
                <w:color w:val="auto"/>
                <w:sz w:val="24"/>
                <w:szCs w:val="24"/>
              </w:rPr>
              <w:t>），根据《国家危险废物名录</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2025年版</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》，更换的废活性炭属于危险废物，分类编号为：HW49，危废代码为：900-0</w:t>
            </w:r>
            <w:r>
              <w:rPr>
                <w:rFonts w:hint="default" w:ascii="Times New Roman" w:hAnsi="Times New Roman" w:cs="Times New Roman"/>
                <w:color w:val="auto"/>
                <w:sz w:val="24"/>
                <w:szCs w:val="24"/>
                <w:lang w:val="en-US" w:eastAsia="zh-CN"/>
              </w:rPr>
              <w:t>39</w:t>
            </w:r>
            <w:r>
              <w:rPr>
                <w:rFonts w:hint="default" w:ascii="Times New Roman" w:hAnsi="Times New Roman" w:cs="Times New Roman"/>
                <w:color w:val="auto"/>
                <w:sz w:val="24"/>
                <w:szCs w:val="24"/>
              </w:rPr>
              <w:t>-49。要求企业妥善收集</w:t>
            </w:r>
            <w:r>
              <w:rPr>
                <w:rFonts w:hint="default" w:ascii="Times New Roman" w:hAnsi="Times New Roman" w:cs="Times New Roman"/>
                <w:color w:val="auto"/>
                <w:sz w:val="24"/>
                <w:szCs w:val="24"/>
                <w:lang w:eastAsia="zh-CN"/>
              </w:rPr>
              <w:t>暂存于</w:t>
            </w:r>
            <w:r>
              <w:rPr>
                <w:rFonts w:hint="default" w:ascii="Times New Roman" w:hAnsi="Times New Roman" w:cs="Times New Roman"/>
                <w:color w:val="auto"/>
                <w:sz w:val="24"/>
                <w:szCs w:val="24"/>
                <w:vertAlign w:val="baseline"/>
                <w:lang w:val="en-US" w:eastAsia="zh-CN"/>
              </w:rPr>
              <w:t>危</w:t>
            </w:r>
            <w:r>
              <w:rPr>
                <w:rFonts w:hint="default" w:ascii="Times New Roman" w:hAnsi="Times New Roman" w:cs="Times New Roman"/>
                <w:color w:val="auto"/>
                <w:sz w:val="24"/>
                <w:szCs w:val="24"/>
                <w:lang w:val="en-US" w:eastAsia="zh-CN"/>
              </w:rPr>
              <w:t>废暂存间</w:t>
            </w:r>
            <w:r>
              <w:rPr>
                <w:rFonts w:hint="default" w:ascii="Times New Roman" w:hAnsi="Times New Roman" w:cs="Times New Roman"/>
                <w:color w:val="auto"/>
                <w:sz w:val="24"/>
                <w:szCs w:val="24"/>
              </w:rPr>
              <w:t>后委托有相应资质的单</w:t>
            </w:r>
            <w:r>
              <w:rPr>
                <w:rFonts w:hint="default" w:ascii="Times New Roman" w:hAnsi="Times New Roman" w:cs="Times New Roman"/>
                <w:color w:val="auto"/>
                <w:sz w:val="24"/>
                <w:szCs w:val="24"/>
                <w:lang w:eastAsia="zh-CN"/>
              </w:rPr>
              <w:t>位</w:t>
            </w:r>
            <w:r>
              <w:rPr>
                <w:rFonts w:hint="eastAsia" w:cs="Times New Roman"/>
                <w:color w:val="auto"/>
                <w:sz w:val="24"/>
                <w:szCs w:val="24"/>
                <w:lang w:eastAsia="zh-CN"/>
              </w:rPr>
              <w:t>安全</w:t>
            </w:r>
            <w:r>
              <w:rPr>
                <w:rFonts w:hint="default" w:ascii="Times New Roman" w:hAnsi="Times New Roman" w:cs="Times New Roman"/>
                <w:color w:val="auto"/>
                <w:sz w:val="24"/>
                <w:szCs w:val="24"/>
              </w:rPr>
              <w:t>处置，不得随意丢弃、倾倒。</w:t>
            </w:r>
          </w:p>
          <w:p w14:paraId="37A93BE9">
            <w:pPr>
              <w:bidi w:val="0"/>
              <w:rPr>
                <w:rFonts w:hint="default" w:ascii="Times New Roman" w:hAnsi="Times New Roman" w:cs="Times New Roman"/>
                <w:color w:val="auto"/>
              </w:rPr>
            </w:pPr>
            <w:r>
              <w:rPr>
                <w:rFonts w:hint="default" w:ascii="Times New Roman" w:hAnsi="Times New Roman" w:cs="Times New Roman"/>
                <w:color w:val="auto"/>
                <w:sz w:val="24"/>
                <w:szCs w:val="24"/>
              </w:rPr>
              <w:t>根据《建设项目危险废物环境影响评价指南》，建设项目危险废物汇总见下表：</w:t>
            </w:r>
          </w:p>
          <w:p w14:paraId="722297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color w:val="auto"/>
                <w:sz w:val="21"/>
                <w:szCs w:val="21"/>
              </w:rPr>
            </w:pPr>
          </w:p>
          <w:p w14:paraId="0E26DD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color w:val="auto"/>
                <w:sz w:val="21"/>
                <w:szCs w:val="21"/>
              </w:rPr>
            </w:pPr>
          </w:p>
          <w:p w14:paraId="1F4205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color w:val="auto"/>
                <w:sz w:val="21"/>
                <w:szCs w:val="21"/>
              </w:rPr>
            </w:pPr>
          </w:p>
          <w:p w14:paraId="327BC8F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表4-</w:t>
            </w:r>
            <w:r>
              <w:rPr>
                <w:rFonts w:hint="default" w:ascii="Times New Roman" w:hAnsi="Times New Roman" w:cs="Times New Roman"/>
                <w:b/>
                <w:color w:val="auto"/>
                <w:sz w:val="21"/>
                <w:szCs w:val="21"/>
                <w:lang w:val="en-US" w:eastAsia="zh-CN"/>
              </w:rPr>
              <w:t>1</w:t>
            </w:r>
            <w:r>
              <w:rPr>
                <w:rFonts w:hint="eastAsia" w:cs="Times New Roman"/>
                <w:b/>
                <w:color w:val="auto"/>
                <w:sz w:val="21"/>
                <w:szCs w:val="21"/>
                <w:lang w:val="en-US" w:eastAsia="zh-CN"/>
              </w:rPr>
              <w:t>7</w:t>
            </w:r>
            <w:r>
              <w:rPr>
                <w:rFonts w:hint="default" w:ascii="Times New Roman" w:hAnsi="Times New Roman" w:cs="Times New Roman"/>
                <w:b/>
                <w:color w:val="auto"/>
                <w:sz w:val="21"/>
                <w:szCs w:val="21"/>
                <w:lang w:val="en-US" w:eastAsia="zh-CN"/>
              </w:rPr>
              <w:t xml:space="preserve"> </w:t>
            </w:r>
            <w:r>
              <w:rPr>
                <w:rFonts w:hint="default" w:ascii="Times New Roman" w:hAnsi="Times New Roman" w:cs="Times New Roman"/>
                <w:b/>
                <w:color w:val="auto"/>
                <w:sz w:val="21"/>
                <w:szCs w:val="21"/>
              </w:rPr>
              <w:t xml:space="preserve"> </w:t>
            </w:r>
            <w:r>
              <w:rPr>
                <w:rFonts w:hint="eastAsia" w:cs="Times New Roman"/>
                <w:b/>
                <w:color w:val="auto"/>
                <w:sz w:val="21"/>
                <w:szCs w:val="21"/>
                <w:lang w:val="en-US" w:eastAsia="zh-CN"/>
              </w:rPr>
              <w:t>本项目</w:t>
            </w:r>
            <w:r>
              <w:rPr>
                <w:rFonts w:hint="default" w:ascii="Times New Roman" w:hAnsi="Times New Roman" w:cs="Times New Roman"/>
                <w:b/>
                <w:color w:val="auto"/>
                <w:sz w:val="21"/>
                <w:szCs w:val="21"/>
              </w:rPr>
              <w:t>危险废物汇总表</w:t>
            </w:r>
          </w:p>
          <w:tbl>
            <w:tblPr>
              <w:tblStyle w:val="31"/>
              <w:tblW w:w="84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37"/>
              <w:gridCol w:w="1260"/>
              <w:gridCol w:w="798"/>
              <w:gridCol w:w="881"/>
              <w:gridCol w:w="988"/>
              <w:gridCol w:w="933"/>
              <w:gridCol w:w="424"/>
              <w:gridCol w:w="939"/>
              <w:gridCol w:w="812"/>
              <w:gridCol w:w="871"/>
            </w:tblGrid>
            <w:tr w14:paraId="5D550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blHeader/>
                <w:jc w:val="center"/>
              </w:trPr>
              <w:tc>
                <w:tcPr>
                  <w:tcW w:w="318" w:type="pct"/>
                  <w:tcBorders>
                    <w:tl2br w:val="nil"/>
                    <w:tr2bl w:val="nil"/>
                  </w:tcBorders>
                  <w:noWrap w:val="0"/>
                  <w:vAlign w:val="center"/>
                </w:tcPr>
                <w:p w14:paraId="6B9464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lang w:eastAsia="zh-CN"/>
                    </w:rPr>
                  </w:pPr>
                  <w:r>
                    <w:rPr>
                      <w:rFonts w:hint="default" w:ascii="Times New Roman" w:hAnsi="Times New Roman" w:cs="Times New Roman"/>
                      <w:b/>
                      <w:bCs/>
                      <w:color w:val="auto"/>
                      <w:lang w:eastAsia="zh-CN"/>
                    </w:rPr>
                    <w:t>序号</w:t>
                  </w:r>
                </w:p>
              </w:tc>
              <w:tc>
                <w:tcPr>
                  <w:tcW w:w="746" w:type="pct"/>
                  <w:tcBorders>
                    <w:tl2br w:val="nil"/>
                    <w:tr2bl w:val="nil"/>
                  </w:tcBorders>
                  <w:noWrap w:val="0"/>
                  <w:vAlign w:val="center"/>
                </w:tcPr>
                <w:p w14:paraId="688A428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危废名称</w:t>
                  </w:r>
                </w:p>
              </w:tc>
              <w:tc>
                <w:tcPr>
                  <w:tcW w:w="472" w:type="pct"/>
                  <w:tcBorders>
                    <w:tl2br w:val="nil"/>
                    <w:tr2bl w:val="nil"/>
                  </w:tcBorders>
                  <w:noWrap w:val="0"/>
                  <w:vAlign w:val="center"/>
                </w:tcPr>
                <w:p w14:paraId="6E971E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危废类别</w:t>
                  </w:r>
                </w:p>
              </w:tc>
              <w:tc>
                <w:tcPr>
                  <w:tcW w:w="521" w:type="pct"/>
                  <w:tcBorders>
                    <w:tl2br w:val="nil"/>
                    <w:tr2bl w:val="nil"/>
                  </w:tcBorders>
                  <w:noWrap w:val="0"/>
                  <w:vAlign w:val="center"/>
                </w:tcPr>
                <w:p w14:paraId="794F988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危废代码</w:t>
                  </w:r>
                </w:p>
              </w:tc>
              <w:tc>
                <w:tcPr>
                  <w:tcW w:w="585" w:type="pct"/>
                  <w:tcBorders>
                    <w:tl2br w:val="nil"/>
                    <w:tr2bl w:val="nil"/>
                  </w:tcBorders>
                  <w:noWrap w:val="0"/>
                  <w:vAlign w:val="center"/>
                </w:tcPr>
                <w:p w14:paraId="012AAE2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产生量（t/a）</w:t>
                  </w:r>
                </w:p>
              </w:tc>
              <w:tc>
                <w:tcPr>
                  <w:tcW w:w="552" w:type="pct"/>
                  <w:tcBorders>
                    <w:tl2br w:val="nil"/>
                    <w:tr2bl w:val="nil"/>
                  </w:tcBorders>
                  <w:noWrap w:val="0"/>
                  <w:vAlign w:val="center"/>
                </w:tcPr>
                <w:p w14:paraId="5B88336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产生工序及装置</w:t>
                  </w:r>
                </w:p>
              </w:tc>
              <w:tc>
                <w:tcPr>
                  <w:tcW w:w="251" w:type="pct"/>
                  <w:tcBorders>
                    <w:tl2br w:val="nil"/>
                    <w:tr2bl w:val="nil"/>
                  </w:tcBorders>
                  <w:noWrap w:val="0"/>
                  <w:vAlign w:val="center"/>
                </w:tcPr>
                <w:p w14:paraId="3BF667E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形态</w:t>
                  </w:r>
                </w:p>
              </w:tc>
              <w:tc>
                <w:tcPr>
                  <w:tcW w:w="556" w:type="pct"/>
                  <w:tcBorders>
                    <w:tl2br w:val="nil"/>
                    <w:tr2bl w:val="nil"/>
                  </w:tcBorders>
                  <w:noWrap w:val="0"/>
                  <w:vAlign w:val="center"/>
                </w:tcPr>
                <w:p w14:paraId="723F94F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主要成分</w:t>
                  </w:r>
                </w:p>
              </w:tc>
              <w:tc>
                <w:tcPr>
                  <w:tcW w:w="480" w:type="pct"/>
                  <w:tcBorders>
                    <w:tl2br w:val="nil"/>
                    <w:tr2bl w:val="nil"/>
                  </w:tcBorders>
                  <w:noWrap w:val="0"/>
                  <w:vAlign w:val="center"/>
                </w:tcPr>
                <w:p w14:paraId="3DAB97A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rPr>
                  </w:pPr>
                  <w:r>
                    <w:rPr>
                      <w:rFonts w:hint="default" w:ascii="Times New Roman" w:hAnsi="Times New Roman" w:cs="Times New Roman"/>
                      <w:b/>
                      <w:bCs/>
                      <w:color w:val="auto"/>
                    </w:rPr>
                    <w:t>危险特性</w:t>
                  </w:r>
                </w:p>
              </w:tc>
              <w:tc>
                <w:tcPr>
                  <w:tcW w:w="515" w:type="pct"/>
                  <w:tcBorders>
                    <w:tl2br w:val="nil"/>
                    <w:tr2bl w:val="nil"/>
                  </w:tcBorders>
                  <w:noWrap w:val="0"/>
                  <w:vAlign w:val="center"/>
                </w:tcPr>
                <w:p w14:paraId="6E34739E">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auto"/>
                      <w:kern w:val="0"/>
                      <w:sz w:val="21"/>
                      <w:szCs w:val="21"/>
                    </w:rPr>
                  </w:pPr>
                  <w:r>
                    <w:rPr>
                      <w:rFonts w:hint="default" w:ascii="Times New Roman" w:hAnsi="Times New Roman" w:cs="Times New Roman"/>
                      <w:b/>
                      <w:bCs/>
                      <w:color w:val="auto"/>
                      <w:kern w:val="0"/>
                      <w:sz w:val="21"/>
                      <w:szCs w:val="21"/>
                    </w:rPr>
                    <w:t>污染防治措施</w:t>
                  </w:r>
                </w:p>
              </w:tc>
            </w:tr>
            <w:tr w14:paraId="2C816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7" w:hRule="atLeast"/>
                <w:tblHeader/>
                <w:jc w:val="center"/>
              </w:trPr>
              <w:tc>
                <w:tcPr>
                  <w:tcW w:w="537" w:type="dxa"/>
                  <w:tcBorders>
                    <w:tl2br w:val="nil"/>
                    <w:tr2bl w:val="nil"/>
                  </w:tcBorders>
                  <w:noWrap w:val="0"/>
                  <w:vAlign w:val="center"/>
                </w:tcPr>
                <w:p w14:paraId="384DD4B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1</w:t>
                  </w:r>
                </w:p>
              </w:tc>
              <w:tc>
                <w:tcPr>
                  <w:tcW w:w="746" w:type="pct"/>
                  <w:tcBorders>
                    <w:tl2br w:val="nil"/>
                    <w:tr2bl w:val="nil"/>
                  </w:tcBorders>
                  <w:noWrap w:val="0"/>
                  <w:vAlign w:val="center"/>
                </w:tcPr>
                <w:p w14:paraId="4692EF7D">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机加工更换废液</w:t>
                  </w:r>
                </w:p>
              </w:tc>
              <w:tc>
                <w:tcPr>
                  <w:tcW w:w="472" w:type="pct"/>
                  <w:tcBorders>
                    <w:tl2br w:val="nil"/>
                    <w:tr2bl w:val="nil"/>
                  </w:tcBorders>
                  <w:noWrap w:val="0"/>
                  <w:vAlign w:val="center"/>
                </w:tcPr>
                <w:p w14:paraId="0121AA21">
                  <w:pPr>
                    <w:keepNext w:val="0"/>
                    <w:keepLines w:val="0"/>
                    <w:pageBreakBefore w:val="0"/>
                    <w:widowControl w:val="0"/>
                    <w:kinsoku/>
                    <w:wordWrap/>
                    <w:overflowPunct/>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HW09</w:t>
                  </w:r>
                </w:p>
              </w:tc>
              <w:tc>
                <w:tcPr>
                  <w:tcW w:w="521" w:type="pct"/>
                  <w:tcBorders>
                    <w:tl2br w:val="nil"/>
                    <w:tr2bl w:val="nil"/>
                  </w:tcBorders>
                  <w:noWrap w:val="0"/>
                  <w:vAlign w:val="center"/>
                </w:tcPr>
                <w:p w14:paraId="3D388A09">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rPr>
                    <w:t>900-007-09</w:t>
                  </w:r>
                </w:p>
              </w:tc>
              <w:tc>
                <w:tcPr>
                  <w:tcW w:w="585" w:type="pct"/>
                  <w:tcBorders>
                    <w:tl2br w:val="nil"/>
                    <w:tr2bl w:val="nil"/>
                  </w:tcBorders>
                  <w:noWrap w:val="0"/>
                  <w:vAlign w:val="center"/>
                </w:tcPr>
                <w:p w14:paraId="129FD2B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0.4</w:t>
                  </w:r>
                </w:p>
              </w:tc>
              <w:tc>
                <w:tcPr>
                  <w:tcW w:w="552" w:type="pct"/>
                  <w:tcBorders>
                    <w:tl2br w:val="nil"/>
                    <w:tr2bl w:val="nil"/>
                  </w:tcBorders>
                  <w:noWrap w:val="0"/>
                  <w:vAlign w:val="center"/>
                </w:tcPr>
                <w:p w14:paraId="4DB76D2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机加工</w:t>
                  </w:r>
                </w:p>
              </w:tc>
              <w:tc>
                <w:tcPr>
                  <w:tcW w:w="251" w:type="pct"/>
                  <w:tcBorders>
                    <w:tl2br w:val="nil"/>
                    <w:tr2bl w:val="nil"/>
                  </w:tcBorders>
                  <w:noWrap w:val="0"/>
                  <w:vAlign w:val="center"/>
                </w:tcPr>
                <w:p w14:paraId="639BEE1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eastAsia="zh-CN"/>
                    </w:rPr>
                  </w:pPr>
                  <w:r>
                    <w:rPr>
                      <w:rFonts w:hint="eastAsia" w:ascii="Times New Roman" w:hAnsi="Times New Roman" w:cs="Times New Roman"/>
                      <w:b w:val="0"/>
                      <w:bCs w:val="0"/>
                      <w:color w:val="auto"/>
                      <w:lang w:eastAsia="zh-CN"/>
                    </w:rPr>
                    <w:t>液</w:t>
                  </w:r>
                </w:p>
              </w:tc>
              <w:tc>
                <w:tcPr>
                  <w:tcW w:w="939" w:type="dxa"/>
                  <w:tcBorders>
                    <w:tl2br w:val="nil"/>
                    <w:tr2bl w:val="nil"/>
                  </w:tcBorders>
                  <w:noWrap w:val="0"/>
                  <w:vAlign w:val="center"/>
                </w:tcPr>
                <w:p w14:paraId="3A62359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val="0"/>
                      <w:color w:val="auto"/>
                      <w:lang w:val="en-US" w:eastAsia="zh-CN"/>
                    </w:rPr>
                  </w:pPr>
                  <w:r>
                    <w:rPr>
                      <w:rFonts w:hint="default" w:ascii="Times New Roman" w:hAnsi="Times New Roman" w:cs="Times New Roman"/>
                      <w:b w:val="0"/>
                      <w:bCs w:val="0"/>
                      <w:color w:val="auto"/>
                      <w:sz w:val="21"/>
                      <w:szCs w:val="21"/>
                      <w:lang w:val="en-US" w:eastAsia="zh-CN"/>
                    </w:rPr>
                    <w:t>矿物油</w:t>
                  </w:r>
                </w:p>
              </w:tc>
              <w:tc>
                <w:tcPr>
                  <w:tcW w:w="812" w:type="dxa"/>
                  <w:tcBorders>
                    <w:tl2br w:val="nil"/>
                    <w:tr2bl w:val="nil"/>
                  </w:tcBorders>
                  <w:noWrap w:val="0"/>
                  <w:vAlign w:val="center"/>
                </w:tcPr>
                <w:p w14:paraId="3B72DCA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rPr>
                  </w:pPr>
                  <w:r>
                    <w:rPr>
                      <w:rFonts w:hint="default" w:ascii="Times New Roman" w:hAnsi="Times New Roman" w:cs="Times New Roman"/>
                      <w:b w:val="0"/>
                      <w:bCs w:val="0"/>
                      <w:color w:val="auto"/>
                    </w:rPr>
                    <w:t>T</w:t>
                  </w:r>
                </w:p>
              </w:tc>
              <w:tc>
                <w:tcPr>
                  <w:tcW w:w="515" w:type="pct"/>
                  <w:tcBorders>
                    <w:tl2br w:val="nil"/>
                    <w:tr2bl w:val="nil"/>
                  </w:tcBorders>
                  <w:noWrap w:val="0"/>
                  <w:vAlign w:val="center"/>
                </w:tcPr>
                <w:p w14:paraId="0EAF3E1C">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color w:val="auto"/>
                      <w:vertAlign w:val="baseline"/>
                      <w:lang w:val="en-US" w:eastAsia="zh-CN"/>
                    </w:rPr>
                  </w:pPr>
                </w:p>
              </w:tc>
            </w:tr>
            <w:tr w14:paraId="5E7BD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7" w:hRule="atLeast"/>
                <w:tblHeader/>
                <w:jc w:val="center"/>
              </w:trPr>
              <w:tc>
                <w:tcPr>
                  <w:tcW w:w="537" w:type="dxa"/>
                  <w:tcBorders>
                    <w:tl2br w:val="nil"/>
                    <w:tr2bl w:val="nil"/>
                  </w:tcBorders>
                  <w:noWrap w:val="0"/>
                  <w:vAlign w:val="center"/>
                </w:tcPr>
                <w:p w14:paraId="07965F0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2</w:t>
                  </w:r>
                </w:p>
              </w:tc>
              <w:tc>
                <w:tcPr>
                  <w:tcW w:w="746" w:type="pct"/>
                  <w:tcBorders>
                    <w:tl2br w:val="nil"/>
                    <w:tr2bl w:val="nil"/>
                  </w:tcBorders>
                  <w:noWrap w:val="0"/>
                  <w:vAlign w:val="center"/>
                </w:tcPr>
                <w:p w14:paraId="1C88D29B">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rPr>
                  </w:pPr>
                  <w:r>
                    <w:rPr>
                      <w:rFonts w:hint="eastAsia" w:ascii="Times New Roman" w:hAnsi="Times New Roman" w:cs="Times New Roman"/>
                      <w:b w:val="0"/>
                      <w:bCs/>
                      <w:color w:val="auto"/>
                      <w:sz w:val="21"/>
                      <w:szCs w:val="21"/>
                      <w:lang w:val="en-US" w:eastAsia="zh-CN"/>
                    </w:rPr>
                    <w:t>废水性丙烯酸面漆桶</w:t>
                  </w:r>
                </w:p>
              </w:tc>
              <w:tc>
                <w:tcPr>
                  <w:tcW w:w="472" w:type="pct"/>
                  <w:tcBorders>
                    <w:tl2br w:val="nil"/>
                    <w:tr2bl w:val="nil"/>
                  </w:tcBorders>
                  <w:noWrap w:val="0"/>
                  <w:vAlign w:val="center"/>
                </w:tcPr>
                <w:p w14:paraId="2C42F0A0">
                  <w:pPr>
                    <w:keepNext w:val="0"/>
                    <w:keepLines w:val="0"/>
                    <w:pageBreakBefore w:val="0"/>
                    <w:widowControl w:val="0"/>
                    <w:kinsoku/>
                    <w:wordWrap/>
                    <w:overflowPunct/>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val="0"/>
                      <w:color w:val="auto"/>
                    </w:rPr>
                  </w:pPr>
                  <w:r>
                    <w:rPr>
                      <w:rFonts w:hint="default" w:ascii="Times New Roman" w:hAnsi="Times New Roman" w:cs="Times New Roman"/>
                      <w:color w:val="auto"/>
                      <w:sz w:val="21"/>
                      <w:szCs w:val="21"/>
                    </w:rPr>
                    <w:t>HW</w:t>
                  </w:r>
                  <w:r>
                    <w:rPr>
                      <w:rFonts w:hint="default" w:ascii="Times New Roman" w:hAnsi="Times New Roman" w:cs="Times New Roman"/>
                      <w:color w:val="auto"/>
                      <w:sz w:val="21"/>
                      <w:szCs w:val="21"/>
                      <w:lang w:val="en-US" w:eastAsia="zh-CN"/>
                    </w:rPr>
                    <w:t>49</w:t>
                  </w:r>
                </w:p>
              </w:tc>
              <w:tc>
                <w:tcPr>
                  <w:tcW w:w="521" w:type="pct"/>
                  <w:tcBorders>
                    <w:tl2br w:val="nil"/>
                    <w:tr2bl w:val="nil"/>
                  </w:tcBorders>
                  <w:noWrap w:val="0"/>
                  <w:vAlign w:val="center"/>
                </w:tcPr>
                <w:p w14:paraId="14714336">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b w:val="0"/>
                      <w:bCs w:val="0"/>
                      <w:color w:val="auto"/>
                    </w:rPr>
                  </w:pPr>
                  <w:r>
                    <w:rPr>
                      <w:rFonts w:hint="default" w:ascii="Times New Roman" w:hAnsi="Times New Roman" w:cs="Times New Roman"/>
                      <w:color w:val="auto"/>
                      <w:sz w:val="21"/>
                      <w:szCs w:val="21"/>
                      <w:lang w:val="en-US" w:eastAsia="zh-CN"/>
                    </w:rPr>
                    <w:t>900-041-49</w:t>
                  </w:r>
                </w:p>
              </w:tc>
              <w:tc>
                <w:tcPr>
                  <w:tcW w:w="585" w:type="pct"/>
                  <w:tcBorders>
                    <w:tl2br w:val="nil"/>
                    <w:tr2bl w:val="nil"/>
                  </w:tcBorders>
                  <w:noWrap w:val="0"/>
                  <w:vAlign w:val="center"/>
                </w:tcPr>
                <w:p w14:paraId="1CD426D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0.443</w:t>
                  </w:r>
                </w:p>
              </w:tc>
              <w:tc>
                <w:tcPr>
                  <w:tcW w:w="552" w:type="pct"/>
                  <w:tcBorders>
                    <w:tl2br w:val="nil"/>
                    <w:tr2bl w:val="nil"/>
                  </w:tcBorders>
                  <w:noWrap w:val="0"/>
                  <w:vAlign w:val="center"/>
                </w:tcPr>
                <w:p w14:paraId="6B6C0EE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化学品包装</w:t>
                  </w:r>
                </w:p>
              </w:tc>
              <w:tc>
                <w:tcPr>
                  <w:tcW w:w="251" w:type="pct"/>
                  <w:tcBorders>
                    <w:tl2br w:val="nil"/>
                    <w:tr2bl w:val="nil"/>
                  </w:tcBorders>
                  <w:noWrap w:val="0"/>
                  <w:vAlign w:val="center"/>
                </w:tcPr>
                <w:p w14:paraId="1F6DDB0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rPr>
                  </w:pPr>
                  <w:r>
                    <w:rPr>
                      <w:rFonts w:hint="default" w:ascii="Times New Roman" w:hAnsi="Times New Roman" w:cs="Times New Roman"/>
                      <w:b w:val="0"/>
                      <w:bCs w:val="0"/>
                      <w:color w:val="auto"/>
                      <w:lang w:eastAsia="zh-CN"/>
                    </w:rPr>
                    <w:t>固</w:t>
                  </w:r>
                </w:p>
              </w:tc>
              <w:tc>
                <w:tcPr>
                  <w:tcW w:w="556" w:type="pct"/>
                  <w:tcBorders>
                    <w:tl2br w:val="nil"/>
                    <w:tr2bl w:val="nil"/>
                  </w:tcBorders>
                  <w:noWrap w:val="0"/>
                  <w:vAlign w:val="center"/>
                </w:tcPr>
                <w:p w14:paraId="5722BEB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有机物</w:t>
                  </w:r>
                </w:p>
              </w:tc>
              <w:tc>
                <w:tcPr>
                  <w:tcW w:w="480" w:type="pct"/>
                  <w:tcBorders>
                    <w:tl2br w:val="nil"/>
                    <w:tr2bl w:val="nil"/>
                  </w:tcBorders>
                  <w:noWrap w:val="0"/>
                  <w:vAlign w:val="center"/>
                </w:tcPr>
                <w:p w14:paraId="5810729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rPr>
                  </w:pPr>
                  <w:r>
                    <w:rPr>
                      <w:rFonts w:hint="default" w:ascii="Times New Roman" w:hAnsi="Times New Roman" w:cs="Times New Roman"/>
                      <w:b w:val="0"/>
                      <w:bCs w:val="0"/>
                      <w:color w:val="auto"/>
                    </w:rPr>
                    <w:t>T/I</w:t>
                  </w:r>
                  <w:r>
                    <w:rPr>
                      <w:rFonts w:hint="default" w:ascii="Times New Roman" w:hAnsi="Times New Roman" w:cs="Times New Roman"/>
                      <w:b w:val="0"/>
                      <w:bCs w:val="0"/>
                      <w:color w:val="auto"/>
                      <w:lang w:val="en-US" w:eastAsia="zh-CN"/>
                    </w:rPr>
                    <w:t>n</w:t>
                  </w:r>
                </w:p>
              </w:tc>
              <w:tc>
                <w:tcPr>
                  <w:tcW w:w="515" w:type="pct"/>
                  <w:vMerge w:val="restart"/>
                  <w:tcBorders>
                    <w:tl2br w:val="nil"/>
                    <w:tr2bl w:val="nil"/>
                  </w:tcBorders>
                  <w:noWrap w:val="0"/>
                  <w:vAlign w:val="center"/>
                </w:tcPr>
                <w:p w14:paraId="43979A2E">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vertAlign w:val="baseline"/>
                      <w:lang w:val="en-US" w:eastAsia="zh-CN"/>
                    </w:rPr>
                    <w:t>危</w:t>
                  </w:r>
                  <w:r>
                    <w:rPr>
                      <w:rFonts w:hint="default" w:ascii="Times New Roman" w:hAnsi="Times New Roman" w:cs="Times New Roman"/>
                      <w:color w:val="auto"/>
                      <w:lang w:val="en-US" w:eastAsia="zh-CN"/>
                    </w:rPr>
                    <w:t>废暂存间</w:t>
                  </w:r>
                  <w:r>
                    <w:rPr>
                      <w:rFonts w:hint="default" w:ascii="Times New Roman" w:hAnsi="Times New Roman" w:cs="Times New Roman"/>
                      <w:color w:val="auto"/>
                      <w:sz w:val="21"/>
                      <w:szCs w:val="21"/>
                    </w:rPr>
                    <w:t>暂存，委托有资质单位处置</w:t>
                  </w:r>
                </w:p>
              </w:tc>
            </w:tr>
            <w:tr w14:paraId="5E6C3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7" w:hRule="atLeast"/>
                <w:tblHeader/>
                <w:jc w:val="center"/>
              </w:trPr>
              <w:tc>
                <w:tcPr>
                  <w:tcW w:w="537" w:type="dxa"/>
                  <w:tcBorders>
                    <w:tl2br w:val="nil"/>
                    <w:tr2bl w:val="nil"/>
                  </w:tcBorders>
                  <w:noWrap w:val="0"/>
                  <w:vAlign w:val="center"/>
                </w:tcPr>
                <w:p w14:paraId="4832A9D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3</w:t>
                  </w:r>
                </w:p>
              </w:tc>
              <w:tc>
                <w:tcPr>
                  <w:tcW w:w="746" w:type="pct"/>
                  <w:tcBorders>
                    <w:tl2br w:val="nil"/>
                    <w:tr2bl w:val="nil"/>
                  </w:tcBorders>
                  <w:shd w:val="clear" w:color="auto" w:fill="auto"/>
                  <w:noWrap w:val="0"/>
                  <w:vAlign w:val="center"/>
                </w:tcPr>
                <w:p w14:paraId="19AA24F7">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eastAsia="zh-CN"/>
                    </w:rPr>
                  </w:pPr>
                  <w:r>
                    <w:rPr>
                      <w:rFonts w:hint="eastAsia" w:cs="Times New Roman"/>
                      <w:b w:val="0"/>
                      <w:bCs/>
                      <w:color w:val="auto"/>
                      <w:szCs w:val="21"/>
                      <w:lang w:val="en-US" w:eastAsia="zh-CN"/>
                    </w:rPr>
                    <w:t>漆渣</w:t>
                  </w:r>
                </w:p>
              </w:tc>
              <w:tc>
                <w:tcPr>
                  <w:tcW w:w="472" w:type="pct"/>
                  <w:tcBorders>
                    <w:tl2br w:val="nil"/>
                    <w:tr2bl w:val="nil"/>
                  </w:tcBorders>
                  <w:shd w:val="clear" w:color="auto" w:fill="auto"/>
                  <w:noWrap w:val="0"/>
                  <w:vAlign w:val="center"/>
                </w:tcPr>
                <w:p w14:paraId="7FA65C18">
                  <w:pPr>
                    <w:keepNext w:val="0"/>
                    <w:keepLines w:val="0"/>
                    <w:pageBreakBefore w:val="0"/>
                    <w:widowControl w:val="0"/>
                    <w:kinsoku/>
                    <w:wordWrap/>
                    <w:overflowPunct/>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HW</w:t>
                  </w:r>
                  <w:r>
                    <w:rPr>
                      <w:rFonts w:hint="default" w:ascii="Times New Roman" w:hAnsi="Times New Roman" w:cs="Times New Roman"/>
                      <w:color w:val="auto"/>
                      <w:sz w:val="21"/>
                      <w:szCs w:val="21"/>
                      <w:lang w:val="en-US" w:eastAsia="zh-CN"/>
                    </w:rPr>
                    <w:t>49</w:t>
                  </w:r>
                </w:p>
              </w:tc>
              <w:tc>
                <w:tcPr>
                  <w:tcW w:w="521" w:type="pct"/>
                  <w:tcBorders>
                    <w:tl2br w:val="nil"/>
                    <w:tr2bl w:val="nil"/>
                  </w:tcBorders>
                  <w:noWrap w:val="0"/>
                  <w:vAlign w:val="center"/>
                </w:tcPr>
                <w:p w14:paraId="59499F25">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color w:val="auto"/>
                      <w:sz w:val="21"/>
                      <w:szCs w:val="21"/>
                      <w:lang w:val="en-US" w:eastAsia="zh-CN"/>
                    </w:rPr>
                    <w:t>900-041-49</w:t>
                  </w:r>
                </w:p>
              </w:tc>
              <w:tc>
                <w:tcPr>
                  <w:tcW w:w="585" w:type="pct"/>
                  <w:tcBorders>
                    <w:tl2br w:val="nil"/>
                    <w:tr2bl w:val="nil"/>
                  </w:tcBorders>
                  <w:noWrap w:val="0"/>
                  <w:vAlign w:val="center"/>
                </w:tcPr>
                <w:p w14:paraId="67590CD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0.2463</w:t>
                  </w:r>
                </w:p>
              </w:tc>
              <w:tc>
                <w:tcPr>
                  <w:tcW w:w="552" w:type="pct"/>
                  <w:tcBorders>
                    <w:tl2br w:val="nil"/>
                    <w:tr2bl w:val="nil"/>
                  </w:tcBorders>
                  <w:noWrap w:val="0"/>
                  <w:vAlign w:val="center"/>
                </w:tcPr>
                <w:p w14:paraId="72BEA1C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auto"/>
                      <w:sz w:val="21"/>
                      <w:szCs w:val="21"/>
                      <w:lang w:val="en-US" w:eastAsia="zh-CN"/>
                    </w:rPr>
                  </w:pPr>
                  <w:r>
                    <w:rPr>
                      <w:rFonts w:hint="eastAsia"/>
                      <w:color w:val="auto"/>
                      <w:lang w:val="en-US" w:eastAsia="zh-CN"/>
                    </w:rPr>
                    <w:t>喷漆房定期处理</w:t>
                  </w:r>
                </w:p>
              </w:tc>
              <w:tc>
                <w:tcPr>
                  <w:tcW w:w="251" w:type="pct"/>
                  <w:tcBorders>
                    <w:tl2br w:val="nil"/>
                    <w:tr2bl w:val="nil"/>
                  </w:tcBorders>
                  <w:noWrap w:val="0"/>
                  <w:vAlign w:val="center"/>
                </w:tcPr>
                <w:p w14:paraId="42CA48B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eastAsia="zh-CN"/>
                    </w:rPr>
                  </w:pPr>
                  <w:r>
                    <w:rPr>
                      <w:rFonts w:hint="eastAsia" w:ascii="Times New Roman" w:hAnsi="Times New Roman" w:cs="Times New Roman"/>
                      <w:b w:val="0"/>
                      <w:bCs w:val="0"/>
                      <w:color w:val="auto"/>
                      <w:sz w:val="21"/>
                      <w:szCs w:val="21"/>
                      <w:lang w:val="en-US" w:eastAsia="zh-CN"/>
                    </w:rPr>
                    <w:t>固</w:t>
                  </w:r>
                </w:p>
              </w:tc>
              <w:tc>
                <w:tcPr>
                  <w:tcW w:w="556" w:type="pct"/>
                  <w:tcBorders>
                    <w:tl2br w:val="nil"/>
                    <w:tr2bl w:val="nil"/>
                  </w:tcBorders>
                  <w:noWrap w:val="0"/>
                  <w:vAlign w:val="center"/>
                </w:tcPr>
                <w:p w14:paraId="37D855D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有机物</w:t>
                  </w:r>
                </w:p>
              </w:tc>
              <w:tc>
                <w:tcPr>
                  <w:tcW w:w="480" w:type="pct"/>
                  <w:tcBorders>
                    <w:tl2br w:val="nil"/>
                    <w:tr2bl w:val="nil"/>
                  </w:tcBorders>
                  <w:noWrap w:val="0"/>
                  <w:vAlign w:val="center"/>
                </w:tcPr>
                <w:p w14:paraId="1A7A2F9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rPr>
                    <w:t>T/I</w:t>
                  </w:r>
                  <w:r>
                    <w:rPr>
                      <w:rFonts w:hint="default" w:ascii="Times New Roman" w:hAnsi="Times New Roman" w:cs="Times New Roman"/>
                      <w:b w:val="0"/>
                      <w:bCs w:val="0"/>
                      <w:color w:val="auto"/>
                      <w:lang w:val="en-US" w:eastAsia="zh-CN"/>
                    </w:rPr>
                    <w:t>n</w:t>
                  </w:r>
                </w:p>
              </w:tc>
              <w:tc>
                <w:tcPr>
                  <w:tcW w:w="515" w:type="pct"/>
                  <w:vMerge w:val="continue"/>
                  <w:tcBorders>
                    <w:tl2br w:val="nil"/>
                    <w:tr2bl w:val="nil"/>
                  </w:tcBorders>
                  <w:noWrap w:val="0"/>
                  <w:vAlign w:val="center"/>
                </w:tcPr>
                <w:p w14:paraId="07EF1809">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color w:val="auto"/>
                      <w:vertAlign w:val="baseline"/>
                      <w:lang w:val="en-US" w:eastAsia="zh-CN"/>
                    </w:rPr>
                  </w:pPr>
                </w:p>
              </w:tc>
            </w:tr>
            <w:tr w14:paraId="555CA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7" w:hRule="atLeast"/>
                <w:tblHeader/>
                <w:jc w:val="center"/>
              </w:trPr>
              <w:tc>
                <w:tcPr>
                  <w:tcW w:w="537" w:type="dxa"/>
                  <w:tcBorders>
                    <w:tl2br w:val="nil"/>
                    <w:tr2bl w:val="nil"/>
                  </w:tcBorders>
                  <w:noWrap w:val="0"/>
                  <w:vAlign w:val="center"/>
                </w:tcPr>
                <w:p w14:paraId="6F22677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4</w:t>
                  </w:r>
                </w:p>
              </w:tc>
              <w:tc>
                <w:tcPr>
                  <w:tcW w:w="746" w:type="pct"/>
                  <w:tcBorders>
                    <w:tl2br w:val="nil"/>
                    <w:tr2bl w:val="nil"/>
                  </w:tcBorders>
                  <w:shd w:val="clear" w:color="auto" w:fill="auto"/>
                  <w:noWrap w:val="0"/>
                  <w:vAlign w:val="center"/>
                </w:tcPr>
                <w:p w14:paraId="1797669F">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eastAsia" w:cs="Times New Roman"/>
                      <w:b w:val="0"/>
                      <w:bCs/>
                      <w:color w:val="auto"/>
                      <w:szCs w:val="21"/>
                      <w:lang w:val="en-US" w:eastAsia="zh-CN"/>
                    </w:rPr>
                  </w:pPr>
                  <w:r>
                    <w:rPr>
                      <w:rFonts w:hint="eastAsia" w:cs="Times New Roman"/>
                      <w:b w:val="0"/>
                      <w:bCs/>
                      <w:color w:val="auto"/>
                      <w:szCs w:val="21"/>
                      <w:lang w:val="en-US" w:eastAsia="zh-CN"/>
                    </w:rPr>
                    <w:t>喷枪清洗废液</w:t>
                  </w:r>
                </w:p>
              </w:tc>
              <w:tc>
                <w:tcPr>
                  <w:tcW w:w="798" w:type="dxa"/>
                  <w:tcBorders>
                    <w:tl2br w:val="nil"/>
                    <w:tr2bl w:val="nil"/>
                  </w:tcBorders>
                  <w:shd w:val="clear" w:color="auto" w:fill="auto"/>
                  <w:noWrap w:val="0"/>
                  <w:vAlign w:val="center"/>
                </w:tcPr>
                <w:p w14:paraId="4EB1006C">
                  <w:pPr>
                    <w:keepNext w:val="0"/>
                    <w:keepLines w:val="0"/>
                    <w:pageBreakBefore w:val="0"/>
                    <w:widowControl w:val="0"/>
                    <w:kinsoku/>
                    <w:wordWrap/>
                    <w:overflowPunct/>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HW</w:t>
                  </w:r>
                  <w:r>
                    <w:rPr>
                      <w:rFonts w:hint="default" w:ascii="Times New Roman" w:hAnsi="Times New Roman" w:cs="Times New Roman"/>
                      <w:color w:val="auto"/>
                      <w:sz w:val="21"/>
                      <w:szCs w:val="21"/>
                      <w:lang w:val="en-US" w:eastAsia="zh-CN"/>
                    </w:rPr>
                    <w:t>49</w:t>
                  </w:r>
                </w:p>
              </w:tc>
              <w:tc>
                <w:tcPr>
                  <w:tcW w:w="881" w:type="dxa"/>
                  <w:tcBorders>
                    <w:tl2br w:val="nil"/>
                    <w:tr2bl w:val="nil"/>
                  </w:tcBorders>
                  <w:noWrap w:val="0"/>
                  <w:vAlign w:val="center"/>
                </w:tcPr>
                <w:p w14:paraId="2D1C8A19">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900-041-49</w:t>
                  </w:r>
                </w:p>
              </w:tc>
              <w:tc>
                <w:tcPr>
                  <w:tcW w:w="585" w:type="pct"/>
                  <w:tcBorders>
                    <w:tl2br w:val="nil"/>
                    <w:tr2bl w:val="nil"/>
                  </w:tcBorders>
                  <w:noWrap w:val="0"/>
                  <w:vAlign w:val="center"/>
                </w:tcPr>
                <w:p w14:paraId="23F8886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0.75</w:t>
                  </w:r>
                </w:p>
              </w:tc>
              <w:tc>
                <w:tcPr>
                  <w:tcW w:w="552" w:type="pct"/>
                  <w:tcBorders>
                    <w:tl2br w:val="nil"/>
                    <w:tr2bl w:val="nil"/>
                  </w:tcBorders>
                  <w:noWrap w:val="0"/>
                  <w:vAlign w:val="center"/>
                </w:tcPr>
                <w:p w14:paraId="6D7313E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eastAsia="宋体"/>
                      <w:color w:val="auto"/>
                      <w:lang w:eastAsia="zh-CN"/>
                    </w:rPr>
                  </w:pPr>
                  <w:r>
                    <w:rPr>
                      <w:rFonts w:hint="eastAsia"/>
                      <w:color w:val="auto"/>
                      <w:lang w:eastAsia="zh-CN"/>
                    </w:rPr>
                    <w:t>喷枪清洗</w:t>
                  </w:r>
                </w:p>
              </w:tc>
              <w:tc>
                <w:tcPr>
                  <w:tcW w:w="251" w:type="pct"/>
                  <w:tcBorders>
                    <w:tl2br w:val="nil"/>
                    <w:tr2bl w:val="nil"/>
                  </w:tcBorders>
                  <w:noWrap w:val="0"/>
                  <w:vAlign w:val="center"/>
                </w:tcPr>
                <w:p w14:paraId="0476A5C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液</w:t>
                  </w:r>
                </w:p>
              </w:tc>
              <w:tc>
                <w:tcPr>
                  <w:tcW w:w="939" w:type="dxa"/>
                  <w:tcBorders>
                    <w:tl2br w:val="nil"/>
                    <w:tr2bl w:val="nil"/>
                  </w:tcBorders>
                  <w:noWrap w:val="0"/>
                  <w:vAlign w:val="center"/>
                </w:tcPr>
                <w:p w14:paraId="779AC4A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有机物</w:t>
                  </w:r>
                </w:p>
              </w:tc>
              <w:tc>
                <w:tcPr>
                  <w:tcW w:w="812" w:type="dxa"/>
                  <w:tcBorders>
                    <w:tl2br w:val="nil"/>
                    <w:tr2bl w:val="nil"/>
                  </w:tcBorders>
                  <w:noWrap w:val="0"/>
                  <w:vAlign w:val="center"/>
                </w:tcPr>
                <w:p w14:paraId="2107FCD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rPr>
                    <w:t>T/I</w:t>
                  </w:r>
                  <w:r>
                    <w:rPr>
                      <w:rFonts w:hint="default" w:ascii="Times New Roman" w:hAnsi="Times New Roman" w:cs="Times New Roman"/>
                      <w:b w:val="0"/>
                      <w:bCs w:val="0"/>
                      <w:color w:val="auto"/>
                      <w:lang w:val="en-US" w:eastAsia="zh-CN"/>
                    </w:rPr>
                    <w:t>n</w:t>
                  </w:r>
                </w:p>
              </w:tc>
              <w:tc>
                <w:tcPr>
                  <w:tcW w:w="515" w:type="pct"/>
                  <w:vMerge w:val="continue"/>
                  <w:tcBorders>
                    <w:tl2br w:val="nil"/>
                    <w:tr2bl w:val="nil"/>
                  </w:tcBorders>
                  <w:noWrap w:val="0"/>
                  <w:vAlign w:val="center"/>
                </w:tcPr>
                <w:p w14:paraId="4D376442">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color w:val="auto"/>
                      <w:vertAlign w:val="baseline"/>
                      <w:lang w:val="en-US" w:eastAsia="zh-CN"/>
                    </w:rPr>
                  </w:pPr>
                </w:p>
              </w:tc>
            </w:tr>
            <w:tr w14:paraId="2152C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7" w:hRule="atLeast"/>
                <w:tblHeader/>
                <w:jc w:val="center"/>
              </w:trPr>
              <w:tc>
                <w:tcPr>
                  <w:tcW w:w="537" w:type="dxa"/>
                  <w:tcBorders>
                    <w:tl2br w:val="nil"/>
                    <w:tr2bl w:val="nil"/>
                  </w:tcBorders>
                  <w:noWrap w:val="0"/>
                  <w:vAlign w:val="center"/>
                </w:tcPr>
                <w:p w14:paraId="22BD743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auto"/>
                      <w:lang w:val="en-US" w:eastAsia="zh-CN"/>
                    </w:rPr>
                  </w:pPr>
                  <w:r>
                    <w:rPr>
                      <w:rFonts w:hint="eastAsia" w:ascii="Times New Roman" w:hAnsi="Times New Roman" w:cs="Times New Roman"/>
                      <w:b w:val="0"/>
                      <w:bCs/>
                      <w:color w:val="auto"/>
                      <w:lang w:val="en-US" w:eastAsia="zh-CN"/>
                    </w:rPr>
                    <w:t>5</w:t>
                  </w:r>
                </w:p>
              </w:tc>
              <w:tc>
                <w:tcPr>
                  <w:tcW w:w="746" w:type="pct"/>
                  <w:tcBorders>
                    <w:tl2br w:val="nil"/>
                    <w:tr2bl w:val="nil"/>
                  </w:tcBorders>
                  <w:noWrap w:val="0"/>
                  <w:vAlign w:val="center"/>
                </w:tcPr>
                <w:p w14:paraId="66630AC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废润滑油和废润滑油桶</w:t>
                  </w:r>
                </w:p>
              </w:tc>
              <w:tc>
                <w:tcPr>
                  <w:tcW w:w="472" w:type="pct"/>
                  <w:tcBorders>
                    <w:tl2br w:val="nil"/>
                    <w:tr2bl w:val="nil"/>
                  </w:tcBorders>
                  <w:noWrap w:val="0"/>
                  <w:vAlign w:val="center"/>
                </w:tcPr>
                <w:p w14:paraId="124BDEE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auto"/>
                      <w:lang w:val="en-US" w:eastAsia="zh-CN"/>
                    </w:rPr>
                  </w:pPr>
                  <w:r>
                    <w:rPr>
                      <w:rFonts w:hint="default" w:ascii="Times New Roman" w:hAnsi="Times New Roman" w:cs="Times New Roman"/>
                      <w:b w:val="0"/>
                      <w:bCs/>
                      <w:color w:val="auto"/>
                      <w:sz w:val="21"/>
                      <w:szCs w:val="21"/>
                    </w:rPr>
                    <w:t>HW</w:t>
                  </w:r>
                  <w:r>
                    <w:rPr>
                      <w:rFonts w:hint="default" w:ascii="Times New Roman" w:hAnsi="Times New Roman" w:cs="Times New Roman"/>
                      <w:b w:val="0"/>
                      <w:bCs/>
                      <w:color w:val="auto"/>
                      <w:sz w:val="21"/>
                      <w:szCs w:val="21"/>
                      <w:lang w:val="en-US" w:eastAsia="zh-CN"/>
                    </w:rPr>
                    <w:t>08</w:t>
                  </w:r>
                </w:p>
              </w:tc>
              <w:tc>
                <w:tcPr>
                  <w:tcW w:w="521" w:type="pct"/>
                  <w:tcBorders>
                    <w:tl2br w:val="nil"/>
                    <w:tr2bl w:val="nil"/>
                  </w:tcBorders>
                  <w:noWrap w:val="0"/>
                  <w:vAlign w:val="center"/>
                </w:tcPr>
                <w:p w14:paraId="579CB74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900-249-08</w:t>
                  </w:r>
                </w:p>
              </w:tc>
              <w:tc>
                <w:tcPr>
                  <w:tcW w:w="585" w:type="pct"/>
                  <w:tcBorders>
                    <w:tl2br w:val="nil"/>
                    <w:tr2bl w:val="nil"/>
                  </w:tcBorders>
                  <w:noWrap w:val="0"/>
                  <w:vAlign w:val="center"/>
                </w:tcPr>
                <w:p w14:paraId="2FF9B05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color w:val="auto"/>
                      <w:sz w:val="21"/>
                      <w:szCs w:val="21"/>
                      <w:lang w:val="en-US" w:eastAsia="zh-CN"/>
                    </w:rPr>
                    <w:t>0.025</w:t>
                  </w:r>
                </w:p>
              </w:tc>
              <w:tc>
                <w:tcPr>
                  <w:tcW w:w="552" w:type="pct"/>
                  <w:tcBorders>
                    <w:tl2br w:val="nil"/>
                    <w:tr2bl w:val="nil"/>
                  </w:tcBorders>
                  <w:noWrap w:val="0"/>
                  <w:vAlign w:val="center"/>
                </w:tcPr>
                <w:p w14:paraId="18DBD98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color w:val="auto"/>
                      <w:sz w:val="21"/>
                      <w:szCs w:val="21"/>
                      <w:lang w:val="en-US" w:eastAsia="zh-CN"/>
                    </w:rPr>
                    <w:t>设备保养</w:t>
                  </w:r>
                </w:p>
              </w:tc>
              <w:tc>
                <w:tcPr>
                  <w:tcW w:w="251" w:type="pct"/>
                  <w:tcBorders>
                    <w:tl2br w:val="nil"/>
                    <w:tr2bl w:val="nil"/>
                  </w:tcBorders>
                  <w:noWrap w:val="0"/>
                  <w:vAlign w:val="center"/>
                </w:tcPr>
                <w:p w14:paraId="44B9DE9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rPr>
                  </w:pPr>
                  <w:r>
                    <w:rPr>
                      <w:rFonts w:hint="default" w:ascii="Times New Roman" w:hAnsi="Times New Roman" w:cs="Times New Roman"/>
                      <w:b w:val="0"/>
                      <w:bCs/>
                      <w:color w:val="auto"/>
                      <w:sz w:val="21"/>
                      <w:szCs w:val="21"/>
                      <w:lang w:val="en-US" w:eastAsia="zh-CN"/>
                    </w:rPr>
                    <w:t>液</w:t>
                  </w:r>
                </w:p>
              </w:tc>
              <w:tc>
                <w:tcPr>
                  <w:tcW w:w="556" w:type="pct"/>
                  <w:tcBorders>
                    <w:tl2br w:val="nil"/>
                    <w:tr2bl w:val="nil"/>
                  </w:tcBorders>
                  <w:noWrap w:val="0"/>
                  <w:vAlign w:val="center"/>
                </w:tcPr>
                <w:p w14:paraId="1BE8EBC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rPr>
                  </w:pPr>
                  <w:r>
                    <w:rPr>
                      <w:rFonts w:hint="default" w:ascii="Times New Roman" w:hAnsi="Times New Roman" w:cs="Times New Roman"/>
                      <w:b w:val="0"/>
                      <w:bCs/>
                      <w:color w:val="auto"/>
                      <w:sz w:val="21"/>
                      <w:szCs w:val="21"/>
                      <w:lang w:val="en-US" w:eastAsia="zh-CN"/>
                    </w:rPr>
                    <w:t>矿物油</w:t>
                  </w:r>
                </w:p>
              </w:tc>
              <w:tc>
                <w:tcPr>
                  <w:tcW w:w="480" w:type="pct"/>
                  <w:tcBorders>
                    <w:tl2br w:val="nil"/>
                    <w:tr2bl w:val="nil"/>
                  </w:tcBorders>
                  <w:noWrap w:val="0"/>
                  <w:vAlign w:val="center"/>
                </w:tcPr>
                <w:p w14:paraId="0DC41B8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eastAsia="宋体" w:cs="Times New Roman"/>
                      <w:b w:val="0"/>
                      <w:bCs w:val="0"/>
                      <w:color w:val="auto"/>
                      <w:lang w:val="en-US" w:eastAsia="zh-CN"/>
                    </w:rPr>
                  </w:pPr>
                  <w:r>
                    <w:rPr>
                      <w:rFonts w:hint="default" w:ascii="Times New Roman" w:hAnsi="Times New Roman" w:cs="Times New Roman"/>
                      <w:b w:val="0"/>
                      <w:bCs/>
                      <w:color w:val="auto"/>
                    </w:rPr>
                    <w:t>T/I</w:t>
                  </w:r>
                </w:p>
              </w:tc>
              <w:tc>
                <w:tcPr>
                  <w:tcW w:w="515" w:type="pct"/>
                  <w:vMerge w:val="continue"/>
                  <w:tcBorders>
                    <w:tl2br w:val="nil"/>
                    <w:tr2bl w:val="nil"/>
                  </w:tcBorders>
                  <w:noWrap w:val="0"/>
                  <w:vAlign w:val="center"/>
                </w:tcPr>
                <w:p w14:paraId="4D5F332E">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3AE42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49" w:hRule="atLeast"/>
                <w:tblHeader/>
                <w:jc w:val="center"/>
              </w:trPr>
              <w:tc>
                <w:tcPr>
                  <w:tcW w:w="537" w:type="dxa"/>
                  <w:tcBorders>
                    <w:tl2br w:val="nil"/>
                    <w:tr2bl w:val="nil"/>
                  </w:tcBorders>
                  <w:noWrap w:val="0"/>
                  <w:vAlign w:val="center"/>
                </w:tcPr>
                <w:p w14:paraId="303CA95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6</w:t>
                  </w:r>
                </w:p>
              </w:tc>
              <w:tc>
                <w:tcPr>
                  <w:tcW w:w="746" w:type="pct"/>
                  <w:tcBorders>
                    <w:tl2br w:val="nil"/>
                    <w:tr2bl w:val="nil"/>
                  </w:tcBorders>
                  <w:noWrap w:val="0"/>
                  <w:vAlign w:val="center"/>
                </w:tcPr>
                <w:p w14:paraId="7F207B1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eastAsia="zh-CN"/>
                    </w:rPr>
                  </w:pPr>
                  <w:r>
                    <w:rPr>
                      <w:rFonts w:hint="default" w:ascii="Times New Roman" w:hAnsi="Times New Roman" w:cs="Times New Roman"/>
                      <w:b w:val="0"/>
                      <w:bCs/>
                      <w:color w:val="auto"/>
                      <w:lang w:val="en-US" w:eastAsia="zh-CN"/>
                    </w:rPr>
                    <w:t>含油抹布手套</w:t>
                  </w:r>
                </w:p>
              </w:tc>
              <w:tc>
                <w:tcPr>
                  <w:tcW w:w="472" w:type="pct"/>
                  <w:tcBorders>
                    <w:tl2br w:val="nil"/>
                    <w:tr2bl w:val="nil"/>
                  </w:tcBorders>
                  <w:noWrap w:val="0"/>
                  <w:vAlign w:val="center"/>
                </w:tcPr>
                <w:p w14:paraId="75FDA68C">
                  <w:pPr>
                    <w:keepNext w:val="0"/>
                    <w:keepLines w:val="0"/>
                    <w:pageBreakBefore w:val="0"/>
                    <w:widowControl w:val="0"/>
                    <w:kinsoku/>
                    <w:wordWrap/>
                    <w:overflowPunct/>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color w:val="auto"/>
                      <w:sz w:val="21"/>
                      <w:szCs w:val="21"/>
                    </w:rPr>
                    <w:t>HW</w:t>
                  </w:r>
                  <w:r>
                    <w:rPr>
                      <w:rFonts w:hint="default" w:ascii="Times New Roman" w:hAnsi="Times New Roman" w:cs="Times New Roman"/>
                      <w:color w:val="auto"/>
                      <w:sz w:val="21"/>
                      <w:szCs w:val="21"/>
                      <w:lang w:val="en-US" w:eastAsia="zh-CN"/>
                    </w:rPr>
                    <w:t>49</w:t>
                  </w:r>
                </w:p>
              </w:tc>
              <w:tc>
                <w:tcPr>
                  <w:tcW w:w="521" w:type="pct"/>
                  <w:tcBorders>
                    <w:tl2br w:val="nil"/>
                    <w:tr2bl w:val="nil"/>
                  </w:tcBorders>
                  <w:noWrap w:val="0"/>
                  <w:vAlign w:val="center"/>
                </w:tcPr>
                <w:p w14:paraId="15A95856">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color w:val="auto"/>
                      <w:sz w:val="21"/>
                      <w:szCs w:val="21"/>
                      <w:lang w:val="en-US" w:eastAsia="zh-CN"/>
                    </w:rPr>
                    <w:t>900-041-49</w:t>
                  </w:r>
                </w:p>
              </w:tc>
              <w:tc>
                <w:tcPr>
                  <w:tcW w:w="585" w:type="pct"/>
                  <w:tcBorders>
                    <w:tl2br w:val="nil"/>
                    <w:tr2bl w:val="nil"/>
                  </w:tcBorders>
                  <w:noWrap w:val="0"/>
                  <w:vAlign w:val="center"/>
                </w:tcPr>
                <w:p w14:paraId="4487273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color w:val="auto"/>
                      <w:sz w:val="21"/>
                      <w:szCs w:val="21"/>
                      <w:lang w:val="en-US" w:eastAsia="zh-CN"/>
                    </w:rPr>
                    <w:t>0.0</w:t>
                  </w:r>
                  <w:r>
                    <w:rPr>
                      <w:rFonts w:hint="eastAsia" w:ascii="Times New Roman" w:hAnsi="Times New Roman" w:cs="Times New Roman"/>
                      <w:color w:val="auto"/>
                      <w:sz w:val="21"/>
                      <w:szCs w:val="21"/>
                      <w:lang w:val="en-US" w:eastAsia="zh-CN"/>
                    </w:rPr>
                    <w:t>05</w:t>
                  </w:r>
                </w:p>
              </w:tc>
              <w:tc>
                <w:tcPr>
                  <w:tcW w:w="552" w:type="pct"/>
                  <w:tcBorders>
                    <w:tl2br w:val="nil"/>
                    <w:tr2bl w:val="nil"/>
                  </w:tcBorders>
                  <w:noWrap w:val="0"/>
                  <w:vAlign w:val="center"/>
                </w:tcPr>
                <w:p w14:paraId="351B911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val="en-US" w:eastAsia="zh-CN"/>
                    </w:rPr>
                  </w:pPr>
                  <w:r>
                    <w:rPr>
                      <w:rFonts w:hint="eastAsia" w:ascii="Times New Roman" w:hAnsi="Times New Roman" w:cs="Times New Roman"/>
                      <w:b w:val="0"/>
                      <w:bCs/>
                      <w:color w:val="auto"/>
                      <w:sz w:val="21"/>
                      <w:szCs w:val="21"/>
                      <w:lang w:val="en-US" w:eastAsia="zh-CN"/>
                    </w:rPr>
                    <w:t>设备保养</w:t>
                  </w:r>
                </w:p>
              </w:tc>
              <w:tc>
                <w:tcPr>
                  <w:tcW w:w="251" w:type="pct"/>
                  <w:tcBorders>
                    <w:tl2br w:val="nil"/>
                    <w:tr2bl w:val="nil"/>
                  </w:tcBorders>
                  <w:noWrap w:val="0"/>
                  <w:vAlign w:val="center"/>
                </w:tcPr>
                <w:p w14:paraId="7DD08C1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rPr>
                    <w:t>固</w:t>
                  </w:r>
                </w:p>
              </w:tc>
              <w:tc>
                <w:tcPr>
                  <w:tcW w:w="556" w:type="pct"/>
                  <w:tcBorders>
                    <w:tl2br w:val="nil"/>
                    <w:tr2bl w:val="nil"/>
                  </w:tcBorders>
                  <w:noWrap w:val="0"/>
                  <w:vAlign w:val="center"/>
                </w:tcPr>
                <w:p w14:paraId="780E1D8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矿物油、有机物</w:t>
                  </w:r>
                </w:p>
              </w:tc>
              <w:tc>
                <w:tcPr>
                  <w:tcW w:w="480" w:type="pct"/>
                  <w:tcBorders>
                    <w:tl2br w:val="nil"/>
                    <w:tr2bl w:val="nil"/>
                  </w:tcBorders>
                  <w:noWrap w:val="0"/>
                  <w:vAlign w:val="center"/>
                </w:tcPr>
                <w:p w14:paraId="0786051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rPr>
                    <w:t>T/I</w:t>
                  </w:r>
                  <w:r>
                    <w:rPr>
                      <w:rFonts w:hint="default" w:ascii="Times New Roman" w:hAnsi="Times New Roman" w:cs="Times New Roman"/>
                      <w:b w:val="0"/>
                      <w:bCs w:val="0"/>
                      <w:color w:val="auto"/>
                      <w:lang w:val="en-US" w:eastAsia="zh-CN"/>
                    </w:rPr>
                    <w:t>n</w:t>
                  </w:r>
                </w:p>
              </w:tc>
              <w:tc>
                <w:tcPr>
                  <w:tcW w:w="515" w:type="pct"/>
                  <w:vMerge w:val="continue"/>
                  <w:tcBorders>
                    <w:tl2br w:val="nil"/>
                    <w:tr2bl w:val="nil"/>
                  </w:tcBorders>
                  <w:noWrap w:val="0"/>
                  <w:vAlign w:val="center"/>
                </w:tcPr>
                <w:p w14:paraId="377FCEE9">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eastAsia="zh-CN"/>
                    </w:rPr>
                  </w:pPr>
                </w:p>
              </w:tc>
            </w:tr>
            <w:tr w14:paraId="7BC37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7" w:hRule="atLeast"/>
                <w:tblHeader/>
                <w:jc w:val="center"/>
              </w:trPr>
              <w:tc>
                <w:tcPr>
                  <w:tcW w:w="537" w:type="dxa"/>
                  <w:tcBorders>
                    <w:tl2br w:val="nil"/>
                    <w:tr2bl w:val="nil"/>
                  </w:tcBorders>
                  <w:noWrap w:val="0"/>
                  <w:vAlign w:val="center"/>
                </w:tcPr>
                <w:p w14:paraId="56A41AF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val="0"/>
                      <w:color w:val="auto"/>
                      <w:lang w:val="en-US" w:eastAsia="zh-CN"/>
                    </w:rPr>
                    <w:t>7</w:t>
                  </w:r>
                </w:p>
              </w:tc>
              <w:tc>
                <w:tcPr>
                  <w:tcW w:w="746" w:type="pct"/>
                  <w:tcBorders>
                    <w:tl2br w:val="nil"/>
                    <w:tr2bl w:val="nil"/>
                  </w:tcBorders>
                  <w:noWrap w:val="0"/>
                  <w:vAlign w:val="center"/>
                </w:tcPr>
                <w:p w14:paraId="4230B3E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val="0"/>
                      <w:color w:val="auto"/>
                      <w:lang w:eastAsia="zh-CN"/>
                    </w:rPr>
                    <w:t>废</w:t>
                  </w:r>
                  <w:r>
                    <w:rPr>
                      <w:rFonts w:hint="eastAsia" w:ascii="Times New Roman" w:hAnsi="Times New Roman" w:cs="Times New Roman"/>
                      <w:b w:val="0"/>
                      <w:bCs w:val="0"/>
                      <w:color w:val="auto"/>
                      <w:lang w:val="en-US" w:eastAsia="zh-CN"/>
                    </w:rPr>
                    <w:t>滤芯</w:t>
                  </w:r>
                </w:p>
              </w:tc>
              <w:tc>
                <w:tcPr>
                  <w:tcW w:w="472" w:type="pct"/>
                  <w:tcBorders>
                    <w:tl2br w:val="nil"/>
                    <w:tr2bl w:val="nil"/>
                  </w:tcBorders>
                  <w:noWrap w:val="0"/>
                  <w:vAlign w:val="center"/>
                </w:tcPr>
                <w:p w14:paraId="5660BD7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val="0"/>
                      <w:color w:val="auto"/>
                      <w:sz w:val="21"/>
                      <w:szCs w:val="21"/>
                    </w:rPr>
                    <w:t>HW49</w:t>
                  </w:r>
                </w:p>
              </w:tc>
              <w:tc>
                <w:tcPr>
                  <w:tcW w:w="521" w:type="pct"/>
                  <w:tcBorders>
                    <w:tl2br w:val="nil"/>
                    <w:tr2bl w:val="nil"/>
                  </w:tcBorders>
                  <w:noWrap w:val="0"/>
                  <w:vAlign w:val="center"/>
                </w:tcPr>
                <w:p w14:paraId="774CA3D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val="0"/>
                      <w:color w:val="auto"/>
                      <w:sz w:val="21"/>
                      <w:szCs w:val="21"/>
                    </w:rPr>
                    <w:t>900-039-49</w:t>
                  </w:r>
                </w:p>
              </w:tc>
              <w:tc>
                <w:tcPr>
                  <w:tcW w:w="585" w:type="pct"/>
                  <w:tcBorders>
                    <w:tl2br w:val="nil"/>
                    <w:tr2bl w:val="nil"/>
                  </w:tcBorders>
                  <w:noWrap w:val="0"/>
                  <w:vAlign w:val="center"/>
                </w:tcPr>
                <w:p w14:paraId="52659D3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sz w:val="21"/>
                      <w:szCs w:val="21"/>
                      <w:lang w:val="en-US" w:eastAsia="zh-CN"/>
                    </w:rPr>
                    <w:t>10.0033</w:t>
                  </w:r>
                </w:p>
              </w:tc>
              <w:tc>
                <w:tcPr>
                  <w:tcW w:w="552" w:type="pct"/>
                  <w:tcBorders>
                    <w:tl2br w:val="nil"/>
                    <w:tr2bl w:val="nil"/>
                  </w:tcBorders>
                  <w:noWrap w:val="0"/>
                  <w:vAlign w:val="center"/>
                </w:tcPr>
                <w:p w14:paraId="5C520FB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val="0"/>
                      <w:color w:val="auto"/>
                      <w:sz w:val="21"/>
                      <w:szCs w:val="21"/>
                    </w:rPr>
                    <w:t>废气处理装置</w:t>
                  </w:r>
                </w:p>
              </w:tc>
              <w:tc>
                <w:tcPr>
                  <w:tcW w:w="251" w:type="pct"/>
                  <w:tcBorders>
                    <w:tl2br w:val="nil"/>
                    <w:tr2bl w:val="nil"/>
                  </w:tcBorders>
                  <w:noWrap w:val="0"/>
                  <w:vAlign w:val="center"/>
                </w:tcPr>
                <w:p w14:paraId="676582F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val="0"/>
                      <w:color w:val="auto"/>
                      <w:sz w:val="21"/>
                      <w:szCs w:val="21"/>
                    </w:rPr>
                    <w:t>固</w:t>
                  </w:r>
                </w:p>
              </w:tc>
              <w:tc>
                <w:tcPr>
                  <w:tcW w:w="556" w:type="pct"/>
                  <w:tcBorders>
                    <w:tl2br w:val="nil"/>
                    <w:tr2bl w:val="nil"/>
                  </w:tcBorders>
                  <w:noWrap w:val="0"/>
                  <w:vAlign w:val="center"/>
                </w:tcPr>
                <w:p w14:paraId="66F2D83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val="0"/>
                      <w:color w:val="auto"/>
                      <w:sz w:val="21"/>
                      <w:szCs w:val="21"/>
                    </w:rPr>
                    <w:t>吸附</w:t>
                  </w:r>
                  <w:r>
                    <w:rPr>
                      <w:rFonts w:hint="eastAsia" w:ascii="Times New Roman" w:hAnsi="Times New Roman" w:cs="Times New Roman"/>
                      <w:b w:val="0"/>
                      <w:bCs w:val="0"/>
                      <w:color w:val="auto"/>
                      <w:sz w:val="21"/>
                      <w:szCs w:val="21"/>
                      <w:lang w:val="en-US" w:eastAsia="zh-CN"/>
                    </w:rPr>
                    <w:t>漆雾</w:t>
                  </w:r>
                </w:p>
              </w:tc>
              <w:tc>
                <w:tcPr>
                  <w:tcW w:w="480" w:type="pct"/>
                  <w:tcBorders>
                    <w:tl2br w:val="nil"/>
                    <w:tr2bl w:val="nil"/>
                  </w:tcBorders>
                  <w:noWrap w:val="0"/>
                  <w:vAlign w:val="center"/>
                </w:tcPr>
                <w:p w14:paraId="37034CC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val="0"/>
                      <w:color w:val="auto"/>
                      <w:sz w:val="21"/>
                      <w:szCs w:val="21"/>
                    </w:rPr>
                    <w:t>T</w:t>
                  </w:r>
                </w:p>
              </w:tc>
              <w:tc>
                <w:tcPr>
                  <w:tcW w:w="515" w:type="pct"/>
                  <w:vMerge w:val="continue"/>
                  <w:tcBorders>
                    <w:tl2br w:val="nil"/>
                    <w:tr2bl w:val="nil"/>
                  </w:tcBorders>
                  <w:noWrap w:val="0"/>
                  <w:vAlign w:val="center"/>
                </w:tcPr>
                <w:p w14:paraId="7281FCAF">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rPr>
                  </w:pPr>
                </w:p>
              </w:tc>
            </w:tr>
            <w:tr w14:paraId="3B9FF9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7" w:hRule="atLeast"/>
                <w:tblHeader/>
                <w:jc w:val="center"/>
              </w:trPr>
              <w:tc>
                <w:tcPr>
                  <w:tcW w:w="537" w:type="dxa"/>
                  <w:tcBorders>
                    <w:tl2br w:val="nil"/>
                    <w:tr2bl w:val="nil"/>
                  </w:tcBorders>
                  <w:noWrap w:val="0"/>
                  <w:vAlign w:val="center"/>
                </w:tcPr>
                <w:p w14:paraId="0E2CA99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val="en-US" w:eastAsia="zh-CN"/>
                    </w:rPr>
                  </w:pPr>
                  <w:r>
                    <w:rPr>
                      <w:rFonts w:hint="eastAsia" w:ascii="Times New Roman" w:hAnsi="Times New Roman" w:cs="Times New Roman"/>
                      <w:b w:val="0"/>
                      <w:bCs w:val="0"/>
                      <w:color w:val="auto"/>
                      <w:lang w:val="en-US" w:eastAsia="zh-CN"/>
                    </w:rPr>
                    <w:t>8</w:t>
                  </w:r>
                </w:p>
              </w:tc>
              <w:tc>
                <w:tcPr>
                  <w:tcW w:w="746" w:type="pct"/>
                  <w:tcBorders>
                    <w:tl2br w:val="nil"/>
                    <w:tr2bl w:val="nil"/>
                  </w:tcBorders>
                  <w:noWrap w:val="0"/>
                  <w:vAlign w:val="center"/>
                </w:tcPr>
                <w:p w14:paraId="731701E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val="0"/>
                      <w:color w:val="auto"/>
                      <w:lang w:eastAsia="zh-CN"/>
                    </w:rPr>
                    <w:t>废活性炭</w:t>
                  </w:r>
                </w:p>
              </w:tc>
              <w:tc>
                <w:tcPr>
                  <w:tcW w:w="472" w:type="pct"/>
                  <w:tcBorders>
                    <w:tl2br w:val="nil"/>
                    <w:tr2bl w:val="nil"/>
                  </w:tcBorders>
                  <w:noWrap w:val="0"/>
                  <w:vAlign w:val="center"/>
                </w:tcPr>
                <w:p w14:paraId="1FE9253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val="0"/>
                      <w:color w:val="auto"/>
                      <w:sz w:val="21"/>
                      <w:szCs w:val="21"/>
                    </w:rPr>
                    <w:t>HW49</w:t>
                  </w:r>
                </w:p>
              </w:tc>
              <w:tc>
                <w:tcPr>
                  <w:tcW w:w="521" w:type="pct"/>
                  <w:tcBorders>
                    <w:tl2br w:val="nil"/>
                    <w:tr2bl w:val="nil"/>
                  </w:tcBorders>
                  <w:noWrap w:val="0"/>
                  <w:vAlign w:val="center"/>
                </w:tcPr>
                <w:p w14:paraId="36B0A39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val="0"/>
                      <w:color w:val="auto"/>
                      <w:sz w:val="21"/>
                      <w:szCs w:val="21"/>
                    </w:rPr>
                    <w:t>900-039-49</w:t>
                  </w:r>
                </w:p>
              </w:tc>
              <w:tc>
                <w:tcPr>
                  <w:tcW w:w="585" w:type="pct"/>
                  <w:tcBorders>
                    <w:tl2br w:val="nil"/>
                    <w:tr2bl w:val="nil"/>
                  </w:tcBorders>
                  <w:noWrap w:val="0"/>
                  <w:vAlign w:val="center"/>
                </w:tcPr>
                <w:p w14:paraId="188802D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sz w:val="21"/>
                      <w:szCs w:val="21"/>
                      <w:lang w:val="en-US" w:eastAsia="zh-CN"/>
                    </w:rPr>
                    <w:t>5.982</w:t>
                  </w:r>
                </w:p>
              </w:tc>
              <w:tc>
                <w:tcPr>
                  <w:tcW w:w="552" w:type="pct"/>
                  <w:tcBorders>
                    <w:tl2br w:val="nil"/>
                    <w:tr2bl w:val="nil"/>
                  </w:tcBorders>
                  <w:noWrap w:val="0"/>
                  <w:vAlign w:val="center"/>
                </w:tcPr>
                <w:p w14:paraId="564F611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val="0"/>
                      <w:color w:val="auto"/>
                      <w:sz w:val="21"/>
                      <w:szCs w:val="21"/>
                    </w:rPr>
                    <w:t>废气处理装置</w:t>
                  </w:r>
                </w:p>
              </w:tc>
              <w:tc>
                <w:tcPr>
                  <w:tcW w:w="251" w:type="pct"/>
                  <w:tcBorders>
                    <w:tl2br w:val="nil"/>
                    <w:tr2bl w:val="nil"/>
                  </w:tcBorders>
                  <w:noWrap w:val="0"/>
                  <w:vAlign w:val="center"/>
                </w:tcPr>
                <w:p w14:paraId="2400ECB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val="0"/>
                      <w:color w:val="auto"/>
                      <w:sz w:val="21"/>
                      <w:szCs w:val="21"/>
                    </w:rPr>
                    <w:t>固</w:t>
                  </w:r>
                </w:p>
              </w:tc>
              <w:tc>
                <w:tcPr>
                  <w:tcW w:w="556" w:type="pct"/>
                  <w:tcBorders>
                    <w:tl2br w:val="nil"/>
                    <w:tr2bl w:val="nil"/>
                  </w:tcBorders>
                  <w:noWrap w:val="0"/>
                  <w:vAlign w:val="center"/>
                </w:tcPr>
                <w:p w14:paraId="6A24CFA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val="0"/>
                      <w:color w:val="auto"/>
                      <w:sz w:val="21"/>
                      <w:szCs w:val="21"/>
                    </w:rPr>
                    <w:t>吸附</w:t>
                  </w:r>
                  <w:r>
                    <w:rPr>
                      <w:rFonts w:hint="default" w:ascii="Times New Roman" w:hAnsi="Times New Roman" w:cs="Times New Roman"/>
                      <w:b w:val="0"/>
                      <w:bCs w:val="0"/>
                      <w:color w:val="auto"/>
                      <w:sz w:val="21"/>
                      <w:szCs w:val="21"/>
                      <w:lang w:eastAsia="zh-CN"/>
                    </w:rPr>
                    <w:t>有机</w:t>
                  </w:r>
                  <w:r>
                    <w:rPr>
                      <w:rFonts w:hint="default" w:ascii="Times New Roman" w:hAnsi="Times New Roman" w:cs="Times New Roman"/>
                      <w:b w:val="0"/>
                      <w:bCs w:val="0"/>
                      <w:color w:val="auto"/>
                      <w:sz w:val="21"/>
                      <w:szCs w:val="21"/>
                    </w:rPr>
                    <w:t>废气的活性炭</w:t>
                  </w:r>
                </w:p>
              </w:tc>
              <w:tc>
                <w:tcPr>
                  <w:tcW w:w="480" w:type="pct"/>
                  <w:tcBorders>
                    <w:tl2br w:val="nil"/>
                    <w:tr2bl w:val="nil"/>
                  </w:tcBorders>
                  <w:noWrap w:val="0"/>
                  <w:vAlign w:val="center"/>
                </w:tcPr>
                <w:p w14:paraId="3B11840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default" w:ascii="Times New Roman" w:hAnsi="Times New Roman" w:cs="Times New Roman"/>
                      <w:b w:val="0"/>
                      <w:bCs w:val="0"/>
                      <w:color w:val="auto"/>
                      <w:sz w:val="21"/>
                      <w:szCs w:val="21"/>
                    </w:rPr>
                    <w:t>T</w:t>
                  </w:r>
                </w:p>
              </w:tc>
              <w:tc>
                <w:tcPr>
                  <w:tcW w:w="515" w:type="pct"/>
                  <w:vMerge w:val="continue"/>
                  <w:tcBorders>
                    <w:tl2br w:val="nil"/>
                    <w:tr2bl w:val="nil"/>
                  </w:tcBorders>
                  <w:noWrap w:val="0"/>
                  <w:vAlign w:val="center"/>
                </w:tcPr>
                <w:p w14:paraId="420D8E5D">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rPr>
                  </w:pPr>
                </w:p>
              </w:tc>
            </w:tr>
            <w:tr w14:paraId="5580F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1" w:hRule="atLeast"/>
                <w:tblHeader/>
                <w:jc w:val="center"/>
              </w:trPr>
              <w:tc>
                <w:tcPr>
                  <w:tcW w:w="1064" w:type="pct"/>
                  <w:gridSpan w:val="2"/>
                  <w:tcBorders>
                    <w:tl2br w:val="nil"/>
                    <w:tr2bl w:val="nil"/>
                  </w:tcBorders>
                  <w:noWrap w:val="0"/>
                  <w:vAlign w:val="center"/>
                </w:tcPr>
                <w:p w14:paraId="108AD9D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eastAsia="zh-CN"/>
                    </w:rPr>
                  </w:pPr>
                  <w:r>
                    <w:rPr>
                      <w:rFonts w:hint="default" w:ascii="Times New Roman" w:hAnsi="Times New Roman" w:cs="Times New Roman"/>
                      <w:b w:val="0"/>
                      <w:bCs/>
                      <w:color w:val="auto"/>
                      <w:lang w:eastAsia="zh-CN"/>
                    </w:rPr>
                    <w:t>合计</w:t>
                  </w:r>
                </w:p>
              </w:tc>
              <w:tc>
                <w:tcPr>
                  <w:tcW w:w="472" w:type="pct"/>
                  <w:tcBorders>
                    <w:tl2br w:val="nil"/>
                    <w:tr2bl w:val="nil"/>
                  </w:tcBorders>
                  <w:noWrap w:val="0"/>
                  <w:vAlign w:val="center"/>
                </w:tcPr>
                <w:p w14:paraId="4A593C3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521" w:type="pct"/>
                  <w:tcBorders>
                    <w:tl2br w:val="nil"/>
                    <w:tr2bl w:val="nil"/>
                  </w:tcBorders>
                  <w:noWrap w:val="0"/>
                  <w:vAlign w:val="center"/>
                </w:tcPr>
                <w:p w14:paraId="2E16AC1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585" w:type="pct"/>
                  <w:tcBorders>
                    <w:tl2br w:val="nil"/>
                    <w:tr2bl w:val="nil"/>
                  </w:tcBorders>
                  <w:noWrap w:val="0"/>
                  <w:vAlign w:val="center"/>
                </w:tcPr>
                <w:p w14:paraId="77AE33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17.8546</w:t>
                  </w:r>
                </w:p>
              </w:tc>
              <w:tc>
                <w:tcPr>
                  <w:tcW w:w="552" w:type="pct"/>
                  <w:tcBorders>
                    <w:tl2br w:val="nil"/>
                    <w:tr2bl w:val="nil"/>
                  </w:tcBorders>
                  <w:noWrap w:val="0"/>
                  <w:vAlign w:val="center"/>
                </w:tcPr>
                <w:p w14:paraId="5CDB4AF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251" w:type="pct"/>
                  <w:tcBorders>
                    <w:tl2br w:val="nil"/>
                    <w:tr2bl w:val="nil"/>
                  </w:tcBorders>
                  <w:noWrap w:val="0"/>
                  <w:vAlign w:val="center"/>
                </w:tcPr>
                <w:p w14:paraId="27E5139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556" w:type="pct"/>
                  <w:tcBorders>
                    <w:tl2br w:val="nil"/>
                    <w:tr2bl w:val="nil"/>
                  </w:tcBorders>
                  <w:noWrap w:val="0"/>
                  <w:vAlign w:val="center"/>
                </w:tcPr>
                <w:p w14:paraId="6B1E794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480" w:type="pct"/>
                  <w:tcBorders>
                    <w:tl2br w:val="nil"/>
                    <w:tr2bl w:val="nil"/>
                  </w:tcBorders>
                  <w:noWrap w:val="0"/>
                  <w:vAlign w:val="center"/>
                </w:tcPr>
                <w:p w14:paraId="299E4F9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w:t>
                  </w:r>
                </w:p>
              </w:tc>
              <w:tc>
                <w:tcPr>
                  <w:tcW w:w="515" w:type="pct"/>
                  <w:vMerge w:val="continue"/>
                  <w:tcBorders>
                    <w:tl2br w:val="nil"/>
                    <w:tr2bl w:val="nil"/>
                  </w:tcBorders>
                  <w:noWrap w:val="0"/>
                  <w:vAlign w:val="center"/>
                </w:tcPr>
                <w:p w14:paraId="7522EADE">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bl>
          <w:p w14:paraId="2162CF46">
            <w:pPr>
              <w:bidi w:val="0"/>
              <w:spacing w:line="240" w:lineRule="auto"/>
              <w:ind w:left="0" w:leftChars="0" w:firstLine="0" w:firstLineChars="0"/>
              <w:rPr>
                <w:rFonts w:hint="eastAsia"/>
                <w:b/>
                <w:bCs/>
                <w:color w:val="auto"/>
                <w:lang w:val="en-US" w:eastAsia="zh-CN"/>
              </w:rPr>
            </w:pPr>
          </w:p>
          <w:p w14:paraId="13D631A1">
            <w:pPr>
              <w:bidi w:val="0"/>
              <w:ind w:left="0" w:leftChars="0" w:firstLine="0" w:firstLineChars="0"/>
              <w:rPr>
                <w:b/>
                <w:bCs/>
                <w:color w:val="auto"/>
              </w:rPr>
            </w:pPr>
            <w:r>
              <w:rPr>
                <w:rFonts w:hint="eastAsia"/>
                <w:b/>
                <w:bCs/>
                <w:color w:val="auto"/>
                <w:lang w:val="en-US" w:eastAsia="zh-CN"/>
              </w:rPr>
              <w:t xml:space="preserve">4.4.2 </w:t>
            </w:r>
            <w:r>
              <w:rPr>
                <w:rFonts w:hint="eastAsia"/>
                <w:b/>
                <w:bCs/>
                <w:color w:val="auto"/>
              </w:rPr>
              <w:t>固废临时贮存要求</w:t>
            </w:r>
          </w:p>
          <w:p w14:paraId="2B99FC2A">
            <w:pPr>
              <w:bidi w:val="0"/>
              <w:rPr>
                <w:rFonts w:hint="eastAsia"/>
                <w:b/>
                <w:bCs/>
                <w:color w:val="auto"/>
                <w:lang w:eastAsia="zh-CN"/>
              </w:rPr>
            </w:pPr>
            <w:r>
              <w:rPr>
                <w:rFonts w:hint="eastAsia"/>
                <w:b/>
                <w:bCs/>
                <w:color w:val="auto"/>
                <w:lang w:eastAsia="zh-CN"/>
              </w:rPr>
              <w:t>（1）一般固废环境管理要求</w:t>
            </w:r>
          </w:p>
          <w:p w14:paraId="6426BECA">
            <w:pPr>
              <w:bidi w:val="0"/>
              <w:rPr>
                <w:rFonts w:hint="eastAsia"/>
                <w:color w:val="auto"/>
              </w:rPr>
            </w:pPr>
            <w:r>
              <w:rPr>
                <w:rFonts w:hint="eastAsia"/>
                <w:color w:val="auto"/>
              </w:rPr>
              <w:t>员工办公与生活中产生的生活垃圾，在厂内定点收集储存，按照当地环境保护和卫生管理部门的要求统一处置。项目在厂房内部</w:t>
            </w:r>
            <w:r>
              <w:rPr>
                <w:rFonts w:hint="eastAsia"/>
                <w:color w:val="auto"/>
                <w:lang w:val="en-US" w:eastAsia="zh-CN"/>
              </w:rPr>
              <w:t>东南侧</w:t>
            </w:r>
            <w:r>
              <w:rPr>
                <w:rFonts w:hint="eastAsia"/>
                <w:color w:val="auto"/>
              </w:rPr>
              <w:t>新建20m</w:t>
            </w:r>
            <w:r>
              <w:rPr>
                <w:rFonts w:hint="eastAsia"/>
                <w:color w:val="auto"/>
                <w:vertAlign w:val="superscript"/>
              </w:rPr>
              <w:t>2</w:t>
            </w:r>
            <w:r>
              <w:rPr>
                <w:rFonts w:hint="eastAsia"/>
                <w:color w:val="auto"/>
              </w:rPr>
              <w:t>一般固废库用于存放收集的废包材、沉降金属碎屑、金属边角料、过滤金属碎屑、激光切割收集粉尘、废布袋等一般固废。一般固体废物处理措施和处置方案需满足《一般工业固体废物贮存和填埋污染控制标准》（GB18599-2020）中的有关规定和《中华人民共和国固体废物污染环境防治法》中的有关规定，如不相容的一般工业固体废物应设置不同的分区进行贮存。</w:t>
            </w:r>
          </w:p>
          <w:p w14:paraId="42E32B96">
            <w:pPr>
              <w:pStyle w:val="6"/>
              <w:bidi w:val="0"/>
              <w:rPr>
                <w:color w:val="auto"/>
              </w:rPr>
            </w:pPr>
            <w:r>
              <w:rPr>
                <w:rFonts w:hint="eastAsia"/>
                <w:color w:val="auto"/>
                <w:lang w:val="en-US" w:eastAsia="zh-CN"/>
              </w:rPr>
              <w:t>（2）危险废物环境管理要求</w:t>
            </w:r>
          </w:p>
          <w:p w14:paraId="7D2F9AC5">
            <w:pPr>
              <w:bidi w:val="0"/>
              <w:rPr>
                <w:rFonts w:hint="default" w:ascii="Times New Roman" w:hAnsi="Times New Roman" w:cs="Times New Roman"/>
                <w:color w:val="auto"/>
                <w:kern w:val="0"/>
                <w:sz w:val="24"/>
                <w:szCs w:val="24"/>
              </w:rPr>
            </w:pPr>
            <w:r>
              <w:rPr>
                <w:rFonts w:hint="default" w:ascii="Times New Roman" w:hAnsi="Times New Roman" w:cs="Times New Roman"/>
                <w:bCs/>
                <w:color w:val="auto"/>
                <w:sz w:val="24"/>
                <w:szCs w:val="24"/>
                <w:lang w:eastAsia="zh-CN"/>
              </w:rPr>
              <w:t>机加工更换废液，废水性丙烯酸面漆桶</w:t>
            </w:r>
            <w:r>
              <w:rPr>
                <w:rFonts w:hint="eastAsia" w:cs="Times New Roman"/>
                <w:bCs/>
                <w:color w:val="auto"/>
                <w:sz w:val="24"/>
                <w:szCs w:val="24"/>
                <w:lang w:eastAsia="zh-CN"/>
              </w:rPr>
              <w:t>、</w:t>
            </w:r>
            <w:r>
              <w:rPr>
                <w:rFonts w:hint="default" w:ascii="Times New Roman" w:hAnsi="Times New Roman" w:cs="Times New Roman"/>
                <w:bCs/>
                <w:color w:val="auto"/>
                <w:sz w:val="24"/>
                <w:szCs w:val="24"/>
                <w:lang w:eastAsia="zh-CN"/>
              </w:rPr>
              <w:t>漆渣、喷枪清洗废液，废润滑油和废润滑油桶，含油抹布、手套，废滤芯、废活性炭等</w:t>
            </w:r>
            <w:r>
              <w:rPr>
                <w:rFonts w:hint="default" w:ascii="Times New Roman" w:hAnsi="Times New Roman" w:cs="Times New Roman"/>
                <w:color w:val="auto"/>
                <w:kern w:val="0"/>
                <w:sz w:val="24"/>
                <w:szCs w:val="24"/>
              </w:rPr>
              <w:t>通过分类收集后，暂存于危废暂存间。</w:t>
            </w:r>
          </w:p>
          <w:p w14:paraId="364DDF88">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拟建的危废暂存间</w:t>
            </w:r>
            <w:r>
              <w:rPr>
                <w:rFonts w:hint="eastAsia" w:cs="Times New Roman"/>
                <w:color w:val="auto"/>
                <w:sz w:val="24"/>
                <w:szCs w:val="24"/>
                <w:lang w:val="en-US" w:eastAsia="zh-CN"/>
              </w:rPr>
              <w:t>位于厂房</w:t>
            </w:r>
            <w:r>
              <w:rPr>
                <w:rFonts w:hint="default" w:ascii="Times New Roman" w:hAnsi="Times New Roman" w:cs="Times New Roman"/>
                <w:color w:val="auto"/>
                <w:sz w:val="24"/>
                <w:szCs w:val="24"/>
                <w:lang w:eastAsia="zh-CN"/>
              </w:rPr>
              <w:t>西</w:t>
            </w:r>
            <w:r>
              <w:rPr>
                <w:rFonts w:hint="eastAsia" w:cs="Times New Roman"/>
                <w:color w:val="auto"/>
                <w:sz w:val="24"/>
                <w:szCs w:val="24"/>
                <w:lang w:val="en-US" w:eastAsia="zh-CN"/>
              </w:rPr>
              <w:t>南</w:t>
            </w:r>
            <w:r>
              <w:rPr>
                <w:rFonts w:hint="default" w:ascii="Times New Roman" w:hAnsi="Times New Roman" w:cs="Times New Roman"/>
                <w:color w:val="auto"/>
                <w:sz w:val="24"/>
                <w:szCs w:val="24"/>
                <w:lang w:eastAsia="zh-CN"/>
              </w:rPr>
              <w:t>侧，建设</w:t>
            </w:r>
            <w:r>
              <w:rPr>
                <w:rFonts w:hint="default" w:ascii="Times New Roman" w:hAnsi="Times New Roman" w:cs="Times New Roman"/>
                <w:color w:val="auto"/>
                <w:sz w:val="24"/>
                <w:szCs w:val="24"/>
              </w:rPr>
              <w:t>危废暂存库面积约</w:t>
            </w:r>
            <w:r>
              <w:rPr>
                <w:rFonts w:hint="default" w:ascii="Times New Roman" w:hAnsi="Times New Roman" w:cs="Times New Roman"/>
                <w:color w:val="auto"/>
                <w:sz w:val="24"/>
                <w:szCs w:val="24"/>
                <w:lang w:val="en-US" w:eastAsia="zh-CN"/>
              </w:rPr>
              <w:t>1</w:t>
            </w:r>
            <w:r>
              <w:rPr>
                <w:rFonts w:hint="eastAsia" w:cs="Times New Roman"/>
                <w:color w:val="auto"/>
                <w:sz w:val="24"/>
                <w:szCs w:val="24"/>
                <w:lang w:val="en-US" w:eastAsia="zh-CN"/>
              </w:rPr>
              <w:t>0</w:t>
            </w:r>
            <w:r>
              <w:rPr>
                <w:rFonts w:hint="default" w:ascii="Times New Roman" w:hAnsi="Times New Roman" w:cs="Times New Roman"/>
                <w:color w:val="auto"/>
                <w:sz w:val="24"/>
                <w:szCs w:val="24"/>
              </w:rPr>
              <w:t>m</w:t>
            </w:r>
            <w:r>
              <w:rPr>
                <w:rFonts w:hint="default" w:ascii="Times New Roman" w:hAnsi="Times New Roman" w:cs="Times New Roman"/>
                <w:color w:val="auto"/>
                <w:sz w:val="24"/>
                <w:szCs w:val="24"/>
                <w:vertAlign w:val="superscript"/>
              </w:rPr>
              <w:t>2</w:t>
            </w:r>
            <w:r>
              <w:rPr>
                <w:rFonts w:hint="default" w:ascii="Times New Roman" w:hAnsi="Times New Roman" w:cs="Times New Roman"/>
                <w:color w:val="auto"/>
                <w:sz w:val="24"/>
                <w:szCs w:val="24"/>
              </w:rPr>
              <w:t>，危废暂存库的储存能力为</w:t>
            </w:r>
            <w:r>
              <w:rPr>
                <w:rFonts w:hint="eastAsia" w:cs="Times New Roman"/>
                <w:color w:val="auto"/>
                <w:sz w:val="24"/>
                <w:szCs w:val="24"/>
                <w:lang w:val="en-US" w:eastAsia="zh-CN"/>
              </w:rPr>
              <w:t>6</w:t>
            </w:r>
            <w:r>
              <w:rPr>
                <w:rFonts w:hint="default" w:ascii="Times New Roman" w:hAnsi="Times New Roman" w:cs="Times New Roman"/>
                <w:color w:val="auto"/>
                <w:sz w:val="24"/>
                <w:szCs w:val="24"/>
                <w:lang w:val="en-US" w:eastAsia="zh-CN"/>
              </w:rPr>
              <w:t>t</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US" w:eastAsia="zh-CN"/>
              </w:rPr>
              <w:t>本项目危险废物暂存周期一般为</w:t>
            </w:r>
            <w:r>
              <w:rPr>
                <w:rFonts w:hint="eastAsia" w:cs="Times New Roman"/>
                <w:color w:val="auto"/>
                <w:sz w:val="24"/>
                <w:szCs w:val="24"/>
                <w:lang w:val="en-US" w:eastAsia="zh-CN"/>
              </w:rPr>
              <w:t>3个月</w:t>
            </w:r>
            <w:r>
              <w:rPr>
                <w:rFonts w:hint="default" w:ascii="Times New Roman" w:hAnsi="Times New Roman" w:cs="Times New Roman"/>
                <w:color w:val="auto"/>
                <w:sz w:val="24"/>
                <w:szCs w:val="24"/>
                <w:lang w:val="en-US" w:eastAsia="zh-CN"/>
              </w:rPr>
              <w:t>，暂存量</w:t>
            </w:r>
            <w:r>
              <w:rPr>
                <w:rFonts w:hint="eastAsia" w:ascii="Times New Roman" w:hAnsi="Times New Roman" w:cs="Times New Roman"/>
                <w:color w:val="auto"/>
                <w:sz w:val="24"/>
                <w:szCs w:val="24"/>
                <w:lang w:val="en-US" w:eastAsia="zh-CN"/>
              </w:rPr>
              <w:t>约</w:t>
            </w:r>
            <w:r>
              <w:rPr>
                <w:rFonts w:hint="default" w:ascii="Times New Roman" w:hAnsi="Times New Roman" w:cs="Times New Roman"/>
                <w:color w:val="auto"/>
                <w:sz w:val="24"/>
                <w:szCs w:val="24"/>
                <w:lang w:val="en-US" w:eastAsia="zh-CN"/>
              </w:rPr>
              <w:t>为</w:t>
            </w:r>
            <w:r>
              <w:rPr>
                <w:rFonts w:hint="eastAsia" w:cs="Times New Roman"/>
                <w:color w:val="auto"/>
                <w:sz w:val="24"/>
                <w:szCs w:val="24"/>
                <w:lang w:val="en-US" w:eastAsia="zh-CN"/>
              </w:rPr>
              <w:t>4.5</w:t>
            </w:r>
            <w:r>
              <w:rPr>
                <w:rFonts w:hint="default" w:ascii="Times New Roman" w:hAnsi="Times New Roman" w:cs="Times New Roman"/>
                <w:color w:val="auto"/>
                <w:sz w:val="24"/>
                <w:szCs w:val="24"/>
                <w:lang w:val="en-US" w:eastAsia="zh-CN"/>
              </w:rPr>
              <w:t>t，</w:t>
            </w:r>
            <w:r>
              <w:rPr>
                <w:rFonts w:hint="default" w:ascii="Times New Roman" w:hAnsi="Times New Roman" w:cs="Times New Roman"/>
                <w:color w:val="auto"/>
                <w:sz w:val="24"/>
                <w:szCs w:val="24"/>
                <w:lang w:eastAsia="zh-CN"/>
              </w:rPr>
              <w:t>满足本项目</w:t>
            </w:r>
            <w:r>
              <w:rPr>
                <w:rFonts w:hint="default" w:ascii="Times New Roman" w:hAnsi="Times New Roman" w:cs="Times New Roman"/>
                <w:color w:val="auto"/>
                <w:sz w:val="24"/>
                <w:szCs w:val="24"/>
              </w:rPr>
              <w:t>危险废物年产生量</w:t>
            </w:r>
            <w:r>
              <w:rPr>
                <w:rFonts w:hint="default" w:ascii="Times New Roman" w:hAnsi="Times New Roman" w:cs="Times New Roman"/>
                <w:color w:val="auto"/>
                <w:sz w:val="24"/>
                <w:szCs w:val="24"/>
                <w:lang w:val="en-US" w:eastAsia="zh-CN"/>
              </w:rPr>
              <w:t>，因此拟建危废库</w:t>
            </w:r>
            <w:r>
              <w:rPr>
                <w:rFonts w:hint="default" w:ascii="Times New Roman" w:hAnsi="Times New Roman" w:cs="Times New Roman"/>
                <w:color w:val="auto"/>
                <w:sz w:val="24"/>
                <w:szCs w:val="24"/>
              </w:rPr>
              <w:t>能够满足</w:t>
            </w:r>
            <w:r>
              <w:rPr>
                <w:rFonts w:hint="default" w:ascii="Times New Roman" w:hAnsi="Times New Roman" w:cs="Times New Roman"/>
                <w:color w:val="auto"/>
                <w:sz w:val="24"/>
                <w:szCs w:val="24"/>
                <w:lang w:eastAsia="zh-CN"/>
              </w:rPr>
              <w:t>本项目</w:t>
            </w:r>
            <w:r>
              <w:rPr>
                <w:rFonts w:hint="default" w:ascii="Times New Roman" w:hAnsi="Times New Roman" w:cs="Times New Roman"/>
                <w:color w:val="auto"/>
                <w:sz w:val="24"/>
                <w:szCs w:val="24"/>
              </w:rPr>
              <w:t>需求。</w:t>
            </w:r>
          </w:p>
          <w:p w14:paraId="511394C4">
            <w:pPr>
              <w:bidi w:val="0"/>
              <w:rPr>
                <w:rFonts w:hint="default" w:ascii="Times New Roman" w:hAnsi="Times New Roman" w:cs="Times New Roman"/>
                <w:color w:val="auto"/>
                <w:sz w:val="24"/>
                <w:szCs w:val="24"/>
              </w:rPr>
            </w:pPr>
            <w:r>
              <w:rPr>
                <w:rFonts w:hint="default" w:ascii="Times New Roman" w:hAnsi="Times New Roman" w:cs="Times New Roman"/>
                <w:color w:val="auto"/>
                <w:kern w:val="0"/>
                <w:sz w:val="24"/>
                <w:szCs w:val="24"/>
              </w:rPr>
              <w:t>本环评对危险暂存间提出如下要求：</w:t>
            </w:r>
          </w:p>
          <w:p w14:paraId="31BB80E7">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1）在项目危险固废临时贮存方面，本环评要求危废</w:t>
            </w:r>
            <w:r>
              <w:rPr>
                <w:rFonts w:hint="default" w:ascii="Times New Roman" w:hAnsi="Times New Roman" w:cs="Times New Roman"/>
                <w:color w:val="auto"/>
                <w:sz w:val="24"/>
                <w:szCs w:val="24"/>
                <w:lang w:eastAsia="zh-CN"/>
              </w:rPr>
              <w:t>库</w:t>
            </w:r>
            <w:r>
              <w:rPr>
                <w:rFonts w:hint="default" w:ascii="Times New Roman" w:hAnsi="Times New Roman" w:cs="Times New Roman"/>
                <w:color w:val="auto"/>
                <w:sz w:val="24"/>
                <w:szCs w:val="24"/>
              </w:rPr>
              <w:t>必须依照《危险废物贮存污染控制标准》（GB18597-2023）的要求进行建设。</w:t>
            </w:r>
          </w:p>
          <w:p w14:paraId="42090EAA">
            <w:pPr>
              <w:bidi w:val="0"/>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2）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w:t>
            </w:r>
            <w:r>
              <w:rPr>
                <w:rFonts w:hint="eastAsia" w:cs="Times New Roman"/>
                <w:color w:val="auto"/>
                <w:sz w:val="24"/>
                <w:szCs w:val="24"/>
                <w:lang w:eastAsia="zh-CN"/>
              </w:rPr>
              <w:t>（</w:t>
            </w:r>
            <w:r>
              <w:rPr>
                <w:rFonts w:hint="default" w:ascii="Times New Roman" w:hAnsi="Times New Roman" w:cs="Times New Roman"/>
                <w:color w:val="auto"/>
                <w:sz w:val="24"/>
                <w:szCs w:val="24"/>
              </w:rPr>
              <w:t>渗透系数不大于10</w:t>
            </w:r>
            <w:r>
              <w:rPr>
                <w:rFonts w:hint="default" w:ascii="Times New Roman" w:hAnsi="Times New Roman" w:cs="Times New Roman"/>
                <w:color w:val="auto"/>
                <w:sz w:val="24"/>
                <w:szCs w:val="24"/>
                <w:vertAlign w:val="superscript"/>
              </w:rPr>
              <w:t>-7</w:t>
            </w:r>
            <w:r>
              <w:rPr>
                <w:rFonts w:hint="default" w:ascii="Times New Roman" w:hAnsi="Times New Roman" w:cs="Times New Roman"/>
                <w:color w:val="auto"/>
                <w:sz w:val="24"/>
                <w:szCs w:val="24"/>
              </w:rPr>
              <w:t>cm/s</w:t>
            </w:r>
            <w:r>
              <w:rPr>
                <w:rFonts w:hint="eastAsia" w:cs="Times New Roman"/>
                <w:color w:val="auto"/>
                <w:sz w:val="24"/>
                <w:szCs w:val="24"/>
                <w:lang w:eastAsia="zh-CN"/>
              </w:rPr>
              <w:t>）</w:t>
            </w:r>
            <w:r>
              <w:rPr>
                <w:rFonts w:hint="default" w:ascii="Times New Roman" w:hAnsi="Times New Roman" w:cs="Times New Roman"/>
                <w:color w:val="auto"/>
                <w:sz w:val="24"/>
                <w:szCs w:val="24"/>
              </w:rPr>
              <w:t>或至少2mm厚高密度聚乙烯膜等人工防渗材料</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渗透系数不大于10</w:t>
            </w:r>
            <w:r>
              <w:rPr>
                <w:rFonts w:hint="default" w:ascii="Times New Roman" w:hAnsi="Times New Roman" w:cs="Times New Roman"/>
                <w:color w:val="auto"/>
                <w:sz w:val="24"/>
                <w:szCs w:val="24"/>
                <w:vertAlign w:val="superscript"/>
              </w:rPr>
              <w:t>-10</w:t>
            </w:r>
            <w:r>
              <w:rPr>
                <w:rFonts w:hint="default" w:ascii="Times New Roman" w:hAnsi="Times New Roman" w:cs="Times New Roman"/>
                <w:color w:val="auto"/>
                <w:sz w:val="24"/>
                <w:szCs w:val="24"/>
              </w:rPr>
              <w:t>cm/s</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，或其他防渗性能等效的材料</w:t>
            </w:r>
            <w:r>
              <w:rPr>
                <w:rFonts w:hint="default" w:ascii="Times New Roman" w:hAnsi="Times New Roman" w:cs="Times New Roman"/>
                <w:color w:val="auto"/>
                <w:sz w:val="24"/>
                <w:szCs w:val="24"/>
                <w:lang w:eastAsia="zh-CN"/>
              </w:rPr>
              <w:t>。</w:t>
            </w:r>
          </w:p>
          <w:p w14:paraId="42DFE15A">
            <w:pPr>
              <w:bidi w:val="0"/>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3）危废暂存间周边应设计建造径流疏导系统，定期对暂存间进行检查，发现破损，应及时进行修理</w:t>
            </w:r>
            <w:r>
              <w:rPr>
                <w:rFonts w:hint="default" w:ascii="Times New Roman" w:hAnsi="Times New Roman" w:cs="Times New Roman"/>
                <w:color w:val="auto"/>
                <w:sz w:val="24"/>
                <w:szCs w:val="24"/>
                <w:lang w:eastAsia="zh-CN"/>
              </w:rPr>
              <w:t>。</w:t>
            </w:r>
          </w:p>
          <w:p w14:paraId="0A0AC271">
            <w:pPr>
              <w:bidi w:val="0"/>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4）必须做好危险废物情况的</w:t>
            </w:r>
            <w:r>
              <w:rPr>
                <w:rFonts w:hint="eastAsia" w:cs="Times New Roman"/>
                <w:color w:val="auto"/>
                <w:sz w:val="24"/>
                <w:szCs w:val="24"/>
                <w:lang w:val="en-US" w:eastAsia="zh-CN"/>
              </w:rPr>
              <w:t>记录</w:t>
            </w:r>
            <w:r>
              <w:rPr>
                <w:rFonts w:hint="default" w:ascii="Times New Roman" w:hAnsi="Times New Roman" w:cs="Times New Roman"/>
                <w:color w:val="auto"/>
                <w:sz w:val="24"/>
                <w:szCs w:val="24"/>
              </w:rPr>
              <w:t>，记录上须注明危险废物的名称、来源、数量、特性和包装容器的类别、入库日期、堆放库位、废物出库日期及接收单位名称；记录需在危险废物外销日期后保留3年</w:t>
            </w:r>
            <w:r>
              <w:rPr>
                <w:rFonts w:hint="default" w:ascii="Times New Roman" w:hAnsi="Times New Roman" w:cs="Times New Roman"/>
                <w:color w:val="auto"/>
                <w:sz w:val="24"/>
                <w:szCs w:val="24"/>
                <w:lang w:eastAsia="zh-CN"/>
              </w:rPr>
              <w:t>。</w:t>
            </w:r>
          </w:p>
          <w:p w14:paraId="0D4E4FF6">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5）危废暂存间按照《中华人民共和国国家生态环境标准危险废物识别标志设置技术规范HJ 1276—2022》的规定设置警示标志，并且</w:t>
            </w:r>
            <w:r>
              <w:rPr>
                <w:rFonts w:hint="eastAsia" w:cs="Times New Roman"/>
                <w:color w:val="auto"/>
                <w:sz w:val="24"/>
                <w:szCs w:val="24"/>
                <w:lang w:eastAsia="zh-CN"/>
              </w:rPr>
              <w:t>标明</w:t>
            </w:r>
            <w:r>
              <w:rPr>
                <w:rFonts w:hint="default" w:ascii="Times New Roman" w:hAnsi="Times New Roman" w:cs="Times New Roman"/>
                <w:color w:val="auto"/>
                <w:sz w:val="24"/>
                <w:szCs w:val="24"/>
              </w:rPr>
              <w:t>废物的特性，装载危险废物的容器内应留有足够空间。</w:t>
            </w:r>
          </w:p>
          <w:p w14:paraId="330AD606">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6）根据包装形式、贮存量和转运周期情况确定。</w:t>
            </w:r>
          </w:p>
          <w:p w14:paraId="4375C801">
            <w:pPr>
              <w:bidi w:val="0"/>
              <w:ind w:left="0" w:leftChars="0" w:firstLine="0" w:firstLineChars="0"/>
              <w:rPr>
                <w:rFonts w:hint="default"/>
                <w:b/>
                <w:bCs/>
                <w:color w:val="auto"/>
              </w:rPr>
            </w:pPr>
            <w:r>
              <w:rPr>
                <w:rFonts w:hint="eastAsia"/>
                <w:b/>
                <w:bCs/>
                <w:color w:val="auto"/>
                <w:lang w:val="en-US" w:eastAsia="zh-CN"/>
              </w:rPr>
              <w:t xml:space="preserve">4.5 </w:t>
            </w:r>
            <w:r>
              <w:rPr>
                <w:rFonts w:hint="default"/>
                <w:b/>
                <w:bCs/>
                <w:color w:val="auto"/>
              </w:rPr>
              <w:t>运营期地下水和土壤环境影响和保护措施</w:t>
            </w:r>
          </w:p>
          <w:p w14:paraId="744DBFCE">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项目的生产运行是一个长期的过程。在项目运行过程中，有可能发生“跑、冒、滴、漏”等无法进行全面控制的情况。如</w:t>
            </w:r>
            <w:r>
              <w:rPr>
                <w:rFonts w:hint="default" w:ascii="Times New Roman" w:hAnsi="Times New Roman" w:cs="Times New Roman"/>
                <w:color w:val="auto"/>
                <w:sz w:val="24"/>
                <w:szCs w:val="24"/>
                <w:lang w:eastAsia="zh-CN"/>
              </w:rPr>
              <w:t>化学</w:t>
            </w:r>
            <w:r>
              <w:rPr>
                <w:rFonts w:hint="default" w:ascii="Times New Roman" w:hAnsi="Times New Roman" w:cs="Times New Roman"/>
                <w:color w:val="auto"/>
                <w:sz w:val="24"/>
                <w:szCs w:val="24"/>
              </w:rPr>
              <w:t>品包装容器破损、装卸过程中人为操作不当等可能导致</w:t>
            </w:r>
            <w:r>
              <w:rPr>
                <w:rFonts w:hint="eastAsia" w:cs="Times New Roman"/>
                <w:color w:val="auto"/>
                <w:sz w:val="24"/>
                <w:szCs w:val="24"/>
                <w:lang w:val="en-US" w:eastAsia="zh-CN"/>
              </w:rPr>
              <w:t>水性丙烯酸面漆</w:t>
            </w:r>
            <w:r>
              <w:rPr>
                <w:rFonts w:hint="default" w:ascii="Times New Roman" w:hAnsi="Times New Roman" w:cs="Times New Roman"/>
                <w:color w:val="auto"/>
                <w:sz w:val="24"/>
                <w:szCs w:val="24"/>
              </w:rPr>
              <w:t>泄漏；生产车间、</w:t>
            </w:r>
            <w:r>
              <w:rPr>
                <w:rFonts w:hint="default" w:ascii="Times New Roman" w:hAnsi="Times New Roman" w:cs="Times New Roman"/>
                <w:color w:val="auto"/>
                <w:sz w:val="24"/>
                <w:szCs w:val="24"/>
                <w:lang w:eastAsia="zh-CN"/>
              </w:rPr>
              <w:t>辅料</w:t>
            </w:r>
            <w:r>
              <w:rPr>
                <w:rFonts w:hint="default" w:ascii="Times New Roman" w:hAnsi="Times New Roman" w:cs="Times New Roman"/>
                <w:color w:val="auto"/>
                <w:sz w:val="24"/>
                <w:szCs w:val="24"/>
              </w:rPr>
              <w:t>库、危废暂存间、</w:t>
            </w:r>
            <w:r>
              <w:rPr>
                <w:rFonts w:hint="eastAsia" w:cs="Times New Roman"/>
                <w:color w:val="auto"/>
                <w:sz w:val="24"/>
                <w:szCs w:val="24"/>
                <w:lang w:eastAsia="zh-CN"/>
              </w:rPr>
              <w:t>泄漏</w:t>
            </w:r>
            <w:r>
              <w:rPr>
                <w:rFonts w:hint="default" w:ascii="Times New Roman" w:hAnsi="Times New Roman" w:cs="Times New Roman"/>
                <w:color w:val="auto"/>
                <w:sz w:val="24"/>
                <w:szCs w:val="24"/>
              </w:rPr>
              <w:t>的物料渗入地下，将会对地下水产生一定的影响。</w:t>
            </w:r>
          </w:p>
          <w:p w14:paraId="3A5C5553">
            <w:pPr>
              <w:shd w:val="clea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根据《环境影响评价技术导则 地下水环境》（HJ 610-2016）表7地下水防渗分区参照表，分区防渗方案如下：</w:t>
            </w:r>
          </w:p>
          <w:p w14:paraId="544996A6">
            <w:pPr>
              <w:shd w:val="clear"/>
              <w:bidi w:val="0"/>
              <w:rPr>
                <w:rFonts w:hint="default" w:ascii="Times New Roman" w:hAnsi="Times New Roman" w:cs="Times New Roman"/>
                <w:color w:val="auto"/>
                <w:sz w:val="24"/>
                <w:szCs w:val="24"/>
              </w:rPr>
            </w:pPr>
            <w:r>
              <w:rPr>
                <w:rFonts w:hint="eastAsia" w:cs="Times New Roman"/>
                <w:color w:val="auto"/>
                <w:sz w:val="24"/>
                <w:szCs w:val="24"/>
                <w:lang w:eastAsia="zh-CN"/>
              </w:rPr>
              <w:t>（</w:t>
            </w:r>
            <w:r>
              <w:rPr>
                <w:rFonts w:hint="eastAsia" w:cs="Times New Roman"/>
                <w:color w:val="auto"/>
                <w:sz w:val="24"/>
                <w:szCs w:val="24"/>
                <w:lang w:val="en-US" w:eastAsia="zh-CN"/>
              </w:rPr>
              <w:t>1</w:t>
            </w:r>
            <w:r>
              <w:rPr>
                <w:rFonts w:hint="eastAsia" w:cs="Times New Roman"/>
                <w:color w:val="auto"/>
                <w:sz w:val="24"/>
                <w:szCs w:val="24"/>
                <w:lang w:eastAsia="zh-CN"/>
              </w:rPr>
              <w:t>）</w:t>
            </w:r>
            <w:r>
              <w:rPr>
                <w:rFonts w:hint="default" w:ascii="Times New Roman" w:hAnsi="Times New Roman" w:cs="Times New Roman"/>
                <w:color w:val="auto"/>
                <w:sz w:val="24"/>
                <w:szCs w:val="24"/>
              </w:rPr>
              <w:t>重点防渗区：</w:t>
            </w:r>
            <w:r>
              <w:rPr>
                <w:rFonts w:hint="eastAsia"/>
                <w:color w:val="auto"/>
              </w:rPr>
              <w:t>危废暂存间</w:t>
            </w:r>
            <w:r>
              <w:rPr>
                <w:rFonts w:hint="eastAsia"/>
                <w:color w:val="auto"/>
                <w:lang w:eastAsia="zh-CN"/>
              </w:rPr>
              <w:t>、截流槽</w:t>
            </w:r>
            <w:r>
              <w:rPr>
                <w:rFonts w:hint="eastAsia"/>
                <w:color w:val="auto"/>
                <w:lang w:val="en-US" w:eastAsia="zh-CN"/>
              </w:rPr>
              <w:t>。</w:t>
            </w:r>
          </w:p>
          <w:p w14:paraId="622370B6">
            <w:pPr>
              <w:shd w:val="clear"/>
              <w:bidi w:val="0"/>
              <w:rPr>
                <w:rFonts w:hint="default" w:ascii="Times New Roman" w:hAnsi="Times New Roman" w:cs="Times New Roman"/>
                <w:color w:val="auto"/>
                <w:sz w:val="24"/>
                <w:szCs w:val="24"/>
              </w:rPr>
            </w:pPr>
            <w:r>
              <w:rPr>
                <w:rFonts w:hint="eastAsia" w:cs="Times New Roman"/>
                <w:color w:val="auto"/>
                <w:sz w:val="24"/>
                <w:szCs w:val="24"/>
                <w:lang w:eastAsia="zh-CN"/>
              </w:rPr>
              <w:t>（</w:t>
            </w:r>
            <w:r>
              <w:rPr>
                <w:rFonts w:hint="eastAsia" w:cs="Times New Roman"/>
                <w:color w:val="auto"/>
                <w:sz w:val="24"/>
                <w:szCs w:val="24"/>
                <w:lang w:val="en-US" w:eastAsia="zh-CN"/>
              </w:rPr>
              <w:t>2</w:t>
            </w:r>
            <w:r>
              <w:rPr>
                <w:rFonts w:hint="eastAsia" w:cs="Times New Roman"/>
                <w:color w:val="auto"/>
                <w:sz w:val="24"/>
                <w:szCs w:val="24"/>
                <w:lang w:eastAsia="zh-CN"/>
              </w:rPr>
              <w:t>）</w:t>
            </w:r>
            <w:r>
              <w:rPr>
                <w:rFonts w:hint="default" w:ascii="Times New Roman" w:hAnsi="Times New Roman" w:cs="Times New Roman"/>
                <w:color w:val="auto"/>
                <w:sz w:val="24"/>
                <w:szCs w:val="24"/>
              </w:rPr>
              <w:t>一般防渗区：</w:t>
            </w:r>
            <w:r>
              <w:rPr>
                <w:rFonts w:hint="eastAsia"/>
                <w:color w:val="auto"/>
                <w:lang w:val="en-US" w:eastAsia="zh-CN"/>
              </w:rPr>
              <w:t>辅料库、喷漆房和晾干房</w:t>
            </w:r>
            <w:r>
              <w:rPr>
                <w:rFonts w:hint="default" w:ascii="Times New Roman" w:hAnsi="Times New Roman" w:cs="Times New Roman"/>
                <w:color w:val="auto"/>
                <w:sz w:val="24"/>
                <w:szCs w:val="24"/>
              </w:rPr>
              <w:t>等。</w:t>
            </w:r>
          </w:p>
          <w:p w14:paraId="4D91B5E5">
            <w:pPr>
              <w:shd w:val="clear"/>
              <w:bidi w:val="0"/>
              <w:rPr>
                <w:rFonts w:hint="default" w:ascii="Times New Roman" w:hAnsi="Times New Roman" w:cs="Times New Roman"/>
                <w:color w:val="auto"/>
                <w:sz w:val="24"/>
                <w:szCs w:val="24"/>
              </w:rPr>
            </w:pPr>
            <w:r>
              <w:rPr>
                <w:rFonts w:hint="eastAsia" w:cs="Times New Roman"/>
                <w:color w:val="auto"/>
                <w:sz w:val="24"/>
                <w:szCs w:val="24"/>
                <w:lang w:eastAsia="zh-CN"/>
              </w:rPr>
              <w:t>（</w:t>
            </w:r>
            <w:r>
              <w:rPr>
                <w:rFonts w:hint="eastAsia" w:cs="Times New Roman"/>
                <w:color w:val="auto"/>
                <w:sz w:val="24"/>
                <w:szCs w:val="24"/>
                <w:lang w:val="en-US" w:eastAsia="zh-CN"/>
              </w:rPr>
              <w:t>3</w:t>
            </w:r>
            <w:r>
              <w:rPr>
                <w:rFonts w:hint="eastAsia" w:cs="Times New Roman"/>
                <w:color w:val="auto"/>
                <w:sz w:val="24"/>
                <w:szCs w:val="24"/>
                <w:lang w:eastAsia="zh-CN"/>
              </w:rPr>
              <w:t>）</w:t>
            </w:r>
            <w:r>
              <w:rPr>
                <w:rFonts w:hint="default" w:ascii="Times New Roman" w:hAnsi="Times New Roman" w:cs="Times New Roman"/>
                <w:color w:val="auto"/>
                <w:sz w:val="24"/>
                <w:szCs w:val="24"/>
              </w:rPr>
              <w:t>简单防渗区：</w:t>
            </w:r>
            <w:r>
              <w:rPr>
                <w:rFonts w:hint="eastAsia" w:cs="Times New Roman"/>
                <w:color w:val="auto"/>
                <w:sz w:val="24"/>
                <w:szCs w:val="24"/>
                <w:lang w:val="en-US" w:eastAsia="zh-CN"/>
              </w:rPr>
              <w:t>其他生产、储存区域、一般固废库、办公区等</w:t>
            </w:r>
            <w:r>
              <w:rPr>
                <w:rFonts w:hint="default" w:ascii="Times New Roman" w:hAnsi="Times New Roman" w:cs="Times New Roman"/>
                <w:color w:val="auto"/>
                <w:sz w:val="24"/>
                <w:szCs w:val="24"/>
              </w:rPr>
              <w:t>。</w:t>
            </w:r>
          </w:p>
          <w:p w14:paraId="4543C345">
            <w:pPr>
              <w:shd w:val="clear"/>
              <w:bidi w:val="0"/>
              <w:rPr>
                <w:rFonts w:hint="default" w:ascii="Times New Roman" w:hAnsi="Times New Roman" w:cs="Times New Roman"/>
                <w:color w:val="auto"/>
              </w:rPr>
            </w:pPr>
            <w:r>
              <w:rPr>
                <w:rFonts w:hint="eastAsia"/>
                <w:color w:val="auto"/>
              </w:rPr>
              <w:t>本项目防渗分区设施见</w:t>
            </w:r>
            <w:r>
              <w:rPr>
                <w:rFonts w:hint="default" w:ascii="Times New Roman" w:hAnsi="Times New Roman" w:cs="Times New Roman"/>
                <w:color w:val="auto"/>
              </w:rPr>
              <w:t>下表：</w:t>
            </w:r>
          </w:p>
          <w:p w14:paraId="195F1DF8">
            <w:pPr>
              <w:pStyle w:val="38"/>
              <w:bidi w:val="0"/>
              <w:rPr>
                <w:rFonts w:hint="default" w:ascii="Times New Roman" w:hAnsi="Times New Roman" w:cs="Times New Roman"/>
                <w:color w:val="auto"/>
              </w:rPr>
            </w:pPr>
            <w:r>
              <w:rPr>
                <w:rFonts w:hint="default" w:ascii="Times New Roman" w:hAnsi="Times New Roman" w:cs="Times New Roman"/>
                <w:color w:val="auto"/>
              </w:rPr>
              <w:t>表4-</w:t>
            </w:r>
            <w:r>
              <w:rPr>
                <w:rFonts w:hint="default" w:ascii="Times New Roman" w:hAnsi="Times New Roman" w:cs="Times New Roman"/>
                <w:color w:val="auto"/>
                <w:lang w:val="en-US" w:eastAsia="zh-CN"/>
              </w:rPr>
              <w:t>18</w:t>
            </w:r>
            <w:r>
              <w:rPr>
                <w:rFonts w:hint="default" w:ascii="Times New Roman" w:hAnsi="Times New Roman" w:cs="Times New Roman"/>
                <w:color w:val="auto"/>
              </w:rPr>
              <w:t xml:space="preserve">  本项目地下水防渗分区表</w:t>
            </w:r>
          </w:p>
          <w:tbl>
            <w:tblPr>
              <w:tblStyle w:val="31"/>
              <w:tblW w:w="84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
              <w:gridCol w:w="903"/>
              <w:gridCol w:w="3027"/>
              <w:gridCol w:w="3933"/>
            </w:tblGrid>
            <w:tr w14:paraId="55297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1" w:hRule="atLeast"/>
                <w:jc w:val="center"/>
              </w:trPr>
              <w:tc>
                <w:tcPr>
                  <w:tcW w:w="335" w:type="pct"/>
                  <w:tcBorders>
                    <w:tl2br w:val="nil"/>
                    <w:tr2bl w:val="nil"/>
                  </w:tcBorders>
                  <w:noWrap w:val="0"/>
                  <w:vAlign w:val="center"/>
                </w:tcPr>
                <w:p w14:paraId="2EBB07A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序号</w:t>
                  </w:r>
                </w:p>
              </w:tc>
              <w:tc>
                <w:tcPr>
                  <w:tcW w:w="535" w:type="pct"/>
                  <w:tcBorders>
                    <w:tl2br w:val="nil"/>
                    <w:tr2bl w:val="nil"/>
                  </w:tcBorders>
                  <w:noWrap w:val="0"/>
                  <w:vAlign w:val="center"/>
                </w:tcPr>
                <w:p w14:paraId="2A736DA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类别</w:t>
                  </w:r>
                </w:p>
              </w:tc>
              <w:tc>
                <w:tcPr>
                  <w:tcW w:w="1795" w:type="pct"/>
                  <w:tcBorders>
                    <w:tl2br w:val="nil"/>
                    <w:tr2bl w:val="nil"/>
                  </w:tcBorders>
                  <w:noWrap w:val="0"/>
                  <w:vAlign w:val="center"/>
                </w:tcPr>
                <w:p w14:paraId="1D60D7C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区域</w:t>
                  </w:r>
                </w:p>
              </w:tc>
              <w:tc>
                <w:tcPr>
                  <w:tcW w:w="2333" w:type="pct"/>
                  <w:tcBorders>
                    <w:tl2br w:val="nil"/>
                    <w:tr2bl w:val="nil"/>
                  </w:tcBorders>
                  <w:noWrap w:val="0"/>
                  <w:vAlign w:val="center"/>
                </w:tcPr>
                <w:p w14:paraId="551D614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p>
              </w:tc>
            </w:tr>
            <w:tr w14:paraId="42B324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35" w:type="pct"/>
                  <w:tcBorders>
                    <w:tl2br w:val="nil"/>
                    <w:tr2bl w:val="nil"/>
                  </w:tcBorders>
                  <w:noWrap w:val="0"/>
                  <w:vAlign w:val="center"/>
                </w:tcPr>
                <w:p w14:paraId="292FED4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1</w:t>
                  </w:r>
                </w:p>
              </w:tc>
              <w:tc>
                <w:tcPr>
                  <w:tcW w:w="535" w:type="pct"/>
                  <w:tcBorders>
                    <w:tl2br w:val="nil"/>
                    <w:tr2bl w:val="nil"/>
                  </w:tcBorders>
                  <w:noWrap w:val="0"/>
                  <w:vAlign w:val="center"/>
                </w:tcPr>
                <w:p w14:paraId="1015E3F0">
                  <w:pPr>
                    <w:pStyle w:val="37"/>
                    <w:keepNext w:val="0"/>
                    <w:keepLines w:val="0"/>
                    <w:pageBreakBefore w:val="0"/>
                    <w:widowControl w:val="0"/>
                    <w:shd w:val="clear"/>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重点防渗区</w:t>
                  </w:r>
                </w:p>
              </w:tc>
              <w:tc>
                <w:tcPr>
                  <w:tcW w:w="1795" w:type="pct"/>
                  <w:tcBorders>
                    <w:tl2br w:val="nil"/>
                    <w:tr2bl w:val="nil"/>
                  </w:tcBorders>
                  <w:noWrap w:val="0"/>
                  <w:vAlign w:val="center"/>
                </w:tcPr>
                <w:p w14:paraId="3155AFE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lang w:val="en-US"/>
                    </w:rPr>
                  </w:pPr>
                  <w:r>
                    <w:rPr>
                      <w:rFonts w:hint="default" w:ascii="Times New Roman" w:hAnsi="Times New Roman" w:cs="Times New Roman"/>
                      <w:b w:val="0"/>
                      <w:bCs/>
                      <w:color w:val="auto"/>
                    </w:rPr>
                    <w:t>危废暂存间</w:t>
                  </w:r>
                  <w:r>
                    <w:rPr>
                      <w:rFonts w:hint="default" w:ascii="Times New Roman" w:hAnsi="Times New Roman" w:cs="Times New Roman"/>
                      <w:b w:val="0"/>
                      <w:bCs/>
                      <w:color w:val="auto"/>
                      <w:lang w:val="en-US" w:eastAsia="zh-CN"/>
                    </w:rPr>
                    <w:t>进行重点防渗，辅料库和危废暂存间四周设计截流措施（集液槽，做重点防渗）</w:t>
                  </w:r>
                  <w:r>
                    <w:rPr>
                      <w:rFonts w:hint="eastAsia" w:ascii="Times New Roman" w:hAnsi="Times New Roman" w:cs="Times New Roman"/>
                      <w:b w:val="0"/>
                      <w:bCs/>
                      <w:color w:val="auto"/>
                      <w:lang w:val="en-US" w:eastAsia="zh-CN"/>
                    </w:rPr>
                    <w:t>。</w:t>
                  </w:r>
                </w:p>
              </w:tc>
              <w:tc>
                <w:tcPr>
                  <w:tcW w:w="2333" w:type="pct"/>
                  <w:tcBorders>
                    <w:tl2br w:val="nil"/>
                    <w:tr2bl w:val="nil"/>
                  </w:tcBorders>
                  <w:noWrap w:val="0"/>
                  <w:vAlign w:val="center"/>
                </w:tcPr>
                <w:p w14:paraId="57C56AF8">
                  <w:pPr>
                    <w:pStyle w:val="37"/>
                    <w:keepNext w:val="0"/>
                    <w:keepLines w:val="0"/>
                    <w:pageBreakBefore w:val="0"/>
                    <w:widowControl w:val="0"/>
                    <w:shd w:val="clear"/>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lang w:val="en-US" w:eastAsia="zh-CN"/>
                    </w:rPr>
                  </w:pPr>
                  <w:r>
                    <w:rPr>
                      <w:rFonts w:hint="eastAsia" w:ascii="Times New Roman" w:hAnsi="Times New Roman" w:cs="Times New Roman"/>
                      <w:b w:val="0"/>
                      <w:bCs/>
                      <w:color w:val="auto"/>
                      <w:lang w:val="en-US" w:eastAsia="zh-CN"/>
                    </w:rPr>
                    <w:t>满足《环境影响评价技术导则地下水环境》（HJ 610-2016）表7中重点防渗区等效黏土防渗层Mb≥6.0m，K≤1.0×10</w:t>
                  </w:r>
                  <w:r>
                    <w:rPr>
                      <w:rFonts w:hint="eastAsia" w:ascii="Times New Roman" w:hAnsi="Times New Roman" w:cs="Times New Roman"/>
                      <w:b w:val="0"/>
                      <w:bCs/>
                      <w:color w:val="auto"/>
                      <w:vertAlign w:val="superscript"/>
                      <w:lang w:val="en-US" w:eastAsia="zh-CN"/>
                    </w:rPr>
                    <w:t>-7</w:t>
                  </w:r>
                  <w:r>
                    <w:rPr>
                      <w:rFonts w:hint="eastAsia" w:ascii="Times New Roman" w:hAnsi="Times New Roman" w:cs="Times New Roman"/>
                      <w:b w:val="0"/>
                      <w:bCs/>
                      <w:color w:val="auto"/>
                      <w:lang w:val="en-US" w:eastAsia="zh-CN"/>
                    </w:rPr>
                    <w:t>cm/s；或参照GB18598要求。</w:t>
                  </w:r>
                </w:p>
              </w:tc>
            </w:tr>
            <w:tr w14:paraId="444F3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5" w:hRule="atLeast"/>
                <w:jc w:val="center"/>
              </w:trPr>
              <w:tc>
                <w:tcPr>
                  <w:tcW w:w="335" w:type="pct"/>
                  <w:tcBorders>
                    <w:tl2br w:val="nil"/>
                    <w:tr2bl w:val="nil"/>
                  </w:tcBorders>
                  <w:noWrap w:val="0"/>
                  <w:vAlign w:val="center"/>
                </w:tcPr>
                <w:p w14:paraId="76720ED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w:t>
                  </w:r>
                </w:p>
              </w:tc>
              <w:tc>
                <w:tcPr>
                  <w:tcW w:w="535" w:type="pct"/>
                  <w:tcBorders>
                    <w:tl2br w:val="nil"/>
                    <w:tr2bl w:val="nil"/>
                  </w:tcBorders>
                  <w:noWrap w:val="0"/>
                  <w:vAlign w:val="center"/>
                </w:tcPr>
                <w:p w14:paraId="307031D5">
                  <w:pPr>
                    <w:pStyle w:val="37"/>
                    <w:keepNext w:val="0"/>
                    <w:keepLines w:val="0"/>
                    <w:pageBreakBefore w:val="0"/>
                    <w:widowControl w:val="0"/>
                    <w:shd w:val="clear"/>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一般防渗区</w:t>
                  </w:r>
                </w:p>
              </w:tc>
              <w:tc>
                <w:tcPr>
                  <w:tcW w:w="1795" w:type="pct"/>
                  <w:tcBorders>
                    <w:tl2br w:val="nil"/>
                    <w:tr2bl w:val="nil"/>
                  </w:tcBorders>
                  <w:noWrap w:val="0"/>
                  <w:vAlign w:val="center"/>
                </w:tcPr>
                <w:p w14:paraId="1258535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lang w:val="en-US" w:eastAsia="zh-CN"/>
                    </w:rPr>
                  </w:pPr>
                  <w:r>
                    <w:rPr>
                      <w:rFonts w:hint="eastAsia" w:ascii="Times New Roman" w:hAnsi="Times New Roman" w:cs="Times New Roman"/>
                      <w:b w:val="0"/>
                      <w:bCs/>
                      <w:color w:val="auto"/>
                      <w:lang w:val="en-US" w:eastAsia="zh-CN"/>
                    </w:rPr>
                    <w:t>辅料库、喷漆房和晾干房。</w:t>
                  </w:r>
                </w:p>
              </w:tc>
              <w:tc>
                <w:tcPr>
                  <w:tcW w:w="2333" w:type="pct"/>
                  <w:tcBorders>
                    <w:tl2br w:val="nil"/>
                    <w:tr2bl w:val="nil"/>
                  </w:tcBorders>
                  <w:noWrap w:val="0"/>
                  <w:vAlign w:val="center"/>
                </w:tcPr>
                <w:p w14:paraId="3DBA36F9">
                  <w:pPr>
                    <w:pStyle w:val="37"/>
                    <w:keepNext w:val="0"/>
                    <w:keepLines w:val="0"/>
                    <w:pageBreakBefore w:val="0"/>
                    <w:widowControl w:val="0"/>
                    <w:shd w:val="clear"/>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eastAsia" w:ascii="Times New Roman" w:hAnsi="Times New Roman" w:cs="Times New Roman"/>
                      <w:b w:val="0"/>
                      <w:bCs/>
                      <w:color w:val="auto"/>
                      <w:lang w:val="en-US" w:eastAsia="zh-CN"/>
                    </w:rPr>
                    <w:t>满足《环境影响评价技术导则地下水环境》（HJ 610-2016）表7中一般防渗区等效黏土防渗层Mb≥1.5m，K≤1×10</w:t>
                  </w:r>
                  <w:r>
                    <w:rPr>
                      <w:rFonts w:hint="eastAsia" w:ascii="Times New Roman" w:hAnsi="Times New Roman" w:cs="Times New Roman"/>
                      <w:b w:val="0"/>
                      <w:bCs/>
                      <w:color w:val="auto"/>
                      <w:vertAlign w:val="superscript"/>
                      <w:lang w:val="en-US" w:eastAsia="zh-CN"/>
                    </w:rPr>
                    <w:t>-7</w:t>
                  </w:r>
                  <w:r>
                    <w:rPr>
                      <w:rFonts w:hint="eastAsia" w:ascii="Times New Roman" w:hAnsi="Times New Roman" w:cs="Times New Roman"/>
                      <w:b w:val="0"/>
                      <w:bCs/>
                      <w:color w:val="auto"/>
                      <w:lang w:val="en-US" w:eastAsia="zh-CN"/>
                    </w:rPr>
                    <w:t>cm/s的要求。</w:t>
                  </w:r>
                </w:p>
              </w:tc>
            </w:tr>
            <w:tr w14:paraId="0E24D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3" w:hRule="atLeast"/>
                <w:jc w:val="center"/>
              </w:trPr>
              <w:tc>
                <w:tcPr>
                  <w:tcW w:w="335" w:type="pct"/>
                  <w:tcBorders>
                    <w:tl2br w:val="nil"/>
                    <w:tr2bl w:val="nil"/>
                  </w:tcBorders>
                  <w:noWrap w:val="0"/>
                  <w:vAlign w:val="center"/>
                </w:tcPr>
                <w:p w14:paraId="0C55E34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w:t>
                  </w:r>
                </w:p>
              </w:tc>
              <w:tc>
                <w:tcPr>
                  <w:tcW w:w="535" w:type="pct"/>
                  <w:tcBorders>
                    <w:tl2br w:val="nil"/>
                    <w:tr2bl w:val="nil"/>
                  </w:tcBorders>
                  <w:noWrap w:val="0"/>
                  <w:vAlign w:val="center"/>
                </w:tcPr>
                <w:p w14:paraId="2AA16BC8">
                  <w:pPr>
                    <w:pStyle w:val="37"/>
                    <w:keepNext w:val="0"/>
                    <w:keepLines w:val="0"/>
                    <w:pageBreakBefore w:val="0"/>
                    <w:widowControl w:val="0"/>
                    <w:shd w:val="clear"/>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sz w:val="21"/>
                      <w:szCs w:val="21"/>
                      <w:lang w:val="en-US" w:eastAsia="zh-CN"/>
                    </w:rPr>
                    <w:t>简单防渗区</w:t>
                  </w:r>
                </w:p>
              </w:tc>
              <w:tc>
                <w:tcPr>
                  <w:tcW w:w="1795" w:type="pct"/>
                  <w:tcBorders>
                    <w:tl2br w:val="nil"/>
                    <w:tr2bl w:val="nil"/>
                  </w:tcBorders>
                  <w:noWrap w:val="0"/>
                  <w:vAlign w:val="center"/>
                </w:tcPr>
                <w:p w14:paraId="72E1AE6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auto"/>
                      <w:lang w:eastAsia="zh-CN"/>
                    </w:rPr>
                  </w:pPr>
                  <w:r>
                    <w:rPr>
                      <w:rFonts w:hint="default" w:ascii="Times New Roman" w:hAnsi="Times New Roman" w:cs="Times New Roman"/>
                      <w:b w:val="0"/>
                      <w:bCs/>
                      <w:color w:val="auto"/>
                    </w:rPr>
                    <w:t>其他生产、储存区域、一般固废库、办公区等</w:t>
                  </w:r>
                  <w:r>
                    <w:rPr>
                      <w:rFonts w:hint="eastAsia" w:ascii="Times New Roman" w:hAnsi="Times New Roman" w:cs="Times New Roman"/>
                      <w:b w:val="0"/>
                      <w:bCs/>
                      <w:color w:val="auto"/>
                      <w:lang w:eastAsia="zh-CN"/>
                    </w:rPr>
                    <w:t>。</w:t>
                  </w:r>
                </w:p>
              </w:tc>
              <w:tc>
                <w:tcPr>
                  <w:tcW w:w="2333" w:type="pct"/>
                  <w:tcBorders>
                    <w:tl2br w:val="nil"/>
                    <w:tr2bl w:val="nil"/>
                  </w:tcBorders>
                  <w:noWrap w:val="0"/>
                  <w:vAlign w:val="center"/>
                </w:tcPr>
                <w:p w14:paraId="0D0BD070">
                  <w:pPr>
                    <w:pStyle w:val="37"/>
                    <w:keepNext w:val="0"/>
                    <w:keepLines w:val="0"/>
                    <w:pageBreakBefore w:val="0"/>
                    <w:widowControl w:val="0"/>
                    <w:shd w:val="clear"/>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rPr>
                  </w:pPr>
                  <w:r>
                    <w:rPr>
                      <w:rFonts w:hint="eastAsia" w:ascii="Times New Roman" w:hAnsi="Times New Roman" w:cs="Times New Roman"/>
                      <w:b w:val="0"/>
                      <w:bCs/>
                      <w:color w:val="auto"/>
                      <w:lang w:val="en-US" w:eastAsia="zh-CN"/>
                    </w:rPr>
                    <w:t>一般地面硬化。</w:t>
                  </w:r>
                </w:p>
              </w:tc>
            </w:tr>
          </w:tbl>
          <w:p w14:paraId="0515CE38">
            <w:pPr>
              <w:bidi w:val="0"/>
              <w:ind w:left="0" w:leftChars="0" w:firstLine="0" w:firstLineChars="0"/>
              <w:rPr>
                <w:rFonts w:hint="default"/>
                <w:b/>
                <w:bCs/>
                <w:color w:val="auto"/>
                <w:lang w:val="en-US" w:eastAsia="zh-CN"/>
              </w:rPr>
            </w:pPr>
            <w:r>
              <w:rPr>
                <w:rFonts w:hint="eastAsia"/>
                <w:b/>
                <w:bCs/>
                <w:color w:val="auto"/>
                <w:lang w:val="en-US" w:eastAsia="zh-CN"/>
              </w:rPr>
              <w:t xml:space="preserve">4.6 </w:t>
            </w:r>
            <w:r>
              <w:rPr>
                <w:rFonts w:hint="default"/>
                <w:b/>
                <w:bCs/>
                <w:color w:val="auto"/>
              </w:rPr>
              <w:t>环境风险</w:t>
            </w:r>
            <w:r>
              <w:rPr>
                <w:rFonts w:hint="default"/>
                <w:b/>
                <w:bCs/>
                <w:color w:val="auto"/>
                <w:lang w:val="en-US" w:eastAsia="zh-CN"/>
              </w:rPr>
              <w:t>评价</w:t>
            </w:r>
          </w:p>
          <w:p w14:paraId="3D2C1982">
            <w:pPr>
              <w:bidi w:val="0"/>
              <w:ind w:left="0" w:leftChars="0" w:firstLine="0" w:firstLineChars="0"/>
              <w:rPr>
                <w:rFonts w:hint="default" w:ascii="Times New Roman" w:hAnsi="Times New Roman" w:cs="Times New Roman"/>
                <w:b/>
                <w:bCs/>
                <w:color w:val="auto"/>
                <w:kern w:val="0"/>
                <w:szCs w:val="24"/>
              </w:rPr>
            </w:pPr>
            <w:r>
              <w:rPr>
                <w:rFonts w:hint="eastAsia"/>
                <w:b/>
                <w:bCs/>
                <w:color w:val="auto"/>
                <w:lang w:val="en-US" w:eastAsia="zh-CN"/>
              </w:rPr>
              <w:t>4.</w:t>
            </w:r>
            <w:r>
              <w:rPr>
                <w:rFonts w:hint="default"/>
                <w:b/>
                <w:bCs/>
                <w:color w:val="auto"/>
              </w:rPr>
              <w:t>6.1</w:t>
            </w:r>
            <w:r>
              <w:rPr>
                <w:rFonts w:hint="eastAsia"/>
                <w:b/>
                <w:bCs/>
                <w:color w:val="auto"/>
                <w:lang w:val="en-US" w:eastAsia="zh-CN"/>
              </w:rPr>
              <w:t xml:space="preserve"> </w:t>
            </w:r>
            <w:r>
              <w:rPr>
                <w:rFonts w:hint="default"/>
                <w:b/>
                <w:bCs/>
                <w:color w:val="auto"/>
              </w:rPr>
              <w:t>物质危险性识</w:t>
            </w:r>
            <w:r>
              <w:rPr>
                <w:rFonts w:hint="default" w:ascii="Times New Roman" w:hAnsi="Times New Roman" w:cs="Times New Roman"/>
                <w:b/>
                <w:bCs/>
                <w:color w:val="auto"/>
                <w:kern w:val="0"/>
                <w:szCs w:val="24"/>
              </w:rPr>
              <w:t>别与分析</w:t>
            </w:r>
          </w:p>
          <w:p w14:paraId="55E65E6F">
            <w:pPr>
              <w:widowControl/>
              <w:spacing w:line="360" w:lineRule="auto"/>
              <w:ind w:firstLine="480" w:firstLineChars="200"/>
              <w:jc w:val="left"/>
              <w:rPr>
                <w:rFonts w:hint="default" w:ascii="Times New Roman" w:hAnsi="Times New Roman" w:cs="Times New Roman"/>
                <w:color w:val="auto"/>
                <w:kern w:val="0"/>
                <w:sz w:val="24"/>
                <w:szCs w:val="24"/>
                <w:lang w:val="en-US" w:eastAsia="zh-CN"/>
              </w:rPr>
            </w:pPr>
            <w:r>
              <w:rPr>
                <w:rFonts w:hint="default" w:ascii="Times New Roman" w:hAnsi="Times New Roman" w:cs="Times New Roman"/>
                <w:color w:val="auto"/>
                <w:kern w:val="0"/>
                <w:sz w:val="24"/>
                <w:szCs w:val="24"/>
              </w:rPr>
              <w:t>按照《建设项目环境风险评价技术导则》（HJ169-2018），</w:t>
            </w:r>
            <w:r>
              <w:rPr>
                <w:color w:val="auto"/>
                <w:kern w:val="0"/>
                <w:szCs w:val="21"/>
              </w:rPr>
              <w:t>本</w:t>
            </w:r>
            <w:r>
              <w:rPr>
                <w:rFonts w:hint="eastAsia"/>
                <w:color w:val="auto"/>
                <w:kern w:val="0"/>
                <w:szCs w:val="21"/>
                <w:lang w:val="en-US" w:eastAsia="zh-CN"/>
              </w:rPr>
              <w:t>项目建成后，全厂风险物质为润滑油、水性丙烯酸面漆、废气中的铜及其化合物以及</w:t>
            </w:r>
            <w:r>
              <w:rPr>
                <w:rFonts w:hint="eastAsia"/>
                <w:color w:val="auto"/>
                <w:kern w:val="0"/>
                <w:szCs w:val="21"/>
              </w:rPr>
              <w:t>危险废物</w:t>
            </w:r>
            <w:r>
              <w:rPr>
                <w:rFonts w:hint="default" w:ascii="Times New Roman" w:hAnsi="Times New Roman" w:cs="Times New Roman"/>
                <w:color w:val="auto"/>
                <w:kern w:val="0"/>
                <w:sz w:val="24"/>
                <w:szCs w:val="24"/>
                <w:lang w:eastAsia="zh-CN"/>
              </w:rPr>
              <w:t>（</w:t>
            </w:r>
            <w:r>
              <w:rPr>
                <w:rFonts w:hint="eastAsia" w:cs="Times New Roman"/>
                <w:color w:val="auto"/>
                <w:kern w:val="0"/>
                <w:sz w:val="24"/>
                <w:szCs w:val="24"/>
                <w:lang w:val="en-US" w:eastAsia="zh-CN"/>
              </w:rPr>
              <w:t>机加工更换废液，废水性丙烯酸面漆桶，漆渣，喷枪清洗废液，废润滑油和废润滑油桶，含油抹布、手套，废滤芯，废活性炭</w:t>
            </w:r>
            <w:r>
              <w:rPr>
                <w:rFonts w:hint="default" w:ascii="Times New Roman" w:hAnsi="Times New Roman" w:cs="Times New Roman"/>
                <w:color w:val="auto"/>
                <w:kern w:val="0"/>
                <w:sz w:val="24"/>
                <w:szCs w:val="24"/>
                <w:lang w:val="en-US" w:eastAsia="zh-CN"/>
              </w:rPr>
              <w:t>）。</w:t>
            </w:r>
          </w:p>
          <w:p w14:paraId="7B0735FD">
            <w:pPr>
              <w:bidi w:val="0"/>
              <w:ind w:left="0" w:leftChars="0" w:firstLine="0" w:firstLineChars="0"/>
              <w:rPr>
                <w:rFonts w:hint="default"/>
                <w:b/>
                <w:bCs/>
                <w:color w:val="auto"/>
              </w:rPr>
            </w:pPr>
            <w:r>
              <w:rPr>
                <w:rFonts w:hint="eastAsia"/>
                <w:b/>
                <w:bCs/>
                <w:color w:val="auto"/>
                <w:lang w:val="en-US" w:eastAsia="zh-CN"/>
              </w:rPr>
              <w:t>4.</w:t>
            </w:r>
            <w:r>
              <w:rPr>
                <w:rFonts w:hint="default"/>
                <w:b/>
                <w:bCs/>
                <w:color w:val="auto"/>
                <w:lang w:val="en-US" w:eastAsia="zh-CN"/>
              </w:rPr>
              <w:t>6.2</w:t>
            </w:r>
            <w:r>
              <w:rPr>
                <w:rFonts w:hint="eastAsia"/>
                <w:b/>
                <w:bCs/>
                <w:color w:val="auto"/>
                <w:lang w:val="en-US" w:eastAsia="zh-CN"/>
              </w:rPr>
              <w:t xml:space="preserve"> </w:t>
            </w:r>
            <w:r>
              <w:rPr>
                <w:rFonts w:hint="default"/>
                <w:b/>
                <w:bCs/>
                <w:color w:val="auto"/>
              </w:rPr>
              <w:t>风险潜势初判</w:t>
            </w:r>
          </w:p>
          <w:p w14:paraId="78DBBD01">
            <w:pPr>
              <w:widowControl/>
              <w:spacing w:line="360" w:lineRule="auto"/>
              <w:ind w:firstLine="480" w:firstLineChars="200"/>
              <w:jc w:val="left"/>
              <w:rPr>
                <w:rFonts w:hint="default" w:ascii="Times New Roman" w:hAnsi="Times New Roman" w:cs="Times New Roman"/>
                <w:b w:val="0"/>
                <w:bCs w:val="0"/>
                <w:color w:val="auto"/>
                <w:kern w:val="0"/>
                <w:sz w:val="24"/>
                <w:szCs w:val="24"/>
              </w:rPr>
            </w:pPr>
            <w:r>
              <w:rPr>
                <w:rFonts w:hint="default" w:ascii="Times New Roman" w:hAnsi="Times New Roman" w:cs="Times New Roman"/>
                <w:b w:val="0"/>
                <w:bCs w:val="0"/>
                <w:color w:val="auto"/>
                <w:kern w:val="0"/>
                <w:sz w:val="24"/>
                <w:szCs w:val="24"/>
              </w:rPr>
              <w:t>按照《建设项目环境风险评价导则》（HJ169-2018），定量分析危险物质数量与临界量的比值（Q）和所属行业及生产工艺特点（M），按附录C对危险物质及工艺系统危险性（P）等级进行判断。危险物质数量与临界量比值（Q）分为以下两种情况：</w:t>
            </w:r>
          </w:p>
          <w:p w14:paraId="7E0D8FC7">
            <w:pPr>
              <w:widowControl/>
              <w:spacing w:line="360" w:lineRule="auto"/>
              <w:ind w:firstLine="480" w:firstLineChars="200"/>
              <w:jc w:val="left"/>
              <w:rPr>
                <w:rFonts w:hint="default" w:ascii="Times New Roman" w:hAnsi="Times New Roman" w:cs="Times New Roman"/>
                <w:b w:val="0"/>
                <w:bCs w:val="0"/>
                <w:color w:val="auto"/>
                <w:kern w:val="0"/>
                <w:sz w:val="24"/>
                <w:szCs w:val="24"/>
              </w:rPr>
            </w:pPr>
            <w:r>
              <w:rPr>
                <w:rFonts w:hint="default" w:ascii="Times New Roman" w:hAnsi="Times New Roman" w:cs="Times New Roman"/>
                <w:b w:val="0"/>
                <w:bCs w:val="0"/>
                <w:color w:val="auto"/>
                <w:kern w:val="0"/>
                <w:sz w:val="24"/>
                <w:szCs w:val="24"/>
              </w:rPr>
              <w:t>1）当只涉及一种危险物质时，计算该物质的总量与其临界量比值，即为Q；</w:t>
            </w:r>
          </w:p>
          <w:p w14:paraId="5CCA5876">
            <w:pPr>
              <w:widowControl/>
              <w:spacing w:line="360" w:lineRule="auto"/>
              <w:ind w:firstLine="480" w:firstLineChars="200"/>
              <w:jc w:val="left"/>
              <w:rPr>
                <w:rFonts w:hint="default" w:ascii="Times New Roman" w:hAnsi="Times New Roman" w:eastAsia="宋体" w:cs="Times New Roman"/>
                <w:b w:val="0"/>
                <w:bCs w:val="0"/>
                <w:color w:val="auto"/>
                <w:kern w:val="0"/>
                <w:sz w:val="24"/>
                <w:szCs w:val="24"/>
                <w:lang w:eastAsia="zh-CN"/>
              </w:rPr>
            </w:pPr>
            <w:r>
              <w:rPr>
                <w:rFonts w:hint="default" w:ascii="Times New Roman" w:hAnsi="Times New Roman" w:cs="Times New Roman"/>
                <w:b w:val="0"/>
                <w:bCs w:val="0"/>
                <w:color w:val="auto"/>
                <w:kern w:val="0"/>
                <w:sz w:val="24"/>
                <w:szCs w:val="24"/>
              </w:rPr>
              <w:t>2）当存在多种危险物质时，则按下式计算物质总量与其临界量比值（Q）</w:t>
            </w:r>
            <w:r>
              <w:rPr>
                <w:rFonts w:hint="default" w:ascii="Times New Roman" w:hAnsi="Times New Roman" w:cs="Times New Roman"/>
                <w:b w:val="0"/>
                <w:bCs w:val="0"/>
                <w:color w:val="auto"/>
                <w:kern w:val="0"/>
                <w:sz w:val="24"/>
                <w:szCs w:val="24"/>
                <w:lang w:eastAsia="zh-CN"/>
              </w:rPr>
              <w:t>；</w:t>
            </w:r>
          </w:p>
          <w:p w14:paraId="0420A774">
            <w:pPr>
              <w:widowControl/>
              <w:spacing w:line="360" w:lineRule="auto"/>
              <w:ind w:firstLine="480" w:firstLineChars="200"/>
              <w:jc w:val="left"/>
              <w:rPr>
                <w:rFonts w:hint="default" w:ascii="Times New Roman" w:hAnsi="Times New Roman" w:cs="Times New Roman"/>
                <w:b w:val="0"/>
                <w:bCs w:val="0"/>
                <w:color w:val="auto"/>
                <w:kern w:val="0"/>
                <w:sz w:val="24"/>
                <w:szCs w:val="24"/>
              </w:rPr>
            </w:pPr>
            <w:r>
              <w:rPr>
                <w:rFonts w:hint="default" w:ascii="Times New Roman" w:hAnsi="Times New Roman" w:cs="Times New Roman"/>
                <w:b w:val="0"/>
                <w:bCs w:val="0"/>
                <w:color w:val="auto"/>
                <w:kern w:val="0"/>
                <w:sz w:val="24"/>
                <w:szCs w:val="24"/>
              </w:rPr>
              <w:t>式中：q1</w:t>
            </w:r>
            <w:r>
              <w:rPr>
                <w:rFonts w:hint="eastAsia" w:cs="Times New Roman"/>
                <w:b w:val="0"/>
                <w:bCs w:val="0"/>
                <w:color w:val="auto"/>
                <w:kern w:val="0"/>
                <w:sz w:val="24"/>
                <w:szCs w:val="24"/>
                <w:lang w:eastAsia="zh-CN"/>
              </w:rPr>
              <w:t>，</w:t>
            </w:r>
            <w:r>
              <w:rPr>
                <w:rFonts w:hint="default" w:ascii="Times New Roman" w:hAnsi="Times New Roman" w:cs="Times New Roman"/>
                <w:b w:val="0"/>
                <w:bCs w:val="0"/>
                <w:color w:val="auto"/>
                <w:kern w:val="0"/>
                <w:sz w:val="24"/>
                <w:szCs w:val="24"/>
              </w:rPr>
              <w:t>q2，…,qn——每种危险物质的最大存在量，t；</w:t>
            </w:r>
          </w:p>
          <w:p w14:paraId="5A8B2267">
            <w:pPr>
              <w:widowControl/>
              <w:spacing w:line="360" w:lineRule="auto"/>
              <w:ind w:firstLine="480" w:firstLineChars="200"/>
              <w:jc w:val="left"/>
              <w:rPr>
                <w:rFonts w:hint="default" w:ascii="Times New Roman" w:hAnsi="Times New Roman" w:cs="Times New Roman"/>
                <w:b w:val="0"/>
                <w:bCs w:val="0"/>
                <w:color w:val="auto"/>
                <w:kern w:val="0"/>
                <w:sz w:val="24"/>
                <w:szCs w:val="24"/>
              </w:rPr>
            </w:pPr>
            <w:r>
              <w:rPr>
                <w:rFonts w:hint="default" w:ascii="Times New Roman" w:hAnsi="Times New Roman" w:cs="Times New Roman"/>
                <w:b w:val="0"/>
                <w:bCs w:val="0"/>
                <w:color w:val="auto"/>
                <w:kern w:val="0"/>
                <w:sz w:val="24"/>
                <w:szCs w:val="24"/>
              </w:rPr>
              <w:t>Q1,Q2,…,Qn——每种危险物质的临界量，t；</w:t>
            </w:r>
          </w:p>
          <w:p w14:paraId="53D2D69F">
            <w:pPr>
              <w:widowControl/>
              <w:spacing w:line="360" w:lineRule="auto"/>
              <w:ind w:firstLine="480" w:firstLineChars="200"/>
              <w:jc w:val="left"/>
              <w:rPr>
                <w:rFonts w:hint="default" w:ascii="Times New Roman" w:hAnsi="Times New Roman" w:cs="Times New Roman"/>
                <w:b w:val="0"/>
                <w:bCs w:val="0"/>
                <w:color w:val="auto"/>
                <w:kern w:val="0"/>
                <w:sz w:val="24"/>
                <w:szCs w:val="24"/>
              </w:rPr>
            </w:pPr>
            <w:r>
              <w:rPr>
                <w:rFonts w:hint="default" w:ascii="Times New Roman" w:hAnsi="Times New Roman" w:cs="Times New Roman"/>
                <w:b w:val="0"/>
                <w:bCs w:val="0"/>
                <w:color w:val="auto"/>
                <w:kern w:val="0"/>
                <w:sz w:val="24"/>
                <w:szCs w:val="24"/>
              </w:rPr>
              <w:t>当Q＜1时，该项目环境风险潜势为Ⅰ；</w:t>
            </w:r>
          </w:p>
          <w:p w14:paraId="254791A0">
            <w:pPr>
              <w:widowControl/>
              <w:spacing w:line="360" w:lineRule="auto"/>
              <w:ind w:firstLine="480" w:firstLineChars="200"/>
              <w:jc w:val="left"/>
              <w:rPr>
                <w:rFonts w:hint="default" w:ascii="Times New Roman" w:hAnsi="Times New Roman" w:cs="Times New Roman"/>
                <w:b w:val="0"/>
                <w:bCs w:val="0"/>
                <w:color w:val="auto"/>
                <w:kern w:val="0"/>
                <w:sz w:val="24"/>
                <w:szCs w:val="24"/>
              </w:rPr>
            </w:pPr>
            <w:r>
              <w:rPr>
                <w:rFonts w:hint="default" w:ascii="Times New Roman" w:hAnsi="Times New Roman" w:cs="Times New Roman"/>
                <w:b w:val="0"/>
                <w:bCs w:val="0"/>
                <w:color w:val="auto"/>
                <w:kern w:val="0"/>
                <w:sz w:val="24"/>
                <w:szCs w:val="24"/>
              </w:rPr>
              <w:t>当Q≥1时，将Q值划分为：（1）1≤Q＜10；（2）10≤Q＜100；（3）Q≥100。</w:t>
            </w:r>
          </w:p>
          <w:p w14:paraId="0B9008BA">
            <w:pPr>
              <w:widowControl/>
              <w:spacing w:line="360" w:lineRule="auto"/>
              <w:ind w:firstLine="480" w:firstLineChars="200"/>
              <w:jc w:val="left"/>
              <w:rPr>
                <w:rFonts w:hint="default" w:ascii="Times New Roman" w:hAnsi="Times New Roman" w:cs="Times New Roman"/>
                <w:color w:val="auto"/>
                <w:kern w:val="0"/>
                <w:szCs w:val="21"/>
                <w:lang w:val="en-US" w:eastAsia="zh-CN"/>
              </w:rPr>
            </w:pPr>
            <w:r>
              <w:rPr>
                <w:rFonts w:hint="default" w:ascii="Times New Roman" w:hAnsi="Times New Roman" w:cs="Times New Roman"/>
                <w:b w:val="0"/>
                <w:bCs w:val="0"/>
                <w:color w:val="auto"/>
                <w:kern w:val="0"/>
                <w:sz w:val="24"/>
                <w:szCs w:val="24"/>
                <w:lang w:eastAsia="zh-CN"/>
              </w:rPr>
              <w:t>本项目</w:t>
            </w:r>
            <w:r>
              <w:rPr>
                <w:rFonts w:hint="eastAsia" w:cs="Times New Roman"/>
                <w:b w:val="0"/>
                <w:bCs w:val="0"/>
                <w:color w:val="auto"/>
                <w:kern w:val="0"/>
                <w:sz w:val="24"/>
                <w:szCs w:val="24"/>
                <w:lang w:val="en-US" w:eastAsia="zh-CN"/>
              </w:rPr>
              <w:t>建成后全厂</w:t>
            </w:r>
            <w:r>
              <w:rPr>
                <w:rFonts w:hint="default" w:ascii="Times New Roman" w:hAnsi="Times New Roman" w:cs="Times New Roman"/>
                <w:b w:val="0"/>
                <w:bCs w:val="0"/>
                <w:color w:val="auto"/>
                <w:kern w:val="0"/>
                <w:sz w:val="24"/>
                <w:szCs w:val="24"/>
              </w:rPr>
              <w:t>涉及到的各类危险物质的最大数量（生产场所使用量和储存量之和）和临界量比值</w:t>
            </w:r>
            <w:r>
              <w:rPr>
                <w:rFonts w:hint="default" w:ascii="Times New Roman" w:hAnsi="Times New Roman" w:cs="Times New Roman"/>
                <w:b w:val="0"/>
                <w:bCs w:val="0"/>
                <w:color w:val="auto"/>
                <w:kern w:val="0"/>
                <w:sz w:val="24"/>
                <w:szCs w:val="24"/>
                <w:lang w:eastAsia="zh-CN"/>
              </w:rPr>
              <w:t>以及</w:t>
            </w:r>
            <w:r>
              <w:rPr>
                <w:rFonts w:hint="default" w:ascii="Times New Roman" w:hAnsi="Times New Roman" w:cs="Times New Roman"/>
                <w:color w:val="auto"/>
                <w:kern w:val="0"/>
                <w:sz w:val="24"/>
                <w:szCs w:val="24"/>
              </w:rPr>
              <w:t>环境风险Q值</w:t>
            </w:r>
            <w:r>
              <w:rPr>
                <w:rFonts w:hint="default" w:ascii="Times New Roman" w:hAnsi="Times New Roman" w:cs="Times New Roman"/>
                <w:b w:val="0"/>
                <w:bCs w:val="0"/>
                <w:color w:val="auto"/>
                <w:kern w:val="0"/>
                <w:sz w:val="24"/>
                <w:szCs w:val="24"/>
              </w:rPr>
              <w:t>计算见下表</w:t>
            </w:r>
            <w:r>
              <w:rPr>
                <w:rFonts w:hint="default" w:ascii="Times New Roman" w:hAnsi="Times New Roman" w:cs="Times New Roman"/>
                <w:color w:val="auto"/>
                <w:kern w:val="0"/>
                <w:sz w:val="24"/>
                <w:szCs w:val="24"/>
              </w:rPr>
              <w:t>4</w:t>
            </w:r>
            <w:r>
              <w:rPr>
                <w:rFonts w:hint="default" w:ascii="Times New Roman" w:hAnsi="Times New Roman" w:cs="Times New Roman"/>
                <w:color w:val="auto"/>
                <w:kern w:val="0"/>
                <w:sz w:val="24"/>
                <w:szCs w:val="24"/>
                <w:lang w:val="en-US" w:eastAsia="zh-CN"/>
              </w:rPr>
              <w:t>-</w:t>
            </w:r>
            <w:r>
              <w:rPr>
                <w:rFonts w:hint="eastAsia" w:cs="Times New Roman"/>
                <w:color w:val="auto"/>
                <w:kern w:val="0"/>
                <w:sz w:val="24"/>
                <w:szCs w:val="24"/>
                <w:lang w:val="en-US" w:eastAsia="zh-CN"/>
              </w:rPr>
              <w:t>19</w:t>
            </w:r>
            <w:r>
              <w:rPr>
                <w:rFonts w:hint="default" w:ascii="Times New Roman" w:hAnsi="Times New Roman" w:cs="Times New Roman"/>
                <w:color w:val="auto"/>
                <w:kern w:val="0"/>
                <w:sz w:val="24"/>
                <w:szCs w:val="24"/>
                <w:lang w:val="en-US" w:eastAsia="zh-CN"/>
              </w:rPr>
              <w:t>。</w:t>
            </w:r>
          </w:p>
          <w:p w14:paraId="6E06DA21">
            <w:pPr>
              <w:pStyle w:val="38"/>
              <w:bidi w:val="0"/>
              <w:rPr>
                <w:rFonts w:hint="default" w:ascii="Times New Roman" w:hAnsi="Times New Roman" w:cs="Times New Roman"/>
                <w:color w:val="auto"/>
              </w:rPr>
            </w:pPr>
            <w:r>
              <w:rPr>
                <w:rFonts w:hint="default" w:ascii="Times New Roman" w:hAnsi="Times New Roman" w:cs="Times New Roman"/>
                <w:color w:val="auto"/>
              </w:rPr>
              <w:t>表</w:t>
            </w:r>
            <w:r>
              <w:rPr>
                <w:rFonts w:hint="default" w:ascii="Times New Roman" w:hAnsi="Times New Roman" w:cs="Times New Roman"/>
                <w:color w:val="auto"/>
                <w:lang w:val="en-US" w:eastAsia="zh-CN"/>
              </w:rPr>
              <w:t>4</w:t>
            </w:r>
            <w:r>
              <w:rPr>
                <w:rFonts w:hint="default" w:ascii="Times New Roman" w:hAnsi="Times New Roman" w:cs="Times New Roman"/>
                <w:color w:val="auto"/>
              </w:rPr>
              <w:t>-</w:t>
            </w:r>
            <w:r>
              <w:rPr>
                <w:rFonts w:hint="eastAsia" w:cs="Times New Roman"/>
                <w:color w:val="auto"/>
                <w:lang w:val="en-US" w:eastAsia="zh-CN"/>
              </w:rPr>
              <w:t>19</w:t>
            </w:r>
            <w:r>
              <w:rPr>
                <w:rFonts w:hint="default" w:ascii="Times New Roman" w:hAnsi="Times New Roman" w:cs="Times New Roman"/>
                <w:color w:val="auto"/>
              </w:rPr>
              <w:t xml:space="preserve">  </w:t>
            </w:r>
            <w:r>
              <w:rPr>
                <w:rFonts w:hint="default" w:ascii="Times New Roman" w:hAnsi="Times New Roman" w:cs="Times New Roman"/>
                <w:color w:val="auto"/>
                <w:lang w:eastAsia="zh-CN"/>
              </w:rPr>
              <w:t>本项目</w:t>
            </w:r>
            <w:r>
              <w:rPr>
                <w:rFonts w:hint="eastAsia" w:cs="Times New Roman"/>
                <w:color w:val="auto"/>
                <w:lang w:val="en-US" w:eastAsia="zh-CN"/>
              </w:rPr>
              <w:t>建成后全厂</w:t>
            </w:r>
            <w:r>
              <w:rPr>
                <w:rFonts w:hint="default" w:ascii="Times New Roman" w:hAnsi="Times New Roman" w:cs="Times New Roman"/>
                <w:color w:val="auto"/>
                <w:lang w:eastAsia="zh-CN"/>
              </w:rPr>
              <w:t>环境风险</w:t>
            </w:r>
            <w:r>
              <w:rPr>
                <w:rFonts w:hint="default" w:ascii="Times New Roman" w:hAnsi="Times New Roman" w:cs="Times New Roman"/>
                <w:color w:val="auto"/>
                <w:lang w:val="en-US" w:eastAsia="zh-CN"/>
              </w:rPr>
              <w:t>Q值计算</w:t>
            </w:r>
            <w:r>
              <w:rPr>
                <w:rFonts w:hint="default" w:ascii="Times New Roman" w:hAnsi="Times New Roman" w:cs="Times New Roman"/>
                <w:color w:val="auto"/>
              </w:rPr>
              <w:t>一览表</w:t>
            </w:r>
          </w:p>
          <w:tbl>
            <w:tblPr>
              <w:tblStyle w:val="32"/>
              <w:tblW w:w="853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39"/>
              <w:gridCol w:w="662"/>
              <w:gridCol w:w="1644"/>
              <w:gridCol w:w="1040"/>
              <w:gridCol w:w="1043"/>
              <w:gridCol w:w="1207"/>
              <w:gridCol w:w="1154"/>
              <w:gridCol w:w="1348"/>
            </w:tblGrid>
            <w:tr w14:paraId="36F96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439" w:type="dxa"/>
                  <w:tcBorders>
                    <w:tl2br w:val="nil"/>
                    <w:tr2bl w:val="nil"/>
                  </w:tcBorders>
                  <w:vAlign w:val="center"/>
                </w:tcPr>
                <w:p w14:paraId="239B6C6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val="en-US" w:eastAsia="zh-CN"/>
                    </w:rPr>
                    <w:t>序号</w:t>
                  </w:r>
                </w:p>
              </w:tc>
              <w:tc>
                <w:tcPr>
                  <w:tcW w:w="2306" w:type="dxa"/>
                  <w:gridSpan w:val="2"/>
                  <w:tcBorders>
                    <w:tl2br w:val="nil"/>
                    <w:tr2bl w:val="nil"/>
                  </w:tcBorders>
                  <w:vAlign w:val="center"/>
                </w:tcPr>
                <w:p w14:paraId="6B6A97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风险物质名称</w:t>
                  </w:r>
                </w:p>
              </w:tc>
              <w:tc>
                <w:tcPr>
                  <w:tcW w:w="1040" w:type="dxa"/>
                  <w:tcBorders>
                    <w:tl2br w:val="nil"/>
                    <w:tr2bl w:val="nil"/>
                  </w:tcBorders>
                  <w:vAlign w:val="center"/>
                </w:tcPr>
                <w:p w14:paraId="0A71856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储存量qi（t）</w:t>
                  </w:r>
                </w:p>
              </w:tc>
              <w:tc>
                <w:tcPr>
                  <w:tcW w:w="1043" w:type="dxa"/>
                  <w:tcBorders>
                    <w:tl2br w:val="nil"/>
                    <w:tr2bl w:val="nil"/>
                  </w:tcBorders>
                  <w:vAlign w:val="center"/>
                </w:tcPr>
                <w:p w14:paraId="091CBDC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在线量qi（t）</w:t>
                  </w:r>
                </w:p>
              </w:tc>
              <w:tc>
                <w:tcPr>
                  <w:tcW w:w="1207" w:type="dxa"/>
                  <w:tcBorders>
                    <w:tl2br w:val="nil"/>
                    <w:tr2bl w:val="nil"/>
                  </w:tcBorders>
                  <w:vAlign w:val="center"/>
                </w:tcPr>
                <w:p w14:paraId="35EC787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存在量</w:t>
                  </w:r>
                  <w:r>
                    <w:rPr>
                      <w:rFonts w:hint="default" w:ascii="Times New Roman" w:hAnsi="Times New Roman" w:cs="Times New Roman"/>
                      <w:b/>
                      <w:bCs/>
                      <w:color w:val="auto"/>
                      <w:sz w:val="21"/>
                      <w:szCs w:val="21"/>
                    </w:rPr>
                    <w:t>qi（t）</w:t>
                  </w:r>
                </w:p>
              </w:tc>
              <w:tc>
                <w:tcPr>
                  <w:tcW w:w="1154" w:type="dxa"/>
                  <w:tcBorders>
                    <w:tl2br w:val="nil"/>
                    <w:tr2bl w:val="nil"/>
                  </w:tcBorders>
                  <w:vAlign w:val="center"/>
                </w:tcPr>
                <w:p w14:paraId="2280C4F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临界量Qi（t）</w:t>
                  </w:r>
                </w:p>
              </w:tc>
              <w:tc>
                <w:tcPr>
                  <w:tcW w:w="1348" w:type="dxa"/>
                  <w:tcBorders>
                    <w:tl2br w:val="nil"/>
                    <w:tr2bl w:val="nil"/>
                  </w:tcBorders>
                  <w:vAlign w:val="center"/>
                </w:tcPr>
                <w:p w14:paraId="2D64593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Q值</w:t>
                  </w:r>
                </w:p>
              </w:tc>
            </w:tr>
            <w:tr w14:paraId="7196D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439" w:type="dxa"/>
                  <w:tcBorders>
                    <w:tl2br w:val="nil"/>
                    <w:tr2bl w:val="nil"/>
                  </w:tcBorders>
                  <w:vAlign w:val="center"/>
                </w:tcPr>
                <w:p w14:paraId="17A42AE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1</w:t>
                  </w:r>
                </w:p>
              </w:tc>
              <w:tc>
                <w:tcPr>
                  <w:tcW w:w="2306" w:type="dxa"/>
                  <w:gridSpan w:val="2"/>
                  <w:tcBorders>
                    <w:tl2br w:val="nil"/>
                    <w:tr2bl w:val="nil"/>
                  </w:tcBorders>
                  <w:vAlign w:val="center"/>
                </w:tcPr>
                <w:p w14:paraId="520EA0A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润滑油</w:t>
                  </w:r>
                </w:p>
              </w:tc>
              <w:tc>
                <w:tcPr>
                  <w:tcW w:w="1040" w:type="dxa"/>
                  <w:tcBorders>
                    <w:tl2br w:val="nil"/>
                    <w:tr2bl w:val="nil"/>
                  </w:tcBorders>
                  <w:vAlign w:val="center"/>
                </w:tcPr>
                <w:p w14:paraId="6C7198D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0.1</w:t>
                  </w:r>
                </w:p>
              </w:tc>
              <w:tc>
                <w:tcPr>
                  <w:tcW w:w="1043" w:type="dxa"/>
                  <w:tcBorders>
                    <w:tl2br w:val="nil"/>
                    <w:tr2bl w:val="nil"/>
                  </w:tcBorders>
                  <w:vAlign w:val="center"/>
                </w:tcPr>
                <w:p w14:paraId="18A1CC2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3429656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0.1</w:t>
                  </w:r>
                </w:p>
              </w:tc>
              <w:tc>
                <w:tcPr>
                  <w:tcW w:w="1154" w:type="dxa"/>
                  <w:tcBorders>
                    <w:tl2br w:val="nil"/>
                    <w:tr2bl w:val="nil"/>
                  </w:tcBorders>
                  <w:vAlign w:val="center"/>
                </w:tcPr>
                <w:p w14:paraId="5DEC3B3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2500</w:t>
                  </w:r>
                </w:p>
              </w:tc>
              <w:tc>
                <w:tcPr>
                  <w:tcW w:w="1348" w:type="dxa"/>
                  <w:tcBorders>
                    <w:tl2br w:val="nil"/>
                    <w:tr2bl w:val="nil"/>
                  </w:tcBorders>
                  <w:vAlign w:val="center"/>
                </w:tcPr>
                <w:p w14:paraId="56E2FDF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0.00004</w:t>
                  </w:r>
                </w:p>
              </w:tc>
            </w:tr>
            <w:tr w14:paraId="75F33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9" w:type="dxa"/>
                  <w:vMerge w:val="restart"/>
                  <w:tcBorders>
                    <w:tl2br w:val="nil"/>
                    <w:tr2bl w:val="nil"/>
                  </w:tcBorders>
                  <w:vAlign w:val="center"/>
                </w:tcPr>
                <w:p w14:paraId="2DCA569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w:t>
                  </w:r>
                </w:p>
              </w:tc>
              <w:tc>
                <w:tcPr>
                  <w:tcW w:w="662" w:type="dxa"/>
                  <w:vMerge w:val="restart"/>
                  <w:tcBorders>
                    <w:tl2br w:val="nil"/>
                    <w:tr2bl w:val="nil"/>
                  </w:tcBorders>
                  <w:vAlign w:val="center"/>
                </w:tcPr>
                <w:p w14:paraId="6F15D4E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水性丙烯酸面漆</w:t>
                  </w:r>
                </w:p>
              </w:tc>
              <w:tc>
                <w:tcPr>
                  <w:tcW w:w="1644" w:type="dxa"/>
                  <w:tcBorders>
                    <w:tl2br w:val="nil"/>
                    <w:tr2bl w:val="nil"/>
                  </w:tcBorders>
                  <w:vAlign w:val="center"/>
                </w:tcPr>
                <w:p w14:paraId="6DEA605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rPr>
                    <w:t>水性树脂</w:t>
                  </w:r>
                </w:p>
              </w:tc>
              <w:tc>
                <w:tcPr>
                  <w:tcW w:w="1040" w:type="dxa"/>
                  <w:tcBorders>
                    <w:tl2br w:val="nil"/>
                    <w:tr2bl w:val="nil"/>
                  </w:tcBorders>
                  <w:vAlign w:val="center"/>
                </w:tcPr>
                <w:p w14:paraId="5635DDE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2.25</w:t>
                  </w:r>
                </w:p>
              </w:tc>
              <w:tc>
                <w:tcPr>
                  <w:tcW w:w="1043" w:type="dxa"/>
                  <w:tcBorders>
                    <w:tl2br w:val="nil"/>
                    <w:tr2bl w:val="nil"/>
                  </w:tcBorders>
                  <w:vAlign w:val="center"/>
                </w:tcPr>
                <w:p w14:paraId="117D43B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7E8829F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b w:val="0"/>
                      <w:bCs/>
                      <w:color w:val="auto"/>
                      <w:sz w:val="21"/>
                      <w:szCs w:val="21"/>
                      <w:lang w:val="en-US" w:eastAsia="zh-CN"/>
                    </w:rPr>
                    <w:t>2.25</w:t>
                  </w:r>
                </w:p>
              </w:tc>
              <w:tc>
                <w:tcPr>
                  <w:tcW w:w="1154" w:type="dxa"/>
                  <w:tcBorders>
                    <w:tl2br w:val="nil"/>
                    <w:tr2bl w:val="nil"/>
                  </w:tcBorders>
                  <w:vAlign w:val="center"/>
                </w:tcPr>
                <w:p w14:paraId="3C2E0BC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100</w:t>
                  </w:r>
                </w:p>
              </w:tc>
              <w:tc>
                <w:tcPr>
                  <w:tcW w:w="1348" w:type="dxa"/>
                  <w:tcBorders>
                    <w:tl2br w:val="nil"/>
                    <w:tr2bl w:val="nil"/>
                  </w:tcBorders>
                  <w:vAlign w:val="center"/>
                </w:tcPr>
                <w:p w14:paraId="493F317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0.0225</w:t>
                  </w:r>
                </w:p>
              </w:tc>
            </w:tr>
            <w:tr w14:paraId="4C5F4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9" w:type="dxa"/>
                  <w:vMerge w:val="continue"/>
                  <w:tcBorders>
                    <w:tl2br w:val="nil"/>
                    <w:tr2bl w:val="nil"/>
                  </w:tcBorders>
                  <w:vAlign w:val="center"/>
                </w:tcPr>
                <w:p w14:paraId="2ED9EE8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p>
              </w:tc>
              <w:tc>
                <w:tcPr>
                  <w:tcW w:w="662" w:type="dxa"/>
                  <w:vMerge w:val="continue"/>
                  <w:tcBorders>
                    <w:tl2br w:val="nil"/>
                    <w:tr2bl w:val="nil"/>
                  </w:tcBorders>
                  <w:vAlign w:val="center"/>
                </w:tcPr>
                <w:p w14:paraId="20B112D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p>
              </w:tc>
              <w:tc>
                <w:tcPr>
                  <w:tcW w:w="1644" w:type="dxa"/>
                  <w:tcBorders>
                    <w:tl2br w:val="nil"/>
                    <w:tr2bl w:val="nil"/>
                  </w:tcBorders>
                  <w:vAlign w:val="center"/>
                </w:tcPr>
                <w:p w14:paraId="35EC693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醇酯十二</w:t>
                  </w:r>
                </w:p>
              </w:tc>
              <w:tc>
                <w:tcPr>
                  <w:tcW w:w="1040" w:type="dxa"/>
                  <w:tcBorders>
                    <w:tl2br w:val="nil"/>
                    <w:tr2bl w:val="nil"/>
                  </w:tcBorders>
                  <w:vAlign w:val="center"/>
                </w:tcPr>
                <w:p w14:paraId="42BFD45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0.12</w:t>
                  </w:r>
                </w:p>
              </w:tc>
              <w:tc>
                <w:tcPr>
                  <w:tcW w:w="1043" w:type="dxa"/>
                  <w:tcBorders>
                    <w:tl2br w:val="nil"/>
                    <w:tr2bl w:val="nil"/>
                  </w:tcBorders>
                  <w:vAlign w:val="center"/>
                </w:tcPr>
                <w:p w14:paraId="13A8A83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582D947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b w:val="0"/>
                      <w:bCs/>
                      <w:color w:val="auto"/>
                      <w:sz w:val="21"/>
                      <w:szCs w:val="21"/>
                      <w:lang w:val="en-US" w:eastAsia="zh-CN"/>
                    </w:rPr>
                    <w:t>0.12</w:t>
                  </w:r>
                </w:p>
              </w:tc>
              <w:tc>
                <w:tcPr>
                  <w:tcW w:w="1154" w:type="dxa"/>
                  <w:tcBorders>
                    <w:tl2br w:val="nil"/>
                    <w:tr2bl w:val="nil"/>
                  </w:tcBorders>
                  <w:vAlign w:val="center"/>
                </w:tcPr>
                <w:p w14:paraId="1428922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100</w:t>
                  </w:r>
                </w:p>
              </w:tc>
              <w:tc>
                <w:tcPr>
                  <w:tcW w:w="1348" w:type="dxa"/>
                  <w:tcBorders>
                    <w:tl2br w:val="nil"/>
                    <w:tr2bl w:val="nil"/>
                  </w:tcBorders>
                  <w:vAlign w:val="center"/>
                </w:tcPr>
                <w:p w14:paraId="23A1185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0.0012</w:t>
                  </w:r>
                </w:p>
              </w:tc>
            </w:tr>
            <w:tr w14:paraId="08288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9" w:type="dxa"/>
                  <w:vMerge w:val="continue"/>
                  <w:tcBorders>
                    <w:tl2br w:val="nil"/>
                    <w:tr2bl w:val="nil"/>
                  </w:tcBorders>
                  <w:vAlign w:val="center"/>
                </w:tcPr>
                <w:p w14:paraId="1253C34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p>
              </w:tc>
              <w:tc>
                <w:tcPr>
                  <w:tcW w:w="662" w:type="dxa"/>
                  <w:vMerge w:val="continue"/>
                  <w:tcBorders>
                    <w:tl2br w:val="nil"/>
                    <w:tr2bl w:val="nil"/>
                  </w:tcBorders>
                  <w:vAlign w:val="center"/>
                </w:tcPr>
                <w:p w14:paraId="3F2E01F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p>
              </w:tc>
              <w:tc>
                <w:tcPr>
                  <w:tcW w:w="1644" w:type="dxa"/>
                  <w:tcBorders>
                    <w:tl2br w:val="nil"/>
                    <w:tr2bl w:val="nil"/>
                  </w:tcBorders>
                  <w:vAlign w:val="center"/>
                </w:tcPr>
                <w:p w14:paraId="6BAFEA0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rPr>
                    <w:t>水性助剂</w:t>
                  </w:r>
                </w:p>
              </w:tc>
              <w:tc>
                <w:tcPr>
                  <w:tcW w:w="1040" w:type="dxa"/>
                  <w:tcBorders>
                    <w:tl2br w:val="nil"/>
                    <w:tr2bl w:val="nil"/>
                  </w:tcBorders>
                  <w:vAlign w:val="center"/>
                </w:tcPr>
                <w:p w14:paraId="555F15F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0.15</w:t>
                  </w:r>
                </w:p>
              </w:tc>
              <w:tc>
                <w:tcPr>
                  <w:tcW w:w="1043" w:type="dxa"/>
                  <w:tcBorders>
                    <w:tl2br w:val="nil"/>
                    <w:tr2bl w:val="nil"/>
                  </w:tcBorders>
                  <w:vAlign w:val="center"/>
                </w:tcPr>
                <w:p w14:paraId="68B17F5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402093C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b w:val="0"/>
                      <w:bCs/>
                      <w:color w:val="auto"/>
                      <w:sz w:val="21"/>
                      <w:szCs w:val="21"/>
                      <w:lang w:val="en-US" w:eastAsia="zh-CN"/>
                    </w:rPr>
                    <w:t>0.15</w:t>
                  </w:r>
                </w:p>
              </w:tc>
              <w:tc>
                <w:tcPr>
                  <w:tcW w:w="1154" w:type="dxa"/>
                  <w:tcBorders>
                    <w:tl2br w:val="nil"/>
                    <w:tr2bl w:val="nil"/>
                  </w:tcBorders>
                  <w:vAlign w:val="center"/>
                </w:tcPr>
                <w:p w14:paraId="1946D43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100</w:t>
                  </w:r>
                </w:p>
              </w:tc>
              <w:tc>
                <w:tcPr>
                  <w:tcW w:w="1348" w:type="dxa"/>
                  <w:tcBorders>
                    <w:tl2br w:val="nil"/>
                    <w:tr2bl w:val="nil"/>
                  </w:tcBorders>
                  <w:vAlign w:val="center"/>
                </w:tcPr>
                <w:p w14:paraId="2A94B6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0.0015</w:t>
                  </w:r>
                </w:p>
              </w:tc>
            </w:tr>
            <w:tr w14:paraId="700A7C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9" w:type="dxa"/>
                  <w:tcBorders>
                    <w:tl2br w:val="nil"/>
                    <w:tr2bl w:val="nil"/>
                  </w:tcBorders>
                  <w:vAlign w:val="center"/>
                </w:tcPr>
                <w:p w14:paraId="4A8048D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w:t>
                  </w:r>
                </w:p>
              </w:tc>
              <w:tc>
                <w:tcPr>
                  <w:tcW w:w="662" w:type="dxa"/>
                  <w:tcBorders>
                    <w:tl2br w:val="nil"/>
                    <w:tr2bl w:val="nil"/>
                  </w:tcBorders>
                  <w:vAlign w:val="center"/>
                </w:tcPr>
                <w:p w14:paraId="5C332B8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废气</w:t>
                  </w:r>
                </w:p>
              </w:tc>
              <w:tc>
                <w:tcPr>
                  <w:tcW w:w="1644" w:type="dxa"/>
                  <w:tcBorders>
                    <w:tl2br w:val="nil"/>
                    <w:tr2bl w:val="nil"/>
                  </w:tcBorders>
                  <w:vAlign w:val="center"/>
                </w:tcPr>
                <w:p w14:paraId="42074C6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eastAsia="宋体" w:cs="Times New Roman"/>
                      <w:b w:val="0"/>
                      <w:bCs/>
                      <w:color w:val="auto"/>
                      <w:sz w:val="21"/>
                      <w:szCs w:val="21"/>
                      <w:lang w:eastAsia="zh-CN"/>
                    </w:rPr>
                  </w:pPr>
                  <w:r>
                    <w:rPr>
                      <w:rFonts w:hint="eastAsia" w:ascii="Times New Roman" w:hAnsi="Times New Roman" w:cs="Times New Roman"/>
                      <w:b w:val="0"/>
                      <w:bCs/>
                      <w:color w:val="auto"/>
                      <w:sz w:val="21"/>
                      <w:szCs w:val="21"/>
                      <w:lang w:eastAsia="zh-CN"/>
                    </w:rPr>
                    <w:t>铜及其化合物</w:t>
                  </w:r>
                </w:p>
              </w:tc>
              <w:tc>
                <w:tcPr>
                  <w:tcW w:w="1040" w:type="dxa"/>
                  <w:tcBorders>
                    <w:tl2br w:val="nil"/>
                    <w:tr2bl w:val="nil"/>
                  </w:tcBorders>
                  <w:vAlign w:val="center"/>
                </w:tcPr>
                <w:p w14:paraId="4FCCDCE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043" w:type="dxa"/>
                  <w:tcBorders>
                    <w:tl2br w:val="nil"/>
                    <w:tr2bl w:val="nil"/>
                  </w:tcBorders>
                  <w:vAlign w:val="center"/>
                </w:tcPr>
                <w:p w14:paraId="30C5A04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0.00001</w:t>
                  </w:r>
                </w:p>
              </w:tc>
              <w:tc>
                <w:tcPr>
                  <w:tcW w:w="1207" w:type="dxa"/>
                  <w:tcBorders>
                    <w:tl2br w:val="nil"/>
                    <w:tr2bl w:val="nil"/>
                  </w:tcBorders>
                  <w:vAlign w:val="center"/>
                </w:tcPr>
                <w:p w14:paraId="4BAFD26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0.00001</w:t>
                  </w:r>
                </w:p>
              </w:tc>
              <w:tc>
                <w:tcPr>
                  <w:tcW w:w="1154" w:type="dxa"/>
                  <w:tcBorders>
                    <w:tl2br w:val="nil"/>
                    <w:tr2bl w:val="nil"/>
                  </w:tcBorders>
                  <w:vAlign w:val="center"/>
                </w:tcPr>
                <w:p w14:paraId="23D58E0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0.25</w:t>
                  </w:r>
                </w:p>
              </w:tc>
              <w:tc>
                <w:tcPr>
                  <w:tcW w:w="1348" w:type="dxa"/>
                  <w:tcBorders>
                    <w:tl2br w:val="nil"/>
                    <w:tr2bl w:val="nil"/>
                  </w:tcBorders>
                  <w:vAlign w:val="center"/>
                </w:tcPr>
                <w:p w14:paraId="3E16381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0.00004</w:t>
                  </w:r>
                </w:p>
              </w:tc>
            </w:tr>
            <w:tr w14:paraId="0AA7B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9" w:type="dxa"/>
                  <w:vMerge w:val="restart"/>
                  <w:tcBorders>
                    <w:tl2br w:val="nil"/>
                    <w:tr2bl w:val="nil"/>
                  </w:tcBorders>
                  <w:vAlign w:val="center"/>
                </w:tcPr>
                <w:p w14:paraId="7E52BE7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w:t>
                  </w:r>
                </w:p>
              </w:tc>
              <w:tc>
                <w:tcPr>
                  <w:tcW w:w="662" w:type="dxa"/>
                  <w:vMerge w:val="restart"/>
                  <w:tcBorders>
                    <w:tl2br w:val="nil"/>
                    <w:tr2bl w:val="nil"/>
                  </w:tcBorders>
                  <w:vAlign w:val="center"/>
                </w:tcPr>
                <w:p w14:paraId="11E0FD2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危险废物</w:t>
                  </w:r>
                  <w:r>
                    <w:rPr>
                      <w:rFonts w:hint="default" w:ascii="Times New Roman" w:hAnsi="Times New Roman" w:cs="Times New Roman"/>
                      <w:b w:val="0"/>
                      <w:bCs/>
                      <w:color w:val="auto"/>
                      <w:kern w:val="0"/>
                      <w:szCs w:val="21"/>
                      <w:lang w:eastAsia="zh-CN"/>
                    </w:rPr>
                    <w:t>（</w:t>
                  </w:r>
                  <w:r>
                    <w:rPr>
                      <w:rFonts w:hint="default" w:ascii="Times New Roman" w:hAnsi="Times New Roman" w:cs="Times New Roman"/>
                      <w:b w:val="0"/>
                      <w:bCs/>
                      <w:color w:val="auto"/>
                      <w:kern w:val="0"/>
                      <w:szCs w:val="21"/>
                      <w:lang w:val="en-US" w:eastAsia="zh-CN"/>
                    </w:rPr>
                    <w:t>暂存量）</w:t>
                  </w:r>
                </w:p>
              </w:tc>
              <w:tc>
                <w:tcPr>
                  <w:tcW w:w="1644" w:type="dxa"/>
                  <w:tcBorders>
                    <w:tl2br w:val="nil"/>
                    <w:tr2bl w:val="nil"/>
                  </w:tcBorders>
                  <w:vAlign w:val="center"/>
                </w:tcPr>
                <w:p w14:paraId="5B60A17E">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机加工更换废液</w:t>
                  </w:r>
                </w:p>
              </w:tc>
              <w:tc>
                <w:tcPr>
                  <w:tcW w:w="1040" w:type="dxa"/>
                  <w:tcBorders>
                    <w:tl2br w:val="nil"/>
                    <w:tr2bl w:val="nil"/>
                  </w:tcBorders>
                  <w:vAlign w:val="center"/>
                </w:tcPr>
                <w:p w14:paraId="2C63D5A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0.1</w:t>
                  </w:r>
                </w:p>
              </w:tc>
              <w:tc>
                <w:tcPr>
                  <w:tcW w:w="1043" w:type="dxa"/>
                  <w:tcBorders>
                    <w:tl2br w:val="nil"/>
                    <w:tr2bl w:val="nil"/>
                  </w:tcBorders>
                  <w:vAlign w:val="center"/>
                </w:tcPr>
                <w:p w14:paraId="5BD2BDB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1A586BC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b w:val="0"/>
                      <w:bCs/>
                      <w:color w:val="auto"/>
                      <w:sz w:val="21"/>
                      <w:szCs w:val="21"/>
                      <w:lang w:val="en-US" w:eastAsia="zh-CN"/>
                    </w:rPr>
                    <w:t>0.1</w:t>
                  </w:r>
                </w:p>
              </w:tc>
              <w:tc>
                <w:tcPr>
                  <w:tcW w:w="1154" w:type="dxa"/>
                  <w:tcBorders>
                    <w:tl2br w:val="nil"/>
                    <w:tr2bl w:val="nil"/>
                  </w:tcBorders>
                  <w:vAlign w:val="center"/>
                </w:tcPr>
                <w:p w14:paraId="5F8D4E9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50</w:t>
                  </w:r>
                </w:p>
              </w:tc>
              <w:tc>
                <w:tcPr>
                  <w:tcW w:w="1348" w:type="dxa"/>
                  <w:tcBorders>
                    <w:tl2br w:val="nil"/>
                    <w:tr2bl w:val="nil"/>
                  </w:tcBorders>
                  <w:vAlign w:val="center"/>
                </w:tcPr>
                <w:p w14:paraId="529FD7C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0.002</w:t>
                  </w:r>
                </w:p>
              </w:tc>
            </w:tr>
            <w:tr w14:paraId="1538F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9" w:type="dxa"/>
                  <w:vMerge w:val="continue"/>
                  <w:tcBorders>
                    <w:tl2br w:val="nil"/>
                    <w:tr2bl w:val="nil"/>
                  </w:tcBorders>
                  <w:vAlign w:val="center"/>
                </w:tcPr>
                <w:p w14:paraId="7100EFD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c>
                <w:tcPr>
                  <w:tcW w:w="662" w:type="dxa"/>
                  <w:vMerge w:val="continue"/>
                  <w:tcBorders>
                    <w:tl2br w:val="nil"/>
                    <w:tr2bl w:val="nil"/>
                  </w:tcBorders>
                  <w:vAlign w:val="center"/>
                </w:tcPr>
                <w:p w14:paraId="0AFA9D5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p>
              </w:tc>
              <w:tc>
                <w:tcPr>
                  <w:tcW w:w="1644" w:type="dxa"/>
                  <w:tcBorders>
                    <w:tl2br w:val="nil"/>
                    <w:tr2bl w:val="nil"/>
                  </w:tcBorders>
                  <w:vAlign w:val="center"/>
                </w:tcPr>
                <w:p w14:paraId="7B3C4F44">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废水性丙烯酸面漆桶</w:t>
                  </w:r>
                </w:p>
              </w:tc>
              <w:tc>
                <w:tcPr>
                  <w:tcW w:w="1040" w:type="dxa"/>
                  <w:tcBorders>
                    <w:tl2br w:val="nil"/>
                    <w:tr2bl w:val="nil"/>
                  </w:tcBorders>
                  <w:vAlign w:val="center"/>
                </w:tcPr>
                <w:p w14:paraId="77BC386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0.11</w:t>
                  </w:r>
                </w:p>
              </w:tc>
              <w:tc>
                <w:tcPr>
                  <w:tcW w:w="1043" w:type="dxa"/>
                  <w:tcBorders>
                    <w:tl2br w:val="nil"/>
                    <w:tr2bl w:val="nil"/>
                  </w:tcBorders>
                  <w:vAlign w:val="center"/>
                </w:tcPr>
                <w:p w14:paraId="22760AE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104EC63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0.11</w:t>
                  </w:r>
                </w:p>
              </w:tc>
              <w:tc>
                <w:tcPr>
                  <w:tcW w:w="1154" w:type="dxa"/>
                  <w:tcBorders>
                    <w:tl2br w:val="nil"/>
                    <w:tr2bl w:val="nil"/>
                  </w:tcBorders>
                  <w:vAlign w:val="center"/>
                </w:tcPr>
                <w:p w14:paraId="4EC7212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50</w:t>
                  </w:r>
                </w:p>
              </w:tc>
              <w:tc>
                <w:tcPr>
                  <w:tcW w:w="1348" w:type="dxa"/>
                  <w:tcBorders>
                    <w:tl2br w:val="nil"/>
                    <w:tr2bl w:val="nil"/>
                  </w:tcBorders>
                  <w:vAlign w:val="center"/>
                </w:tcPr>
                <w:p w14:paraId="745CC85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0.0022</w:t>
                  </w:r>
                </w:p>
              </w:tc>
            </w:tr>
            <w:tr w14:paraId="6B9D0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9" w:type="dxa"/>
                  <w:vMerge w:val="continue"/>
                  <w:tcBorders>
                    <w:tl2br w:val="nil"/>
                    <w:tr2bl w:val="nil"/>
                  </w:tcBorders>
                  <w:vAlign w:val="center"/>
                </w:tcPr>
                <w:p w14:paraId="33D7A8D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c>
                <w:tcPr>
                  <w:tcW w:w="662" w:type="dxa"/>
                  <w:vMerge w:val="continue"/>
                  <w:tcBorders>
                    <w:tl2br w:val="nil"/>
                    <w:tr2bl w:val="nil"/>
                  </w:tcBorders>
                  <w:vAlign w:val="center"/>
                </w:tcPr>
                <w:p w14:paraId="47A0DBF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p>
              </w:tc>
              <w:tc>
                <w:tcPr>
                  <w:tcW w:w="1644" w:type="dxa"/>
                  <w:tcBorders>
                    <w:tl2br w:val="nil"/>
                    <w:tr2bl w:val="nil"/>
                  </w:tcBorders>
                  <w:vAlign w:val="center"/>
                </w:tcPr>
                <w:p w14:paraId="23C08E93">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cs="Times New Roman"/>
                      <w:b w:val="0"/>
                      <w:bCs/>
                      <w:color w:val="auto"/>
                      <w:szCs w:val="21"/>
                      <w:lang w:val="en-US" w:eastAsia="zh-CN"/>
                    </w:rPr>
                    <w:t>漆渣</w:t>
                  </w:r>
                </w:p>
              </w:tc>
              <w:tc>
                <w:tcPr>
                  <w:tcW w:w="1040" w:type="dxa"/>
                  <w:tcBorders>
                    <w:tl2br w:val="nil"/>
                    <w:tr2bl w:val="nil"/>
                  </w:tcBorders>
                  <w:vAlign w:val="center"/>
                </w:tcPr>
                <w:p w14:paraId="2A4C92E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0.062</w:t>
                  </w:r>
                </w:p>
              </w:tc>
              <w:tc>
                <w:tcPr>
                  <w:tcW w:w="1043" w:type="dxa"/>
                  <w:tcBorders>
                    <w:tl2br w:val="nil"/>
                    <w:tr2bl w:val="nil"/>
                  </w:tcBorders>
                  <w:vAlign w:val="center"/>
                </w:tcPr>
                <w:p w14:paraId="4D20C8B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64A78D4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0.062</w:t>
                  </w:r>
                </w:p>
              </w:tc>
              <w:tc>
                <w:tcPr>
                  <w:tcW w:w="1154" w:type="dxa"/>
                  <w:tcBorders>
                    <w:tl2br w:val="nil"/>
                    <w:tr2bl w:val="nil"/>
                  </w:tcBorders>
                  <w:vAlign w:val="center"/>
                </w:tcPr>
                <w:p w14:paraId="7F20692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50</w:t>
                  </w:r>
                </w:p>
              </w:tc>
              <w:tc>
                <w:tcPr>
                  <w:tcW w:w="1348" w:type="dxa"/>
                  <w:tcBorders>
                    <w:tl2br w:val="nil"/>
                    <w:tr2bl w:val="nil"/>
                  </w:tcBorders>
                  <w:vAlign w:val="center"/>
                </w:tcPr>
                <w:p w14:paraId="65A2717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0.00124</w:t>
                  </w:r>
                </w:p>
              </w:tc>
            </w:tr>
            <w:tr w14:paraId="788B5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439" w:type="dxa"/>
                  <w:vMerge w:val="continue"/>
                  <w:tcBorders>
                    <w:tl2br w:val="nil"/>
                    <w:tr2bl w:val="nil"/>
                  </w:tcBorders>
                  <w:vAlign w:val="center"/>
                </w:tcPr>
                <w:p w14:paraId="6285EA3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c>
                <w:tcPr>
                  <w:tcW w:w="662" w:type="dxa"/>
                  <w:vMerge w:val="continue"/>
                  <w:tcBorders>
                    <w:tl2br w:val="nil"/>
                    <w:tr2bl w:val="nil"/>
                  </w:tcBorders>
                  <w:vAlign w:val="center"/>
                </w:tcPr>
                <w:p w14:paraId="6B5D6E3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p>
              </w:tc>
              <w:tc>
                <w:tcPr>
                  <w:tcW w:w="1644" w:type="dxa"/>
                  <w:tcBorders>
                    <w:tl2br w:val="nil"/>
                    <w:tr2bl w:val="nil"/>
                  </w:tcBorders>
                  <w:vAlign w:val="center"/>
                </w:tcPr>
                <w:p w14:paraId="6F27E01B">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cs="Times New Roman"/>
                      <w:b w:val="0"/>
                      <w:bCs/>
                      <w:color w:val="auto"/>
                      <w:szCs w:val="21"/>
                      <w:lang w:val="en-US" w:eastAsia="zh-CN"/>
                    </w:rPr>
                    <w:t>喷枪清洗废液</w:t>
                  </w:r>
                </w:p>
              </w:tc>
              <w:tc>
                <w:tcPr>
                  <w:tcW w:w="1040" w:type="dxa"/>
                  <w:tcBorders>
                    <w:tl2br w:val="nil"/>
                    <w:tr2bl w:val="nil"/>
                  </w:tcBorders>
                  <w:vAlign w:val="center"/>
                </w:tcPr>
                <w:p w14:paraId="1ED1C84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0.1875</w:t>
                  </w:r>
                </w:p>
              </w:tc>
              <w:tc>
                <w:tcPr>
                  <w:tcW w:w="1043" w:type="dxa"/>
                  <w:tcBorders>
                    <w:tl2br w:val="nil"/>
                    <w:tr2bl w:val="nil"/>
                  </w:tcBorders>
                  <w:vAlign w:val="center"/>
                </w:tcPr>
                <w:p w14:paraId="4664D43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769BFFC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b w:val="0"/>
                      <w:bCs/>
                      <w:color w:val="auto"/>
                      <w:sz w:val="21"/>
                      <w:szCs w:val="21"/>
                      <w:lang w:val="en-US" w:eastAsia="zh-CN"/>
                    </w:rPr>
                    <w:t>0.1875</w:t>
                  </w:r>
                </w:p>
              </w:tc>
              <w:tc>
                <w:tcPr>
                  <w:tcW w:w="1154" w:type="dxa"/>
                  <w:tcBorders>
                    <w:tl2br w:val="nil"/>
                    <w:tr2bl w:val="nil"/>
                  </w:tcBorders>
                  <w:vAlign w:val="center"/>
                </w:tcPr>
                <w:p w14:paraId="3CA808C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50</w:t>
                  </w:r>
                </w:p>
              </w:tc>
              <w:tc>
                <w:tcPr>
                  <w:tcW w:w="1348" w:type="dxa"/>
                  <w:tcBorders>
                    <w:tl2br w:val="nil"/>
                    <w:tr2bl w:val="nil"/>
                  </w:tcBorders>
                  <w:vAlign w:val="center"/>
                </w:tcPr>
                <w:p w14:paraId="49CC88F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0.00375</w:t>
                  </w:r>
                </w:p>
              </w:tc>
            </w:tr>
            <w:tr w14:paraId="64B43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439" w:type="dxa"/>
                  <w:vMerge w:val="continue"/>
                  <w:tcBorders>
                    <w:tl2br w:val="nil"/>
                    <w:tr2bl w:val="nil"/>
                  </w:tcBorders>
                  <w:vAlign w:val="center"/>
                </w:tcPr>
                <w:p w14:paraId="51B4CD3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c>
                <w:tcPr>
                  <w:tcW w:w="662" w:type="dxa"/>
                  <w:vMerge w:val="continue"/>
                  <w:tcBorders>
                    <w:tl2br w:val="nil"/>
                    <w:tr2bl w:val="nil"/>
                  </w:tcBorders>
                  <w:vAlign w:val="center"/>
                </w:tcPr>
                <w:p w14:paraId="66B85A4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p>
              </w:tc>
              <w:tc>
                <w:tcPr>
                  <w:tcW w:w="1644" w:type="dxa"/>
                  <w:tcBorders>
                    <w:tl2br w:val="nil"/>
                    <w:tr2bl w:val="nil"/>
                  </w:tcBorders>
                  <w:vAlign w:val="center"/>
                </w:tcPr>
                <w:p w14:paraId="7AD6E7F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废润滑油和废润滑油桶</w:t>
                  </w:r>
                </w:p>
              </w:tc>
              <w:tc>
                <w:tcPr>
                  <w:tcW w:w="1040" w:type="dxa"/>
                  <w:tcBorders>
                    <w:tl2br w:val="nil"/>
                    <w:tr2bl w:val="nil"/>
                  </w:tcBorders>
                  <w:vAlign w:val="center"/>
                </w:tcPr>
                <w:p w14:paraId="5835852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0.0063</w:t>
                  </w:r>
                </w:p>
              </w:tc>
              <w:tc>
                <w:tcPr>
                  <w:tcW w:w="1043" w:type="dxa"/>
                  <w:tcBorders>
                    <w:tl2br w:val="nil"/>
                    <w:tr2bl w:val="nil"/>
                  </w:tcBorders>
                  <w:vAlign w:val="center"/>
                </w:tcPr>
                <w:p w14:paraId="08274F5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49BE5C5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b w:val="0"/>
                      <w:bCs/>
                      <w:color w:val="auto"/>
                      <w:sz w:val="21"/>
                      <w:szCs w:val="21"/>
                      <w:lang w:val="en-US" w:eastAsia="zh-CN"/>
                    </w:rPr>
                    <w:t>0.0063</w:t>
                  </w:r>
                </w:p>
              </w:tc>
              <w:tc>
                <w:tcPr>
                  <w:tcW w:w="1154" w:type="dxa"/>
                  <w:tcBorders>
                    <w:tl2br w:val="nil"/>
                    <w:tr2bl w:val="nil"/>
                  </w:tcBorders>
                  <w:vAlign w:val="center"/>
                </w:tcPr>
                <w:p w14:paraId="566A282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50</w:t>
                  </w:r>
                </w:p>
              </w:tc>
              <w:tc>
                <w:tcPr>
                  <w:tcW w:w="1348" w:type="dxa"/>
                  <w:tcBorders>
                    <w:tl2br w:val="nil"/>
                    <w:tr2bl w:val="nil"/>
                  </w:tcBorders>
                  <w:vAlign w:val="center"/>
                </w:tcPr>
                <w:p w14:paraId="221CC7A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0.000126</w:t>
                  </w:r>
                </w:p>
              </w:tc>
            </w:tr>
            <w:tr w14:paraId="21925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9" w:type="dxa"/>
                  <w:vMerge w:val="continue"/>
                  <w:tcBorders>
                    <w:tl2br w:val="nil"/>
                    <w:tr2bl w:val="nil"/>
                  </w:tcBorders>
                  <w:vAlign w:val="center"/>
                </w:tcPr>
                <w:p w14:paraId="54FF560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c>
                <w:tcPr>
                  <w:tcW w:w="662" w:type="dxa"/>
                  <w:vMerge w:val="continue"/>
                  <w:tcBorders>
                    <w:tl2br w:val="nil"/>
                    <w:tr2bl w:val="nil"/>
                  </w:tcBorders>
                  <w:vAlign w:val="center"/>
                </w:tcPr>
                <w:p w14:paraId="183D4B4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p>
              </w:tc>
              <w:tc>
                <w:tcPr>
                  <w:tcW w:w="1644" w:type="dxa"/>
                  <w:tcBorders>
                    <w:tl2br w:val="nil"/>
                    <w:tr2bl w:val="nil"/>
                  </w:tcBorders>
                  <w:vAlign w:val="center"/>
                </w:tcPr>
                <w:p w14:paraId="6746CCB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含油抹布手套</w:t>
                  </w:r>
                </w:p>
              </w:tc>
              <w:tc>
                <w:tcPr>
                  <w:tcW w:w="1040" w:type="dxa"/>
                  <w:tcBorders>
                    <w:tl2br w:val="nil"/>
                    <w:tr2bl w:val="nil"/>
                  </w:tcBorders>
                  <w:vAlign w:val="center"/>
                </w:tcPr>
                <w:p w14:paraId="5925EE8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0.00125</w:t>
                  </w:r>
                </w:p>
              </w:tc>
              <w:tc>
                <w:tcPr>
                  <w:tcW w:w="1043" w:type="dxa"/>
                  <w:tcBorders>
                    <w:tl2br w:val="nil"/>
                    <w:tr2bl w:val="nil"/>
                  </w:tcBorders>
                  <w:vAlign w:val="center"/>
                </w:tcPr>
                <w:p w14:paraId="2A7A058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4AF79D1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b w:val="0"/>
                      <w:bCs/>
                      <w:color w:val="auto"/>
                      <w:sz w:val="21"/>
                      <w:szCs w:val="21"/>
                      <w:lang w:val="en-US" w:eastAsia="zh-CN"/>
                    </w:rPr>
                    <w:t>0.00125</w:t>
                  </w:r>
                </w:p>
              </w:tc>
              <w:tc>
                <w:tcPr>
                  <w:tcW w:w="1154" w:type="dxa"/>
                  <w:tcBorders>
                    <w:tl2br w:val="nil"/>
                    <w:tr2bl w:val="nil"/>
                  </w:tcBorders>
                  <w:vAlign w:val="center"/>
                </w:tcPr>
                <w:p w14:paraId="3C81F5D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50</w:t>
                  </w:r>
                </w:p>
              </w:tc>
              <w:tc>
                <w:tcPr>
                  <w:tcW w:w="1348" w:type="dxa"/>
                  <w:tcBorders>
                    <w:tl2br w:val="nil"/>
                    <w:tr2bl w:val="nil"/>
                  </w:tcBorders>
                  <w:vAlign w:val="center"/>
                </w:tcPr>
                <w:p w14:paraId="33C39E8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0.000025</w:t>
                  </w:r>
                </w:p>
              </w:tc>
            </w:tr>
            <w:tr w14:paraId="716C0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439" w:type="dxa"/>
                  <w:vMerge w:val="continue"/>
                  <w:tcBorders>
                    <w:tl2br w:val="nil"/>
                    <w:tr2bl w:val="nil"/>
                  </w:tcBorders>
                  <w:vAlign w:val="center"/>
                </w:tcPr>
                <w:p w14:paraId="0356016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c>
                <w:tcPr>
                  <w:tcW w:w="662" w:type="dxa"/>
                  <w:vMerge w:val="continue"/>
                  <w:tcBorders>
                    <w:tl2br w:val="nil"/>
                    <w:tr2bl w:val="nil"/>
                  </w:tcBorders>
                  <w:vAlign w:val="center"/>
                </w:tcPr>
                <w:p w14:paraId="30EBEB7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p>
              </w:tc>
              <w:tc>
                <w:tcPr>
                  <w:tcW w:w="1644" w:type="dxa"/>
                  <w:tcBorders>
                    <w:tl2br w:val="nil"/>
                    <w:tr2bl w:val="nil"/>
                  </w:tcBorders>
                  <w:vAlign w:val="center"/>
                </w:tcPr>
                <w:p w14:paraId="5A79974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val="0"/>
                      <w:color w:val="auto"/>
                      <w:lang w:eastAsia="zh-CN"/>
                    </w:rPr>
                    <w:t>废</w:t>
                  </w:r>
                  <w:r>
                    <w:rPr>
                      <w:rFonts w:hint="eastAsia" w:ascii="Times New Roman" w:hAnsi="Times New Roman" w:cs="Times New Roman"/>
                      <w:b w:val="0"/>
                      <w:bCs w:val="0"/>
                      <w:color w:val="auto"/>
                      <w:lang w:val="en-US" w:eastAsia="zh-CN"/>
                    </w:rPr>
                    <w:t>滤芯</w:t>
                  </w:r>
                </w:p>
              </w:tc>
              <w:tc>
                <w:tcPr>
                  <w:tcW w:w="1040" w:type="dxa"/>
                  <w:tcBorders>
                    <w:tl2br w:val="nil"/>
                    <w:tr2bl w:val="nil"/>
                  </w:tcBorders>
                  <w:vAlign w:val="center"/>
                </w:tcPr>
                <w:p w14:paraId="775B868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2.5</w:t>
                  </w:r>
                </w:p>
              </w:tc>
              <w:tc>
                <w:tcPr>
                  <w:tcW w:w="1043" w:type="dxa"/>
                  <w:tcBorders>
                    <w:tl2br w:val="nil"/>
                    <w:tr2bl w:val="nil"/>
                  </w:tcBorders>
                  <w:vAlign w:val="center"/>
                </w:tcPr>
                <w:p w14:paraId="0799704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5031977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b w:val="0"/>
                      <w:bCs/>
                      <w:color w:val="auto"/>
                      <w:sz w:val="21"/>
                      <w:szCs w:val="21"/>
                      <w:lang w:val="en-US" w:eastAsia="zh-CN"/>
                    </w:rPr>
                    <w:t>2.5</w:t>
                  </w:r>
                </w:p>
              </w:tc>
              <w:tc>
                <w:tcPr>
                  <w:tcW w:w="1154" w:type="dxa"/>
                  <w:tcBorders>
                    <w:tl2br w:val="nil"/>
                    <w:tr2bl w:val="nil"/>
                  </w:tcBorders>
                  <w:vAlign w:val="center"/>
                </w:tcPr>
                <w:p w14:paraId="7E12E93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50</w:t>
                  </w:r>
                </w:p>
              </w:tc>
              <w:tc>
                <w:tcPr>
                  <w:tcW w:w="1348" w:type="dxa"/>
                  <w:tcBorders>
                    <w:tl2br w:val="nil"/>
                    <w:tr2bl w:val="nil"/>
                  </w:tcBorders>
                  <w:vAlign w:val="center"/>
                </w:tcPr>
                <w:p w14:paraId="141A14D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0.05</w:t>
                  </w:r>
                </w:p>
              </w:tc>
            </w:tr>
            <w:tr w14:paraId="04906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9" w:type="dxa"/>
                  <w:vMerge w:val="continue"/>
                  <w:tcBorders>
                    <w:tl2br w:val="nil"/>
                    <w:tr2bl w:val="nil"/>
                  </w:tcBorders>
                  <w:vAlign w:val="center"/>
                </w:tcPr>
                <w:p w14:paraId="5F57A19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c>
                <w:tcPr>
                  <w:tcW w:w="662" w:type="dxa"/>
                  <w:vMerge w:val="continue"/>
                  <w:tcBorders>
                    <w:tl2br w:val="nil"/>
                    <w:tr2bl w:val="nil"/>
                  </w:tcBorders>
                  <w:vAlign w:val="center"/>
                </w:tcPr>
                <w:p w14:paraId="69C1015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p>
              </w:tc>
              <w:tc>
                <w:tcPr>
                  <w:tcW w:w="1644" w:type="dxa"/>
                  <w:tcBorders>
                    <w:tl2br w:val="nil"/>
                    <w:tr2bl w:val="nil"/>
                  </w:tcBorders>
                  <w:vAlign w:val="center"/>
                </w:tcPr>
                <w:p w14:paraId="73D9851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val="0"/>
                      <w:color w:val="auto"/>
                      <w:lang w:eastAsia="zh-CN"/>
                    </w:rPr>
                    <w:t>废活性炭</w:t>
                  </w:r>
                </w:p>
              </w:tc>
              <w:tc>
                <w:tcPr>
                  <w:tcW w:w="1040" w:type="dxa"/>
                  <w:tcBorders>
                    <w:tl2br w:val="nil"/>
                    <w:tr2bl w:val="nil"/>
                  </w:tcBorders>
                  <w:vAlign w:val="center"/>
                </w:tcPr>
                <w:p w14:paraId="6756060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2.991</w:t>
                  </w:r>
                </w:p>
              </w:tc>
              <w:tc>
                <w:tcPr>
                  <w:tcW w:w="1043" w:type="dxa"/>
                  <w:tcBorders>
                    <w:tl2br w:val="nil"/>
                    <w:tr2bl w:val="nil"/>
                  </w:tcBorders>
                  <w:vAlign w:val="center"/>
                </w:tcPr>
                <w:p w14:paraId="515107D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1207" w:type="dxa"/>
                  <w:tcBorders>
                    <w:tl2br w:val="nil"/>
                    <w:tr2bl w:val="nil"/>
                  </w:tcBorders>
                  <w:vAlign w:val="center"/>
                </w:tcPr>
                <w:p w14:paraId="6573D93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b w:val="0"/>
                      <w:bCs/>
                      <w:color w:val="auto"/>
                      <w:sz w:val="21"/>
                      <w:szCs w:val="21"/>
                      <w:lang w:val="en-US" w:eastAsia="zh-CN"/>
                    </w:rPr>
                    <w:t>2.991</w:t>
                  </w:r>
                </w:p>
              </w:tc>
              <w:tc>
                <w:tcPr>
                  <w:tcW w:w="1154" w:type="dxa"/>
                  <w:tcBorders>
                    <w:tl2br w:val="nil"/>
                    <w:tr2bl w:val="nil"/>
                  </w:tcBorders>
                  <w:vAlign w:val="center"/>
                </w:tcPr>
                <w:p w14:paraId="26DD8D0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50</w:t>
                  </w:r>
                </w:p>
              </w:tc>
              <w:tc>
                <w:tcPr>
                  <w:tcW w:w="1348" w:type="dxa"/>
                  <w:tcBorders>
                    <w:tl2br w:val="nil"/>
                    <w:tr2bl w:val="nil"/>
                  </w:tcBorders>
                  <w:vAlign w:val="center"/>
                </w:tcPr>
                <w:p w14:paraId="14366F9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0.05982</w:t>
                  </w:r>
                </w:p>
              </w:tc>
            </w:tr>
            <w:tr w14:paraId="33B9E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189" w:type="dxa"/>
                  <w:gridSpan w:val="7"/>
                  <w:tcBorders>
                    <w:tl2br w:val="nil"/>
                    <w:tr2bl w:val="nil"/>
                  </w:tcBorders>
                  <w:vAlign w:val="center"/>
                </w:tcPr>
                <w:p w14:paraId="637D2EC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合计</w:t>
                  </w:r>
                </w:p>
              </w:tc>
              <w:tc>
                <w:tcPr>
                  <w:tcW w:w="1348" w:type="dxa"/>
                  <w:tcBorders>
                    <w:tl2br w:val="nil"/>
                    <w:tr2bl w:val="nil"/>
                  </w:tcBorders>
                  <w:vAlign w:val="center"/>
                </w:tcPr>
                <w:p w14:paraId="037F9F6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0.144441</w:t>
                  </w:r>
                </w:p>
              </w:tc>
            </w:tr>
          </w:tbl>
          <w:p w14:paraId="2083ECCC">
            <w:pPr>
              <w:widowControl/>
              <w:spacing w:line="360" w:lineRule="auto"/>
              <w:ind w:firstLine="480" w:firstLineChars="200"/>
              <w:jc w:val="left"/>
              <w:rPr>
                <w:rFonts w:hint="default" w:ascii="Times New Roman" w:hAnsi="Times New Roman" w:eastAsia="宋体" w:cs="Times New Roman"/>
                <w:color w:val="auto"/>
                <w:spacing w:val="-1"/>
                <w:sz w:val="24"/>
                <w:szCs w:val="24"/>
                <w:lang w:eastAsia="zh-CN"/>
              </w:rPr>
            </w:pPr>
            <w:r>
              <w:rPr>
                <w:rFonts w:hint="default" w:ascii="Times New Roman" w:hAnsi="Times New Roman" w:cs="Times New Roman"/>
                <w:color w:val="auto"/>
                <w:sz w:val="24"/>
                <w:szCs w:val="24"/>
                <w:lang w:eastAsia="zh-CN"/>
              </w:rPr>
              <w:t>本项目</w:t>
            </w:r>
            <w:r>
              <w:rPr>
                <w:rFonts w:hint="default" w:ascii="Times New Roman" w:hAnsi="Times New Roman" w:cs="Times New Roman"/>
                <w:color w:val="auto"/>
                <w:sz w:val="24"/>
                <w:szCs w:val="24"/>
              </w:rPr>
              <w:t>使用到的</w:t>
            </w:r>
            <w:r>
              <w:rPr>
                <w:rFonts w:hint="default" w:ascii="Times New Roman" w:hAnsi="Times New Roman" w:cs="Times New Roman"/>
                <w:color w:val="auto"/>
                <w:sz w:val="24"/>
                <w:szCs w:val="24"/>
                <w:lang w:eastAsia="zh-CN"/>
              </w:rPr>
              <w:t>润滑油</w:t>
            </w:r>
            <w:r>
              <w:rPr>
                <w:rFonts w:hint="eastAsia" w:cs="Times New Roman"/>
                <w:color w:val="auto"/>
                <w:sz w:val="24"/>
                <w:szCs w:val="24"/>
                <w:lang w:eastAsia="zh-CN"/>
              </w:rPr>
              <w:t>、</w:t>
            </w:r>
            <w:r>
              <w:rPr>
                <w:rFonts w:hint="eastAsia" w:cs="Times New Roman"/>
                <w:color w:val="auto"/>
                <w:sz w:val="24"/>
                <w:szCs w:val="24"/>
                <w:lang w:val="en-US" w:eastAsia="zh-CN"/>
              </w:rPr>
              <w:t>水性丙烯酸面漆和危险废物</w:t>
            </w:r>
            <w:r>
              <w:rPr>
                <w:rFonts w:hint="default" w:ascii="Times New Roman" w:hAnsi="Times New Roman" w:cs="Times New Roman"/>
                <w:color w:val="auto"/>
                <w:sz w:val="24"/>
                <w:szCs w:val="24"/>
              </w:rPr>
              <w:t>等危险物质的最大量对</w:t>
            </w:r>
            <w:r>
              <w:rPr>
                <w:rFonts w:hint="default" w:ascii="Times New Roman" w:hAnsi="Times New Roman" w:cs="Times New Roman"/>
                <w:color w:val="auto"/>
                <w:spacing w:val="-1"/>
                <w:sz w:val="24"/>
                <w:szCs w:val="24"/>
              </w:rPr>
              <w:t>照《建设项目环境风险评价技术导则》（HJ 169-2018）附录B“各风险物质对应的临界存储量”以及附录C“危险物质数量与临界量Q”</w:t>
            </w:r>
            <w:r>
              <w:rPr>
                <w:rFonts w:hint="eastAsia" w:cs="Times New Roman"/>
                <w:color w:val="auto"/>
                <w:spacing w:val="-1"/>
                <w:sz w:val="24"/>
                <w:szCs w:val="24"/>
                <w:lang w:val="en-US" w:eastAsia="zh-CN"/>
              </w:rPr>
              <w:t>以及《危险化学品重大危险源辨识》（GB 18218-2009）</w:t>
            </w:r>
            <w:r>
              <w:rPr>
                <w:rFonts w:hint="default" w:ascii="Times New Roman" w:hAnsi="Times New Roman" w:cs="Times New Roman"/>
                <w:color w:val="auto"/>
                <w:spacing w:val="-1"/>
                <w:sz w:val="24"/>
                <w:szCs w:val="24"/>
              </w:rPr>
              <w:t>的</w:t>
            </w:r>
            <w:r>
              <w:rPr>
                <w:rFonts w:hint="eastAsia" w:cs="Times New Roman"/>
                <w:color w:val="auto"/>
                <w:spacing w:val="-1"/>
                <w:sz w:val="24"/>
                <w:szCs w:val="24"/>
                <w:lang w:val="en-US" w:eastAsia="zh-CN"/>
              </w:rPr>
              <w:t>临界量</w:t>
            </w:r>
            <w:r>
              <w:rPr>
                <w:rFonts w:hint="default" w:ascii="Times New Roman" w:hAnsi="Times New Roman" w:cs="Times New Roman"/>
                <w:color w:val="auto"/>
                <w:spacing w:val="-1"/>
                <w:sz w:val="24"/>
                <w:szCs w:val="24"/>
              </w:rPr>
              <w:t>，计算出来的Q值小于1</w:t>
            </w:r>
            <w:r>
              <w:rPr>
                <w:rFonts w:hint="default" w:ascii="Times New Roman" w:hAnsi="Times New Roman" w:cs="Times New Roman"/>
                <w:color w:val="auto"/>
                <w:spacing w:val="-1"/>
                <w:sz w:val="24"/>
                <w:szCs w:val="24"/>
                <w:lang w:eastAsia="zh-CN"/>
              </w:rPr>
              <w:t>，</w:t>
            </w:r>
            <w:r>
              <w:rPr>
                <w:rFonts w:hint="default" w:ascii="Times New Roman" w:hAnsi="Times New Roman" w:cs="Times New Roman"/>
                <w:color w:val="auto"/>
                <w:kern w:val="0"/>
                <w:sz w:val="24"/>
                <w:szCs w:val="24"/>
              </w:rPr>
              <w:t>项目环境风险潜势为I。</w:t>
            </w:r>
          </w:p>
          <w:p w14:paraId="7A4E2288">
            <w:pPr>
              <w:bidi w:val="0"/>
              <w:ind w:left="0" w:leftChars="0" w:firstLine="0" w:firstLineChars="0"/>
              <w:rPr>
                <w:rFonts w:hint="default"/>
                <w:b/>
                <w:bCs/>
                <w:color w:val="auto"/>
              </w:rPr>
            </w:pPr>
            <w:r>
              <w:rPr>
                <w:rFonts w:hint="eastAsia"/>
                <w:b/>
                <w:bCs/>
                <w:color w:val="auto"/>
                <w:lang w:val="en-US" w:eastAsia="zh-CN"/>
              </w:rPr>
              <w:t>4.</w:t>
            </w:r>
            <w:r>
              <w:rPr>
                <w:rFonts w:hint="default"/>
                <w:b/>
                <w:bCs/>
                <w:color w:val="auto"/>
              </w:rPr>
              <w:t>6.3 环境风险识别</w:t>
            </w:r>
          </w:p>
          <w:p w14:paraId="2C3B9BF6">
            <w:pPr>
              <w:widowControl/>
              <w:spacing w:line="360" w:lineRule="auto"/>
              <w:ind w:firstLine="480"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kern w:val="0"/>
                <w:sz w:val="24"/>
                <w:szCs w:val="24"/>
              </w:rPr>
              <w:t>据以上风险调查结果、风险潜势初判和评价工作等级判定，</w:t>
            </w:r>
            <w:r>
              <w:rPr>
                <w:rFonts w:hint="default" w:ascii="Times New Roman" w:hAnsi="Times New Roman" w:cs="Times New Roman" w:eastAsiaTheme="minorEastAsia"/>
                <w:color w:val="auto"/>
                <w:kern w:val="0"/>
                <w:sz w:val="24"/>
                <w:szCs w:val="24"/>
                <w:lang w:eastAsia="zh-CN"/>
              </w:rPr>
              <w:t>本项目</w:t>
            </w:r>
            <w:r>
              <w:rPr>
                <w:rFonts w:hint="default" w:ascii="Times New Roman" w:hAnsi="Times New Roman" w:cs="Times New Roman" w:eastAsiaTheme="minorEastAsia"/>
                <w:color w:val="auto"/>
                <w:kern w:val="0"/>
                <w:sz w:val="24"/>
                <w:szCs w:val="24"/>
              </w:rPr>
              <w:t>风险识别结果如下：</w:t>
            </w:r>
          </w:p>
          <w:p w14:paraId="27E5BD14">
            <w:pPr>
              <w:widowControl/>
              <w:spacing w:line="360" w:lineRule="auto"/>
              <w:ind w:firstLine="480" w:firstLineChars="200"/>
              <w:jc w:val="left"/>
              <w:rPr>
                <w:rFonts w:hint="default" w:ascii="Times New Roman" w:hAnsi="Times New Roman" w:cs="Times New Roman" w:eastAsiaTheme="minorEastAsia"/>
                <w:color w:val="auto"/>
                <w:kern w:val="0"/>
                <w:sz w:val="24"/>
                <w:szCs w:val="24"/>
                <w:lang w:val="en-US"/>
              </w:rPr>
            </w:pPr>
            <w:r>
              <w:rPr>
                <w:rFonts w:hint="default" w:ascii="Times New Roman" w:hAnsi="Times New Roman" w:cs="Times New Roman" w:eastAsiaTheme="minorEastAsia"/>
                <w:color w:val="auto"/>
                <w:kern w:val="0"/>
                <w:sz w:val="24"/>
                <w:szCs w:val="24"/>
              </w:rPr>
              <w:t>（1）风险物质及分布：</w:t>
            </w:r>
            <w:r>
              <w:rPr>
                <w:rFonts w:hint="default" w:ascii="Times New Roman" w:hAnsi="Times New Roman" w:cs="Times New Roman" w:eastAsiaTheme="minorEastAsia"/>
                <w:color w:val="auto"/>
                <w:kern w:val="0"/>
                <w:sz w:val="24"/>
                <w:szCs w:val="24"/>
                <w:lang w:eastAsia="zh-CN"/>
              </w:rPr>
              <w:t>设备中的</w:t>
            </w:r>
            <w:r>
              <w:rPr>
                <w:rFonts w:hint="eastAsia" w:cs="Times New Roman" w:eastAsiaTheme="minorEastAsia"/>
                <w:color w:val="auto"/>
                <w:kern w:val="0"/>
                <w:sz w:val="24"/>
                <w:szCs w:val="24"/>
                <w:lang w:val="en-US" w:eastAsia="zh-CN"/>
              </w:rPr>
              <w:t>辅料</w:t>
            </w:r>
            <w:r>
              <w:rPr>
                <w:rFonts w:hint="default" w:ascii="Times New Roman" w:hAnsi="Times New Roman" w:cs="Times New Roman" w:eastAsiaTheme="minorEastAsia"/>
                <w:color w:val="auto"/>
                <w:kern w:val="0"/>
                <w:sz w:val="24"/>
                <w:szCs w:val="24"/>
                <w:lang w:val="en-US" w:eastAsia="zh-CN"/>
              </w:rPr>
              <w:t>库的</w:t>
            </w:r>
            <w:r>
              <w:rPr>
                <w:rFonts w:hint="eastAsia" w:cs="Times New Roman" w:eastAsiaTheme="minorEastAsia"/>
                <w:color w:val="auto"/>
                <w:kern w:val="0"/>
                <w:sz w:val="24"/>
                <w:szCs w:val="24"/>
                <w:lang w:val="en-US" w:eastAsia="zh-CN"/>
              </w:rPr>
              <w:t>水性丙烯酸面漆</w:t>
            </w:r>
            <w:r>
              <w:rPr>
                <w:rFonts w:hint="default" w:ascii="Times New Roman" w:hAnsi="Times New Roman" w:cs="Times New Roman" w:eastAsiaTheme="minorEastAsia"/>
                <w:color w:val="auto"/>
                <w:kern w:val="0"/>
                <w:sz w:val="24"/>
                <w:szCs w:val="24"/>
                <w:lang w:val="en-US" w:eastAsia="zh-CN"/>
              </w:rPr>
              <w:t>、润滑油</w:t>
            </w:r>
            <w:r>
              <w:rPr>
                <w:rFonts w:hint="eastAsia" w:cs="Times New Roman" w:eastAsiaTheme="minorEastAsia"/>
                <w:color w:val="auto"/>
                <w:kern w:val="0"/>
                <w:sz w:val="24"/>
                <w:szCs w:val="24"/>
                <w:lang w:val="en-US" w:eastAsia="zh-CN"/>
              </w:rPr>
              <w:t>等</w:t>
            </w:r>
            <w:r>
              <w:rPr>
                <w:rFonts w:hint="default" w:ascii="Times New Roman" w:hAnsi="Times New Roman" w:cs="Times New Roman" w:eastAsiaTheme="minorEastAsia"/>
                <w:color w:val="auto"/>
                <w:kern w:val="0"/>
                <w:sz w:val="24"/>
                <w:szCs w:val="24"/>
                <w:lang w:val="en-US" w:eastAsia="zh-CN"/>
              </w:rPr>
              <w:t>；</w:t>
            </w:r>
            <w:r>
              <w:rPr>
                <w:rFonts w:hint="default" w:ascii="Times New Roman" w:hAnsi="Times New Roman" w:cs="Times New Roman" w:eastAsiaTheme="minorEastAsia"/>
                <w:color w:val="auto"/>
                <w:kern w:val="0"/>
                <w:sz w:val="24"/>
                <w:szCs w:val="24"/>
              </w:rPr>
              <w:t>暂存于危废暂存间的</w:t>
            </w:r>
            <w:r>
              <w:rPr>
                <w:rFonts w:hint="eastAsia" w:cs="Times New Roman"/>
                <w:color w:val="auto"/>
                <w:kern w:val="0"/>
                <w:sz w:val="24"/>
                <w:szCs w:val="24"/>
                <w:lang w:val="en-US" w:eastAsia="zh-CN"/>
              </w:rPr>
              <w:t>废包装容器，漆渣，废润滑油，含油抹布手套，废滤芯，废活性炭</w:t>
            </w:r>
            <w:r>
              <w:rPr>
                <w:rFonts w:hint="eastAsia" w:ascii="Times New Roman" w:hAnsi="Times New Roman" w:cs="Times New Roman"/>
                <w:color w:val="auto"/>
                <w:kern w:val="0"/>
                <w:sz w:val="24"/>
                <w:szCs w:val="24"/>
                <w:lang w:val="en-US" w:eastAsia="zh-CN"/>
              </w:rPr>
              <w:t>等</w:t>
            </w:r>
            <w:r>
              <w:rPr>
                <w:rFonts w:hint="default" w:ascii="Times New Roman" w:hAnsi="Times New Roman" w:cs="Times New Roman" w:eastAsiaTheme="minorEastAsia"/>
                <w:color w:val="auto"/>
                <w:kern w:val="0"/>
                <w:sz w:val="24"/>
                <w:szCs w:val="24"/>
                <w:lang w:val="en-US" w:eastAsia="zh-CN"/>
              </w:rPr>
              <w:t>。</w:t>
            </w:r>
          </w:p>
          <w:p w14:paraId="1F614577">
            <w:pPr>
              <w:widowControl/>
              <w:spacing w:line="360" w:lineRule="auto"/>
              <w:ind w:firstLine="480"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kern w:val="0"/>
                <w:sz w:val="24"/>
                <w:szCs w:val="24"/>
              </w:rPr>
              <w:t>（2）接触火源、电气设备短路、原材料等可能导致火灾事故，因此生产中存在火灾事故的风险。火灾事故对环境的影响较为严重。</w:t>
            </w:r>
            <w:r>
              <w:rPr>
                <w:rFonts w:hint="eastAsia" w:cs="Times New Roman" w:eastAsiaTheme="minorEastAsia"/>
                <w:color w:val="auto"/>
                <w:kern w:val="0"/>
                <w:sz w:val="24"/>
                <w:szCs w:val="24"/>
                <w:lang w:eastAsia="zh-CN"/>
              </w:rPr>
              <w:t>火灾事故</w:t>
            </w:r>
            <w:r>
              <w:rPr>
                <w:rFonts w:hint="default" w:ascii="Times New Roman" w:hAnsi="Times New Roman" w:cs="Times New Roman" w:eastAsiaTheme="minorEastAsia"/>
                <w:color w:val="auto"/>
                <w:kern w:val="0"/>
                <w:sz w:val="24"/>
                <w:szCs w:val="24"/>
              </w:rPr>
              <w:t>一旦发生，不但会造成人员的伤亡，财产的损失，还将影响和妨碍作物生长，燃烧产生的大量碳氢化合物、一氧化碳、烟尘等污染物还会造成大气污染，火灾事故主要危害集中在事故现场。</w:t>
            </w:r>
          </w:p>
          <w:p w14:paraId="30DAA6D2">
            <w:pPr>
              <w:widowControl/>
              <w:spacing w:line="360" w:lineRule="auto"/>
              <w:ind w:firstLine="480" w:firstLineChars="200"/>
              <w:jc w:val="left"/>
              <w:rPr>
                <w:rFonts w:hint="default" w:ascii="Times New Roman" w:hAnsi="Times New Roman" w:cs="Times New Roman" w:eastAsiaTheme="minorEastAsia"/>
                <w:color w:val="auto"/>
                <w:kern w:val="0"/>
                <w:sz w:val="24"/>
                <w:szCs w:val="24"/>
              </w:rPr>
            </w:pPr>
            <w:r>
              <w:rPr>
                <w:rFonts w:hint="default" w:ascii="Times New Roman" w:hAnsi="Times New Roman" w:cs="Times New Roman" w:eastAsiaTheme="minorEastAsia"/>
                <w:color w:val="auto"/>
                <w:kern w:val="0"/>
                <w:sz w:val="24"/>
                <w:szCs w:val="24"/>
              </w:rPr>
              <w:t>（</w:t>
            </w:r>
            <w:r>
              <w:rPr>
                <w:rFonts w:hint="eastAsia" w:cs="Times New Roman" w:eastAsiaTheme="minorEastAsia"/>
                <w:color w:val="auto"/>
                <w:kern w:val="0"/>
                <w:sz w:val="24"/>
                <w:szCs w:val="24"/>
                <w:lang w:val="en-US" w:eastAsia="zh-CN"/>
              </w:rPr>
              <w:t>3</w:t>
            </w:r>
            <w:r>
              <w:rPr>
                <w:rFonts w:hint="default" w:ascii="Times New Roman" w:hAnsi="Times New Roman" w:cs="Times New Roman" w:eastAsiaTheme="minorEastAsia"/>
                <w:color w:val="auto"/>
                <w:kern w:val="0"/>
                <w:sz w:val="24"/>
                <w:szCs w:val="24"/>
              </w:rPr>
              <w:t>）危废暂存间内的废</w:t>
            </w:r>
            <w:r>
              <w:rPr>
                <w:rFonts w:hint="default" w:ascii="Times New Roman" w:hAnsi="Times New Roman" w:cs="Times New Roman" w:eastAsiaTheme="minorEastAsia"/>
                <w:color w:val="auto"/>
                <w:kern w:val="0"/>
                <w:sz w:val="24"/>
                <w:szCs w:val="24"/>
                <w:lang w:eastAsia="zh-CN"/>
              </w:rPr>
              <w:t>润滑</w:t>
            </w:r>
            <w:r>
              <w:rPr>
                <w:rFonts w:hint="default" w:ascii="Times New Roman" w:hAnsi="Times New Roman" w:cs="Times New Roman" w:eastAsiaTheme="minorEastAsia"/>
                <w:color w:val="auto"/>
                <w:kern w:val="0"/>
                <w:sz w:val="24"/>
                <w:szCs w:val="24"/>
              </w:rPr>
              <w:t>油发生泄漏，下渗，污染周边土壤、地下水。</w:t>
            </w:r>
          </w:p>
          <w:p w14:paraId="432B82FD">
            <w:pPr>
              <w:widowControl/>
              <w:spacing w:line="360" w:lineRule="auto"/>
              <w:ind w:firstLine="480"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kern w:val="0"/>
                <w:sz w:val="24"/>
                <w:szCs w:val="24"/>
              </w:rPr>
              <w:t>（</w:t>
            </w:r>
            <w:r>
              <w:rPr>
                <w:rFonts w:hint="eastAsia" w:cs="Times New Roman" w:eastAsiaTheme="minorEastAsia"/>
                <w:color w:val="auto"/>
                <w:kern w:val="0"/>
                <w:sz w:val="24"/>
                <w:szCs w:val="24"/>
                <w:lang w:val="en-US" w:eastAsia="zh-CN"/>
              </w:rPr>
              <w:t>4</w:t>
            </w:r>
            <w:r>
              <w:rPr>
                <w:rFonts w:hint="default" w:ascii="Times New Roman" w:hAnsi="Times New Roman" w:cs="Times New Roman" w:eastAsiaTheme="minorEastAsia"/>
                <w:color w:val="auto"/>
                <w:kern w:val="0"/>
                <w:sz w:val="24"/>
                <w:szCs w:val="24"/>
              </w:rPr>
              <w:t>）主要影响途径为：</w:t>
            </w:r>
            <w:r>
              <w:rPr>
                <w:rFonts w:hint="eastAsia" w:cs="Times New Roman" w:eastAsiaTheme="minorEastAsia"/>
                <w:color w:val="auto"/>
                <w:kern w:val="0"/>
                <w:sz w:val="24"/>
                <w:szCs w:val="24"/>
                <w:lang w:val="en-US" w:eastAsia="zh-CN"/>
              </w:rPr>
              <w:t>辅料</w:t>
            </w:r>
            <w:r>
              <w:rPr>
                <w:rFonts w:hint="default" w:ascii="Times New Roman" w:hAnsi="Times New Roman" w:cs="Times New Roman" w:eastAsiaTheme="minorEastAsia"/>
                <w:color w:val="auto"/>
                <w:kern w:val="0"/>
                <w:sz w:val="24"/>
                <w:szCs w:val="24"/>
              </w:rPr>
              <w:t>库的</w:t>
            </w:r>
            <w:r>
              <w:rPr>
                <w:rFonts w:hint="eastAsia" w:cs="Times New Roman" w:eastAsiaTheme="minorEastAsia"/>
                <w:color w:val="auto"/>
                <w:kern w:val="0"/>
                <w:sz w:val="24"/>
                <w:szCs w:val="24"/>
                <w:lang w:val="en-US" w:eastAsia="zh-CN"/>
              </w:rPr>
              <w:t>水性丙烯酸面漆、</w:t>
            </w:r>
            <w:r>
              <w:rPr>
                <w:rFonts w:hint="default" w:ascii="Times New Roman" w:hAnsi="Times New Roman" w:cs="Times New Roman" w:eastAsiaTheme="minorEastAsia"/>
                <w:color w:val="auto"/>
                <w:kern w:val="0"/>
                <w:sz w:val="24"/>
                <w:szCs w:val="24"/>
                <w:lang w:val="en-US" w:eastAsia="zh-CN"/>
              </w:rPr>
              <w:t>润滑油</w:t>
            </w:r>
            <w:r>
              <w:rPr>
                <w:rFonts w:hint="eastAsia" w:cs="Times New Roman" w:eastAsiaTheme="minorEastAsia"/>
                <w:color w:val="auto"/>
                <w:kern w:val="0"/>
                <w:sz w:val="24"/>
                <w:szCs w:val="24"/>
                <w:lang w:val="en-US" w:eastAsia="zh-CN"/>
              </w:rPr>
              <w:t>等</w:t>
            </w:r>
            <w:r>
              <w:rPr>
                <w:rFonts w:hint="default" w:ascii="Times New Roman" w:hAnsi="Times New Roman" w:cs="Times New Roman" w:eastAsiaTheme="minorEastAsia"/>
                <w:color w:val="auto"/>
                <w:kern w:val="0"/>
                <w:sz w:val="24"/>
                <w:szCs w:val="24"/>
                <w:lang w:eastAsia="zh-CN"/>
              </w:rPr>
              <w:t>、</w:t>
            </w:r>
            <w:r>
              <w:rPr>
                <w:rFonts w:hint="eastAsia" w:cs="Times New Roman" w:eastAsiaTheme="minorEastAsia"/>
                <w:color w:val="auto"/>
                <w:kern w:val="0"/>
                <w:sz w:val="24"/>
                <w:szCs w:val="24"/>
                <w:lang w:val="en-US" w:eastAsia="zh-CN"/>
              </w:rPr>
              <w:t>危废暂存间液体危险废物</w:t>
            </w:r>
            <w:r>
              <w:rPr>
                <w:rFonts w:hint="default" w:ascii="Times New Roman" w:hAnsi="Times New Roman" w:cs="Times New Roman" w:eastAsiaTheme="minorEastAsia"/>
                <w:color w:val="auto"/>
                <w:kern w:val="0"/>
                <w:sz w:val="24"/>
                <w:szCs w:val="24"/>
              </w:rPr>
              <w:t>发生泄漏，下渗，污染周边土壤、地下水。</w:t>
            </w:r>
          </w:p>
          <w:p w14:paraId="7450DA67">
            <w:pPr>
              <w:bidi w:val="0"/>
              <w:ind w:left="0" w:leftChars="0" w:firstLine="0" w:firstLineChars="0"/>
              <w:rPr>
                <w:rFonts w:hint="default"/>
                <w:color w:val="auto"/>
                <w:lang w:val="en-US" w:eastAsia="zh-CN"/>
              </w:rPr>
            </w:pPr>
            <w:bookmarkStart w:id="10" w:name="_Toc22277"/>
            <w:r>
              <w:rPr>
                <w:rFonts w:hint="eastAsia"/>
                <w:b/>
                <w:bCs/>
                <w:color w:val="auto"/>
                <w:lang w:val="en-US" w:eastAsia="zh-CN"/>
              </w:rPr>
              <w:t>4.</w:t>
            </w:r>
            <w:r>
              <w:rPr>
                <w:rFonts w:hint="default"/>
                <w:b/>
                <w:bCs/>
                <w:color w:val="auto"/>
                <w:lang w:val="en-US" w:eastAsia="zh-CN"/>
              </w:rPr>
              <w:t>6.4</w:t>
            </w:r>
            <w:r>
              <w:rPr>
                <w:rFonts w:hint="eastAsia"/>
                <w:b/>
                <w:bCs/>
                <w:color w:val="auto"/>
                <w:lang w:val="en-US" w:eastAsia="zh-CN"/>
              </w:rPr>
              <w:t xml:space="preserve"> </w:t>
            </w:r>
            <w:r>
              <w:rPr>
                <w:rFonts w:hint="default"/>
                <w:b/>
                <w:bCs/>
                <w:color w:val="auto"/>
                <w:lang w:val="en-US" w:eastAsia="zh-CN"/>
              </w:rPr>
              <w:t>环境风险影响途径</w:t>
            </w:r>
          </w:p>
          <w:p w14:paraId="42FAA3AB">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（1）贮存过程</w:t>
            </w:r>
          </w:p>
          <w:p w14:paraId="6178133D">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贮存过程事故风险主要是因设备和</w:t>
            </w:r>
            <w:r>
              <w:rPr>
                <w:rFonts w:hint="eastAsia" w:cs="Times New Roman"/>
                <w:color w:val="auto"/>
                <w:sz w:val="24"/>
                <w:szCs w:val="24"/>
                <w:lang w:val="en-US" w:eastAsia="zh-CN"/>
              </w:rPr>
              <w:t>辅料</w:t>
            </w:r>
            <w:r>
              <w:rPr>
                <w:rFonts w:hint="default" w:ascii="Times New Roman" w:hAnsi="Times New Roman" w:cs="Times New Roman"/>
                <w:color w:val="auto"/>
                <w:sz w:val="24"/>
                <w:szCs w:val="24"/>
                <w:lang w:val="en-US" w:eastAsia="zh-CN"/>
              </w:rPr>
              <w:t>料桶泄漏而造成的</w:t>
            </w:r>
            <w:r>
              <w:rPr>
                <w:rFonts w:hint="eastAsia" w:cs="Times New Roman"/>
                <w:color w:val="auto"/>
                <w:sz w:val="24"/>
                <w:szCs w:val="24"/>
                <w:lang w:val="en-US" w:eastAsia="zh-CN"/>
              </w:rPr>
              <w:t>液体</w:t>
            </w:r>
            <w:r>
              <w:rPr>
                <w:rFonts w:hint="default" w:ascii="Times New Roman" w:hAnsi="Times New Roman" w:cs="Times New Roman"/>
                <w:color w:val="auto"/>
                <w:sz w:val="24"/>
                <w:szCs w:val="24"/>
                <w:lang w:val="en-US" w:eastAsia="zh-CN"/>
              </w:rPr>
              <w:t>原料释放等污染事故，本项目主要涉及</w:t>
            </w:r>
            <w:r>
              <w:rPr>
                <w:rFonts w:hint="eastAsia" w:cs="Times New Roman"/>
                <w:color w:val="auto"/>
                <w:sz w:val="24"/>
                <w:szCs w:val="24"/>
                <w:lang w:val="en-US" w:eastAsia="zh-CN"/>
              </w:rPr>
              <w:t>辅料库</w:t>
            </w:r>
            <w:r>
              <w:rPr>
                <w:rFonts w:hint="default" w:ascii="Times New Roman" w:hAnsi="Times New Roman" w:cs="Times New Roman"/>
                <w:color w:val="auto"/>
                <w:sz w:val="24"/>
                <w:szCs w:val="24"/>
                <w:lang w:val="en-US" w:eastAsia="zh-CN"/>
              </w:rPr>
              <w:t>。</w:t>
            </w:r>
          </w:p>
          <w:p w14:paraId="130EC4C1">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（2）废气事故</w:t>
            </w:r>
          </w:p>
          <w:p w14:paraId="770C07FB">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发生事故的原因主要有</w:t>
            </w:r>
            <w:r>
              <w:rPr>
                <w:rFonts w:hint="eastAsia" w:cs="Times New Roman"/>
                <w:color w:val="auto"/>
                <w:sz w:val="24"/>
                <w:szCs w:val="24"/>
                <w:lang w:val="en-US" w:eastAsia="zh-CN"/>
              </w:rPr>
              <w:t>以下几点</w:t>
            </w:r>
            <w:r>
              <w:rPr>
                <w:rFonts w:hint="default" w:ascii="Times New Roman" w:hAnsi="Times New Roman" w:cs="Times New Roman"/>
                <w:color w:val="auto"/>
                <w:sz w:val="24"/>
                <w:szCs w:val="24"/>
                <w:lang w:val="en-US" w:eastAsia="zh-CN"/>
              </w:rPr>
              <w:t>：</w:t>
            </w:r>
          </w:p>
          <w:p w14:paraId="4D99A040">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①废气处理系统在出现故障、设备开车、停车检修时，未经处理的废气排入大气环境；</w:t>
            </w:r>
          </w:p>
          <w:p w14:paraId="49DDD566">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②生产过程中由于设备老化、腐蚀、失误操作等原因造成车间废气浓度超标；</w:t>
            </w:r>
          </w:p>
          <w:p w14:paraId="7142371D">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③厂内突然停电，废气处理系统停止工作</w:t>
            </w:r>
            <w:r>
              <w:rPr>
                <w:rFonts w:hint="eastAsia" w:cs="Times New Roman"/>
                <w:color w:val="auto"/>
                <w:sz w:val="24"/>
                <w:szCs w:val="24"/>
                <w:lang w:val="en-US" w:eastAsia="zh-CN"/>
              </w:rPr>
              <w:t>，导</w:t>
            </w:r>
            <w:r>
              <w:rPr>
                <w:rFonts w:hint="default" w:ascii="Times New Roman" w:hAnsi="Times New Roman" w:cs="Times New Roman"/>
                <w:color w:val="auto"/>
                <w:sz w:val="24"/>
                <w:szCs w:val="24"/>
                <w:lang w:val="en-US" w:eastAsia="zh-CN"/>
              </w:rPr>
              <w:t>致废气不能得到及时处理而造成事故排放；</w:t>
            </w:r>
          </w:p>
          <w:p w14:paraId="44A2A53A">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④废气治理措施疏于管理，使废气治理措施处理效率降低造成浓度超标；</w:t>
            </w:r>
          </w:p>
          <w:p w14:paraId="19B5AC38">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（3）固废事故（危险废物）</w:t>
            </w:r>
          </w:p>
          <w:p w14:paraId="24FEC905">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危险废物中</w:t>
            </w:r>
            <w:r>
              <w:rPr>
                <w:rFonts w:hint="default" w:ascii="Times New Roman" w:hAnsi="Times New Roman" w:cs="Times New Roman"/>
                <w:color w:val="auto"/>
                <w:kern w:val="0"/>
                <w:sz w:val="24"/>
                <w:szCs w:val="24"/>
                <w:lang w:val="en-US" w:eastAsia="zh-CN"/>
              </w:rPr>
              <w:t>废包装容器，漆渣，废润滑油，含油抹布手套，</w:t>
            </w:r>
            <w:r>
              <w:rPr>
                <w:rFonts w:hint="eastAsia" w:cs="Times New Roman"/>
                <w:color w:val="auto"/>
                <w:kern w:val="0"/>
                <w:sz w:val="24"/>
                <w:szCs w:val="24"/>
                <w:lang w:val="en-US" w:eastAsia="zh-CN"/>
              </w:rPr>
              <w:t>废滤芯</w:t>
            </w:r>
            <w:r>
              <w:rPr>
                <w:rFonts w:hint="default" w:ascii="Times New Roman" w:hAnsi="Times New Roman" w:cs="Times New Roman"/>
                <w:color w:val="auto"/>
                <w:kern w:val="0"/>
                <w:sz w:val="24"/>
                <w:szCs w:val="24"/>
                <w:lang w:val="en-US" w:eastAsia="zh-CN"/>
              </w:rPr>
              <w:t>、废活性炭</w:t>
            </w:r>
            <w:r>
              <w:rPr>
                <w:rFonts w:hint="eastAsia" w:cs="Times New Roman"/>
                <w:color w:val="auto"/>
                <w:kern w:val="0"/>
                <w:sz w:val="24"/>
                <w:szCs w:val="24"/>
                <w:lang w:val="en-US" w:eastAsia="zh-CN"/>
              </w:rPr>
              <w:t>等</w:t>
            </w:r>
            <w:r>
              <w:rPr>
                <w:rFonts w:hint="default" w:ascii="Times New Roman" w:hAnsi="Times New Roman" w:cs="Times New Roman"/>
                <w:color w:val="auto"/>
                <w:sz w:val="24"/>
                <w:szCs w:val="24"/>
                <w:lang w:val="en-US" w:eastAsia="zh-CN"/>
              </w:rPr>
              <w:t>在厂区危废库内暂存。若由于人员管理失误等原因导致危废混入生活垃圾、一般固废或溶于雨水并流失出厂，公司相关危废台账出现误差，违反了《中华人民共和国固体废物污染环境防治法》（2020年4月29日修订）中“第二十条：产生、收集、贮存、运输、利用、处置固体废物的单位和其他生产经营者，应当采取防扬散、防流失、防渗漏或者其他防止污染环境的措施，不得擅自倾倒、堆放、丢弃、遗撒固体废物”、“第七十九条：产生危险废物的单位，应当按照国家有关规定和环境保护标准要求贮存、利用、处置危险废物，不得擅自倾倒、堆放”等条款。</w:t>
            </w:r>
          </w:p>
          <w:p w14:paraId="699EFEB9">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（4）火灾</w:t>
            </w:r>
          </w:p>
          <w:p w14:paraId="1C379456">
            <w:pPr>
              <w:bidi w:val="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项目发生火灾时，含化学品和其他废物的消防废水未经处理直接排入市政管网可能影响地下水和土壤环境。</w:t>
            </w:r>
          </w:p>
          <w:p w14:paraId="17D42CBB">
            <w:pPr>
              <w:bidi w:val="0"/>
              <w:ind w:left="0" w:leftChars="0" w:firstLine="0" w:firstLineChars="0"/>
              <w:rPr>
                <w:rFonts w:hint="default"/>
                <w:b/>
                <w:bCs/>
                <w:color w:val="auto"/>
              </w:rPr>
            </w:pPr>
            <w:r>
              <w:rPr>
                <w:rFonts w:hint="eastAsia"/>
                <w:b/>
                <w:bCs/>
                <w:color w:val="auto"/>
                <w:lang w:val="en-US" w:eastAsia="zh-CN"/>
              </w:rPr>
              <w:t>4.</w:t>
            </w:r>
            <w:r>
              <w:rPr>
                <w:rFonts w:hint="default"/>
                <w:b/>
                <w:bCs/>
                <w:color w:val="auto"/>
                <w:lang w:val="en-US" w:eastAsia="zh-CN"/>
              </w:rPr>
              <w:t>6.5</w:t>
            </w:r>
            <w:r>
              <w:rPr>
                <w:rFonts w:hint="eastAsia"/>
                <w:b/>
                <w:bCs/>
                <w:color w:val="auto"/>
                <w:lang w:val="en-US" w:eastAsia="zh-CN"/>
              </w:rPr>
              <w:t xml:space="preserve"> </w:t>
            </w:r>
            <w:r>
              <w:rPr>
                <w:rFonts w:hint="default"/>
                <w:b/>
                <w:bCs/>
                <w:color w:val="auto"/>
              </w:rPr>
              <w:t>风险防范措施</w:t>
            </w:r>
          </w:p>
          <w:p w14:paraId="3154513B">
            <w:pPr>
              <w:widowControl/>
              <w:spacing w:line="360" w:lineRule="auto"/>
              <w:ind w:firstLine="480"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kern w:val="0"/>
                <w:sz w:val="24"/>
                <w:szCs w:val="24"/>
              </w:rPr>
              <w:t>有害物质危害防治主要从两方面考虑，首先从工艺上控制源头，采用先进的生产工艺和装备，尽可能不排或少排，以达到降低工作场所有害物质的目的；其次不可避免排除的有害物质采取国内外相应高效的治理措施，并对操作人员采取相应的防护性措施，尽可能减轻对操作人员的危害。</w:t>
            </w:r>
          </w:p>
          <w:p w14:paraId="53EA1323">
            <w:pPr>
              <w:widowControl/>
              <w:spacing w:line="360" w:lineRule="auto"/>
              <w:jc w:val="left"/>
              <w:rPr>
                <w:rFonts w:hint="default" w:ascii="Times New Roman" w:hAnsi="Times New Roman" w:cs="Times New Roman" w:eastAsiaTheme="minorEastAsia"/>
                <w:b/>
                <w:bCs/>
                <w:color w:val="auto"/>
                <w:kern w:val="0"/>
                <w:sz w:val="24"/>
                <w:szCs w:val="24"/>
              </w:rPr>
            </w:pPr>
            <w:r>
              <w:rPr>
                <w:rFonts w:hint="default" w:ascii="Times New Roman" w:hAnsi="Times New Roman" w:cs="Times New Roman" w:eastAsiaTheme="minorEastAsia"/>
                <w:b/>
                <w:bCs/>
                <w:color w:val="auto"/>
                <w:kern w:val="0"/>
                <w:sz w:val="24"/>
                <w:szCs w:val="24"/>
              </w:rPr>
              <w:t>（1）贮存过程风险防范</w:t>
            </w:r>
          </w:p>
          <w:p w14:paraId="4A5E16E0">
            <w:pPr>
              <w:widowControl/>
              <w:spacing w:line="360" w:lineRule="auto"/>
              <w:ind w:firstLine="480" w:firstLineChars="200"/>
              <w:jc w:val="left"/>
              <w:rPr>
                <w:rFonts w:hint="default" w:ascii="Times New Roman" w:hAnsi="Times New Roman" w:cs="Times New Roman" w:eastAsiaTheme="minorEastAsia"/>
                <w:b w:val="0"/>
                <w:bCs w:val="0"/>
                <w:color w:val="auto"/>
                <w:kern w:val="0"/>
                <w:sz w:val="24"/>
                <w:szCs w:val="24"/>
              </w:rPr>
            </w:pPr>
            <w:r>
              <w:rPr>
                <w:rFonts w:hint="default" w:ascii="Times New Roman" w:hAnsi="Times New Roman" w:cs="Times New Roman" w:eastAsiaTheme="minorEastAsia"/>
                <w:b w:val="0"/>
                <w:bCs w:val="0"/>
                <w:color w:val="auto"/>
                <w:kern w:val="0"/>
                <w:sz w:val="24"/>
                <w:szCs w:val="24"/>
              </w:rPr>
              <w:t>化学品原料出入库必须检查验收登记，贮存期间定期养护，控制好贮存场所的温度和湿度，做好防火措施；装卸、搬运时应轻装轻卸，注意自我防护。要严格遵守有关贮存的安全规定，具体包括《仓库防火安全管理规则》、《建筑设计防火规范》等。</w:t>
            </w:r>
          </w:p>
          <w:p w14:paraId="73A24D1F">
            <w:pPr>
              <w:widowControl/>
              <w:spacing w:line="360" w:lineRule="auto"/>
              <w:ind w:firstLine="482" w:firstLineChars="200"/>
              <w:jc w:val="left"/>
              <w:rPr>
                <w:rFonts w:hint="default" w:ascii="Times New Roman" w:hAnsi="Times New Roman" w:cs="Times New Roman" w:eastAsiaTheme="minorEastAsia"/>
                <w:b/>
                <w:bCs/>
                <w:color w:val="auto"/>
                <w:kern w:val="0"/>
                <w:sz w:val="24"/>
                <w:szCs w:val="24"/>
              </w:rPr>
            </w:pPr>
            <w:r>
              <w:rPr>
                <w:rFonts w:hint="default" w:ascii="Times New Roman" w:hAnsi="Times New Roman" w:cs="Times New Roman" w:eastAsiaTheme="minorEastAsia"/>
                <w:b/>
                <w:bCs/>
                <w:color w:val="auto"/>
                <w:kern w:val="0"/>
                <w:sz w:val="24"/>
                <w:szCs w:val="24"/>
              </w:rPr>
              <w:t>（2）废气事故风险防范措施</w:t>
            </w:r>
          </w:p>
          <w:p w14:paraId="58B3BDE7">
            <w:pPr>
              <w:widowControl/>
              <w:spacing w:line="360" w:lineRule="auto"/>
              <w:ind w:firstLine="480" w:firstLineChars="200"/>
              <w:jc w:val="left"/>
              <w:rPr>
                <w:rFonts w:hint="default" w:ascii="Times New Roman" w:hAnsi="Times New Roman" w:cs="Times New Roman" w:eastAsiaTheme="minorEastAsia"/>
                <w:b w:val="0"/>
                <w:bCs w:val="0"/>
                <w:color w:val="auto"/>
                <w:kern w:val="0"/>
                <w:sz w:val="24"/>
                <w:szCs w:val="24"/>
              </w:rPr>
            </w:pPr>
            <w:r>
              <w:rPr>
                <w:rFonts w:hint="default" w:ascii="Times New Roman" w:hAnsi="Times New Roman" w:cs="Times New Roman" w:eastAsiaTheme="minorEastAsia"/>
                <w:b w:val="0"/>
                <w:bCs w:val="0"/>
                <w:color w:val="auto"/>
                <w:kern w:val="0"/>
                <w:sz w:val="24"/>
                <w:szCs w:val="24"/>
              </w:rPr>
              <w:t>为杜绝事故性废气排放，建议企业采用以下措施来确保废气达标排放：</w:t>
            </w:r>
          </w:p>
          <w:p w14:paraId="0D3F9A68">
            <w:pPr>
              <w:widowControl/>
              <w:spacing w:line="360" w:lineRule="auto"/>
              <w:ind w:firstLine="480" w:firstLineChars="200"/>
              <w:jc w:val="left"/>
              <w:rPr>
                <w:rFonts w:hint="default" w:ascii="Times New Roman" w:hAnsi="Times New Roman" w:cs="Times New Roman" w:eastAsiaTheme="minorEastAsia"/>
                <w:b w:val="0"/>
                <w:bCs w:val="0"/>
                <w:color w:val="auto"/>
                <w:kern w:val="0"/>
                <w:sz w:val="24"/>
                <w:szCs w:val="24"/>
              </w:rPr>
            </w:pPr>
            <w:r>
              <w:rPr>
                <w:rFonts w:hint="default" w:ascii="Times New Roman" w:hAnsi="Times New Roman" w:cs="Times New Roman" w:eastAsiaTheme="minorEastAsia"/>
                <w:b w:val="0"/>
                <w:bCs w:val="0"/>
                <w:color w:val="auto"/>
                <w:kern w:val="0"/>
                <w:sz w:val="24"/>
                <w:szCs w:val="24"/>
              </w:rPr>
              <w:t>①加强废气处理设施的维护保养，及时发现处理设备的隐患，并及时进行维修，确保废气处理系统正常运行；</w:t>
            </w:r>
          </w:p>
          <w:p w14:paraId="70900D46">
            <w:pPr>
              <w:widowControl/>
              <w:spacing w:line="360" w:lineRule="auto"/>
              <w:ind w:firstLine="480" w:firstLineChars="200"/>
              <w:jc w:val="left"/>
              <w:rPr>
                <w:rFonts w:hint="default" w:ascii="Times New Roman" w:hAnsi="Times New Roman" w:cs="Times New Roman" w:eastAsiaTheme="minorEastAsia"/>
                <w:b w:val="0"/>
                <w:bCs w:val="0"/>
                <w:color w:val="auto"/>
                <w:kern w:val="0"/>
                <w:sz w:val="24"/>
                <w:szCs w:val="24"/>
              </w:rPr>
            </w:pPr>
            <w:r>
              <w:rPr>
                <w:rFonts w:hint="default" w:ascii="Times New Roman" w:hAnsi="Times New Roman" w:cs="Times New Roman" w:eastAsiaTheme="minorEastAsia"/>
                <w:b w:val="0"/>
                <w:bCs w:val="0"/>
                <w:color w:val="auto"/>
                <w:kern w:val="0"/>
                <w:sz w:val="24"/>
                <w:szCs w:val="24"/>
              </w:rPr>
              <w:t>②建立健全的环保机构，配置必要的监测仪器，对管理人员和技术人员进行岗位培训，对废气处理实行全过程跟踪控制；</w:t>
            </w:r>
          </w:p>
          <w:p w14:paraId="56431A1B">
            <w:pPr>
              <w:widowControl/>
              <w:spacing w:line="360" w:lineRule="auto"/>
              <w:ind w:firstLine="480" w:firstLineChars="200"/>
              <w:jc w:val="left"/>
              <w:rPr>
                <w:rFonts w:hint="default" w:ascii="Times New Roman" w:hAnsi="Times New Roman" w:cs="Times New Roman" w:eastAsiaTheme="minorEastAsia"/>
                <w:b w:val="0"/>
                <w:bCs w:val="0"/>
                <w:color w:val="auto"/>
                <w:kern w:val="0"/>
                <w:sz w:val="24"/>
                <w:szCs w:val="24"/>
              </w:rPr>
            </w:pPr>
            <w:r>
              <w:rPr>
                <w:rFonts w:hint="default" w:ascii="Times New Roman" w:hAnsi="Times New Roman" w:cs="Times New Roman" w:eastAsiaTheme="minorEastAsia"/>
                <w:b w:val="0"/>
                <w:bCs w:val="0"/>
                <w:color w:val="auto"/>
                <w:kern w:val="0"/>
                <w:sz w:val="24"/>
                <w:szCs w:val="24"/>
              </w:rPr>
              <w:t>③项目应设有备用电源和备用处理设备，以备停电或设备出现故障时保障废气全部抽入处理系统进行处理以达标排放；</w:t>
            </w:r>
          </w:p>
          <w:p w14:paraId="50D6D4A4">
            <w:pPr>
              <w:widowControl/>
              <w:spacing w:line="360" w:lineRule="auto"/>
              <w:ind w:firstLine="480" w:firstLineChars="200"/>
              <w:jc w:val="left"/>
              <w:rPr>
                <w:rFonts w:hint="default" w:ascii="Times New Roman" w:hAnsi="Times New Roman" w:cs="Times New Roman" w:eastAsiaTheme="minorEastAsia"/>
                <w:b w:val="0"/>
                <w:bCs w:val="0"/>
                <w:color w:val="auto"/>
                <w:kern w:val="0"/>
                <w:sz w:val="24"/>
                <w:szCs w:val="24"/>
              </w:rPr>
            </w:pPr>
            <w:r>
              <w:rPr>
                <w:rFonts w:hint="default" w:ascii="Times New Roman" w:hAnsi="Times New Roman" w:cs="Times New Roman" w:eastAsiaTheme="minorEastAsia"/>
                <w:b w:val="0"/>
                <w:bCs w:val="0"/>
                <w:color w:val="auto"/>
                <w:kern w:val="0"/>
                <w:sz w:val="24"/>
                <w:szCs w:val="24"/>
              </w:rPr>
              <w:t>④项目对废气治理措施应设置备用的废气治理措施，在常用处理设施出现故障的情况下可采用备用处理设施进行处理，防止因此而造成废气的事故性排放。</w:t>
            </w:r>
          </w:p>
          <w:p w14:paraId="2B07C7F6">
            <w:pPr>
              <w:widowControl/>
              <w:spacing w:line="360" w:lineRule="auto"/>
              <w:ind w:firstLine="482"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b/>
                <w:bCs/>
                <w:color w:val="auto"/>
                <w:kern w:val="0"/>
                <w:sz w:val="24"/>
                <w:szCs w:val="24"/>
                <w:lang w:val="en-US" w:eastAsia="zh-CN"/>
              </w:rPr>
              <w:t>（</w:t>
            </w:r>
            <w:r>
              <w:rPr>
                <w:rFonts w:hint="eastAsia" w:cs="Times New Roman" w:eastAsiaTheme="minorEastAsia"/>
                <w:b/>
                <w:bCs/>
                <w:color w:val="auto"/>
                <w:kern w:val="0"/>
                <w:sz w:val="24"/>
                <w:szCs w:val="24"/>
                <w:lang w:val="en-US" w:eastAsia="zh-CN"/>
              </w:rPr>
              <w:t>3</w:t>
            </w:r>
            <w:r>
              <w:rPr>
                <w:rFonts w:hint="default" w:ascii="Times New Roman" w:hAnsi="Times New Roman" w:cs="Times New Roman" w:eastAsiaTheme="minorEastAsia"/>
                <w:b/>
                <w:bCs/>
                <w:color w:val="auto"/>
                <w:kern w:val="0"/>
                <w:sz w:val="24"/>
                <w:szCs w:val="24"/>
                <w:lang w:val="en-US" w:eastAsia="zh-CN"/>
              </w:rPr>
              <w:t>）</w:t>
            </w:r>
            <w:r>
              <w:rPr>
                <w:rFonts w:hint="default" w:ascii="Times New Roman" w:hAnsi="Times New Roman" w:cs="Times New Roman" w:eastAsiaTheme="minorEastAsia"/>
                <w:b/>
                <w:bCs/>
                <w:color w:val="auto"/>
                <w:kern w:val="0"/>
                <w:sz w:val="24"/>
                <w:szCs w:val="24"/>
              </w:rPr>
              <w:t>火灾风险防范措施</w:t>
            </w:r>
          </w:p>
          <w:p w14:paraId="74ECA03B">
            <w:pPr>
              <w:widowControl/>
              <w:spacing w:line="360" w:lineRule="auto"/>
              <w:ind w:firstLine="480"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kern w:val="0"/>
                <w:sz w:val="24"/>
                <w:szCs w:val="24"/>
                <w:lang w:eastAsia="zh-CN"/>
              </w:rPr>
              <w:t>①</w:t>
            </w:r>
            <w:r>
              <w:rPr>
                <w:rFonts w:hint="default" w:ascii="Times New Roman" w:hAnsi="Times New Roman" w:cs="Times New Roman" w:eastAsiaTheme="minorEastAsia"/>
                <w:color w:val="auto"/>
                <w:kern w:val="0"/>
                <w:sz w:val="24"/>
                <w:szCs w:val="24"/>
              </w:rPr>
              <w:t>严防</w:t>
            </w:r>
            <w:r>
              <w:rPr>
                <w:rFonts w:hint="eastAsia" w:cs="Times New Roman" w:eastAsiaTheme="minorEastAsia"/>
                <w:color w:val="auto"/>
                <w:kern w:val="0"/>
                <w:sz w:val="24"/>
                <w:szCs w:val="24"/>
                <w:lang w:val="en-US" w:eastAsia="zh-CN"/>
              </w:rPr>
              <w:t>液体原辅料</w:t>
            </w:r>
            <w:r>
              <w:rPr>
                <w:rFonts w:hint="default" w:ascii="Times New Roman" w:hAnsi="Times New Roman" w:cs="Times New Roman" w:eastAsiaTheme="minorEastAsia"/>
                <w:color w:val="auto"/>
                <w:kern w:val="0"/>
                <w:sz w:val="24"/>
                <w:szCs w:val="24"/>
              </w:rPr>
              <w:t>泄漏，在易产生泄漏的位置设置</w:t>
            </w:r>
            <w:r>
              <w:rPr>
                <w:rFonts w:hint="eastAsia" w:cs="Times New Roman" w:eastAsiaTheme="minorEastAsia"/>
                <w:color w:val="auto"/>
                <w:kern w:val="0"/>
                <w:sz w:val="24"/>
                <w:szCs w:val="24"/>
                <w:lang w:val="en-US" w:eastAsia="zh-CN"/>
              </w:rPr>
              <w:t>收集槽</w:t>
            </w:r>
            <w:r>
              <w:rPr>
                <w:rFonts w:hint="default" w:ascii="Times New Roman" w:hAnsi="Times New Roman" w:cs="Times New Roman" w:eastAsiaTheme="minorEastAsia"/>
                <w:color w:val="auto"/>
                <w:kern w:val="0"/>
                <w:sz w:val="24"/>
                <w:szCs w:val="24"/>
              </w:rPr>
              <w:t>，当发生泄漏事故时能及时</w:t>
            </w:r>
            <w:r>
              <w:rPr>
                <w:rFonts w:hint="eastAsia" w:cs="Times New Roman" w:eastAsiaTheme="minorEastAsia"/>
                <w:color w:val="auto"/>
                <w:kern w:val="0"/>
                <w:sz w:val="24"/>
                <w:szCs w:val="24"/>
                <w:lang w:val="en-US" w:eastAsia="zh-CN"/>
              </w:rPr>
              <w:t>收集</w:t>
            </w:r>
            <w:r>
              <w:rPr>
                <w:rFonts w:hint="default" w:ascii="Times New Roman" w:hAnsi="Times New Roman" w:cs="Times New Roman" w:eastAsiaTheme="minorEastAsia"/>
                <w:color w:val="auto"/>
                <w:kern w:val="0"/>
                <w:sz w:val="24"/>
                <w:szCs w:val="24"/>
              </w:rPr>
              <w:t>，使事故能够得到及时处理；</w:t>
            </w:r>
          </w:p>
          <w:p w14:paraId="7778C7A8">
            <w:pPr>
              <w:widowControl/>
              <w:spacing w:line="360" w:lineRule="auto"/>
              <w:ind w:firstLine="480"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kern w:val="0"/>
                <w:sz w:val="24"/>
                <w:szCs w:val="24"/>
                <w:lang w:eastAsia="zh-CN"/>
              </w:rPr>
              <w:t>②</w:t>
            </w:r>
            <w:r>
              <w:rPr>
                <w:rFonts w:hint="default" w:ascii="Times New Roman" w:hAnsi="Times New Roman" w:cs="Times New Roman" w:eastAsiaTheme="minorEastAsia"/>
                <w:color w:val="auto"/>
                <w:kern w:val="0"/>
                <w:sz w:val="24"/>
                <w:szCs w:val="24"/>
              </w:rPr>
              <w:t>消除和控制明火源：在仓库、生产厂房张贴醒目的严禁烟火标志，严禁动火吸烟；严禁携带火柴、打火机等。备好灭火器材，采取防护措施，确保安全无误后，方可动火作业。动火过程中，必须遵守安全技术规程；</w:t>
            </w:r>
          </w:p>
          <w:p w14:paraId="6C75009D">
            <w:pPr>
              <w:widowControl/>
              <w:spacing w:line="360" w:lineRule="auto"/>
              <w:ind w:firstLine="480"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kern w:val="0"/>
                <w:sz w:val="24"/>
                <w:szCs w:val="24"/>
                <w:lang w:eastAsia="zh-CN"/>
              </w:rPr>
              <w:t>③</w:t>
            </w:r>
            <w:r>
              <w:rPr>
                <w:rFonts w:hint="default" w:ascii="Times New Roman" w:hAnsi="Times New Roman" w:cs="Times New Roman" w:eastAsiaTheme="minorEastAsia"/>
                <w:color w:val="auto"/>
                <w:kern w:val="0"/>
                <w:sz w:val="24"/>
                <w:szCs w:val="24"/>
              </w:rPr>
              <w:t>防止电气火花：采取有效措施防止电气线路和电气设施在开关断开、接触不良、短路、漏电时产生火花，防止静电放电火花；采取防雷接地措施，防止雷电放电火花。</w:t>
            </w:r>
          </w:p>
          <w:p w14:paraId="16DE3499">
            <w:pPr>
              <w:widowControl/>
              <w:spacing w:line="360" w:lineRule="auto"/>
              <w:ind w:firstLine="480"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kern w:val="0"/>
                <w:sz w:val="24"/>
                <w:szCs w:val="24"/>
                <w:lang w:eastAsia="zh-CN"/>
              </w:rPr>
              <w:t>④</w:t>
            </w:r>
            <w:r>
              <w:rPr>
                <w:rFonts w:hint="default" w:ascii="Times New Roman" w:hAnsi="Times New Roman" w:cs="Times New Roman" w:eastAsiaTheme="minorEastAsia"/>
                <w:color w:val="auto"/>
                <w:kern w:val="0"/>
                <w:sz w:val="24"/>
                <w:szCs w:val="24"/>
              </w:rPr>
              <w:t>厂区周围设置环形消防通道，生产厂房、仓库与周围构筑物设置一定的安全防护距离，以防火灾发生时火势蔓延。</w:t>
            </w:r>
          </w:p>
          <w:p w14:paraId="037EEB1A">
            <w:pPr>
              <w:widowControl/>
              <w:spacing w:line="360" w:lineRule="auto"/>
              <w:ind w:firstLine="480"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kern w:val="0"/>
                <w:sz w:val="24"/>
                <w:szCs w:val="24"/>
                <w:lang w:eastAsia="zh-CN"/>
              </w:rPr>
              <w:t>⑤</w:t>
            </w:r>
            <w:r>
              <w:rPr>
                <w:rFonts w:hint="default" w:ascii="Times New Roman" w:hAnsi="Times New Roman" w:cs="Times New Roman" w:eastAsiaTheme="minorEastAsia"/>
                <w:color w:val="auto"/>
                <w:kern w:val="0"/>
                <w:sz w:val="24"/>
                <w:szCs w:val="24"/>
              </w:rPr>
              <w:t>建立应急救援组织或者配备应急救援人员，配备必要的应急救援器材、设备，对消防措施定期检查，保证消防措施的有效性，并定期组织演练。厂区24小时值班。消防器材主要有干粉灭火器和灭火器、国标消防栓。设置现场疏散指示标志和应急照明灯。周围消防栓应标明地点。</w:t>
            </w:r>
          </w:p>
          <w:p w14:paraId="7630BF2D">
            <w:pPr>
              <w:widowControl/>
              <w:spacing w:line="360" w:lineRule="auto"/>
              <w:ind w:firstLine="482" w:firstLineChars="200"/>
              <w:jc w:val="left"/>
              <w:rPr>
                <w:rFonts w:hint="default" w:ascii="Times New Roman" w:hAnsi="Times New Roman" w:cs="Times New Roman" w:eastAsiaTheme="minorEastAsia"/>
                <w:b/>
                <w:bCs/>
                <w:color w:val="auto"/>
                <w:sz w:val="24"/>
                <w:szCs w:val="24"/>
                <w:lang w:eastAsia="zh-CN"/>
              </w:rPr>
            </w:pPr>
            <w:r>
              <w:rPr>
                <w:rFonts w:hint="default" w:ascii="Times New Roman" w:hAnsi="Times New Roman" w:cs="Times New Roman" w:eastAsiaTheme="minorEastAsia"/>
                <w:b/>
                <w:bCs/>
                <w:color w:val="auto"/>
                <w:kern w:val="0"/>
                <w:sz w:val="24"/>
                <w:szCs w:val="24"/>
                <w:lang w:eastAsia="zh-CN"/>
              </w:rPr>
              <w:t>（</w:t>
            </w:r>
            <w:r>
              <w:rPr>
                <w:rFonts w:hint="eastAsia" w:cs="Times New Roman" w:eastAsiaTheme="minorEastAsia"/>
                <w:b/>
                <w:bCs/>
                <w:color w:val="auto"/>
                <w:kern w:val="0"/>
                <w:sz w:val="24"/>
                <w:szCs w:val="24"/>
                <w:lang w:val="en-US" w:eastAsia="zh-CN"/>
              </w:rPr>
              <w:t>4</w:t>
            </w:r>
            <w:r>
              <w:rPr>
                <w:rFonts w:hint="default" w:ascii="Times New Roman" w:hAnsi="Times New Roman" w:cs="Times New Roman" w:eastAsiaTheme="minorEastAsia"/>
                <w:b/>
                <w:bCs/>
                <w:color w:val="auto"/>
                <w:kern w:val="0"/>
                <w:sz w:val="24"/>
                <w:szCs w:val="24"/>
                <w:lang w:eastAsia="zh-CN"/>
              </w:rPr>
              <w:t>）</w:t>
            </w:r>
            <w:r>
              <w:rPr>
                <w:rFonts w:hint="default" w:ascii="Times New Roman" w:hAnsi="Times New Roman" w:cs="Times New Roman" w:eastAsiaTheme="minorEastAsia"/>
                <w:b/>
                <w:bCs/>
                <w:color w:val="auto"/>
                <w:kern w:val="0"/>
                <w:sz w:val="24"/>
                <w:szCs w:val="24"/>
                <w:lang w:val="en-US" w:eastAsia="zh-CN"/>
              </w:rPr>
              <w:t>防止</w:t>
            </w:r>
            <w:r>
              <w:rPr>
                <w:rFonts w:hint="eastAsia" w:cs="Times New Roman" w:eastAsiaTheme="minorEastAsia"/>
                <w:b/>
                <w:bCs/>
                <w:color w:val="auto"/>
                <w:kern w:val="0"/>
                <w:sz w:val="24"/>
                <w:szCs w:val="24"/>
                <w:lang w:val="en-US" w:eastAsia="zh-CN"/>
              </w:rPr>
              <w:t>润滑油、水性丙烯酸面漆等辅料以及废润滑油等危险废物</w:t>
            </w:r>
            <w:r>
              <w:rPr>
                <w:rFonts w:hint="default" w:ascii="Times New Roman" w:hAnsi="Times New Roman" w:cs="Times New Roman" w:eastAsiaTheme="minorEastAsia"/>
                <w:b/>
                <w:bCs/>
                <w:color w:val="auto"/>
                <w:kern w:val="0"/>
                <w:sz w:val="24"/>
                <w:szCs w:val="24"/>
              </w:rPr>
              <w:t>泄漏</w:t>
            </w:r>
            <w:r>
              <w:rPr>
                <w:rFonts w:hint="default" w:ascii="Times New Roman" w:hAnsi="Times New Roman" w:cs="Times New Roman" w:eastAsiaTheme="minorEastAsia"/>
                <w:b/>
                <w:bCs/>
                <w:color w:val="auto"/>
                <w:kern w:val="0"/>
                <w:sz w:val="24"/>
                <w:szCs w:val="24"/>
                <w:lang w:eastAsia="zh-CN"/>
              </w:rPr>
              <w:t>。</w:t>
            </w:r>
          </w:p>
          <w:p w14:paraId="16729600">
            <w:pPr>
              <w:widowControl/>
              <w:spacing w:line="360" w:lineRule="auto"/>
              <w:ind w:firstLine="480"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kern w:val="0"/>
                <w:sz w:val="24"/>
                <w:szCs w:val="24"/>
              </w:rPr>
              <w:t>①分区防渗：对危废暂存间</w:t>
            </w:r>
            <w:r>
              <w:rPr>
                <w:rFonts w:hint="eastAsia" w:cs="Times New Roman" w:eastAsiaTheme="minorEastAsia"/>
                <w:color w:val="auto"/>
                <w:kern w:val="0"/>
                <w:sz w:val="24"/>
                <w:szCs w:val="24"/>
                <w:lang w:eastAsia="zh-CN"/>
              </w:rPr>
              <w:t>和截流槽</w:t>
            </w:r>
            <w:r>
              <w:rPr>
                <w:rFonts w:hint="default" w:ascii="Times New Roman" w:hAnsi="Times New Roman" w:cs="Times New Roman" w:eastAsiaTheme="minorEastAsia"/>
                <w:color w:val="auto"/>
                <w:kern w:val="0"/>
                <w:sz w:val="24"/>
                <w:szCs w:val="24"/>
              </w:rPr>
              <w:t>采取重点防渗。</w:t>
            </w:r>
          </w:p>
          <w:p w14:paraId="194CA50A">
            <w:pPr>
              <w:widowControl/>
              <w:spacing w:line="360" w:lineRule="auto"/>
              <w:ind w:firstLine="480" w:firstLineChars="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kern w:val="0"/>
                <w:sz w:val="24"/>
                <w:szCs w:val="24"/>
              </w:rPr>
              <w:t>②产生的</w:t>
            </w:r>
            <w:r>
              <w:rPr>
                <w:rFonts w:hint="eastAsia" w:cs="Times New Roman" w:eastAsiaTheme="minorEastAsia"/>
                <w:color w:val="auto"/>
                <w:kern w:val="0"/>
                <w:sz w:val="24"/>
                <w:szCs w:val="24"/>
                <w:lang w:val="en-US" w:eastAsia="zh-CN"/>
              </w:rPr>
              <w:t>废润滑油</w:t>
            </w:r>
            <w:r>
              <w:rPr>
                <w:rFonts w:hint="default" w:ascii="Times New Roman" w:hAnsi="Times New Roman" w:cs="Times New Roman" w:eastAsiaTheme="minorEastAsia"/>
                <w:color w:val="auto"/>
                <w:kern w:val="0"/>
                <w:sz w:val="24"/>
                <w:szCs w:val="24"/>
              </w:rPr>
              <w:t>，用防渗防漏的专用容器盛装密封放置在危废暂存间内，</w:t>
            </w:r>
            <w:r>
              <w:rPr>
                <w:rFonts w:hint="eastAsia" w:cs="Times New Roman" w:eastAsiaTheme="minorEastAsia"/>
                <w:color w:val="auto"/>
                <w:kern w:val="0"/>
                <w:sz w:val="24"/>
                <w:szCs w:val="24"/>
                <w:lang w:eastAsia="zh-CN"/>
              </w:rPr>
              <w:t>防止</w:t>
            </w:r>
            <w:r>
              <w:rPr>
                <w:rFonts w:hint="default" w:ascii="Times New Roman" w:hAnsi="Times New Roman" w:cs="Times New Roman" w:eastAsiaTheme="minorEastAsia"/>
                <w:color w:val="auto"/>
                <w:kern w:val="0"/>
                <w:sz w:val="24"/>
                <w:szCs w:val="24"/>
              </w:rPr>
              <w:t>遗撒、泄漏。</w:t>
            </w:r>
          </w:p>
          <w:p w14:paraId="5BA95A8E">
            <w:pPr>
              <w:widowControl/>
              <w:spacing w:line="360" w:lineRule="auto"/>
              <w:ind w:firstLine="480" w:firstLineChars="200"/>
              <w:jc w:val="left"/>
              <w:rPr>
                <w:rFonts w:hint="default" w:ascii="Times New Roman" w:hAnsi="Times New Roman" w:cs="Times New Roman" w:eastAsiaTheme="minorEastAsia"/>
                <w:color w:val="auto"/>
                <w:kern w:val="0"/>
                <w:sz w:val="24"/>
                <w:szCs w:val="24"/>
                <w:lang w:eastAsia="zh-CN"/>
              </w:rPr>
            </w:pPr>
            <w:r>
              <w:rPr>
                <w:rFonts w:hint="default" w:ascii="Times New Roman" w:hAnsi="Times New Roman" w:cs="Times New Roman" w:eastAsiaTheme="minorEastAsia"/>
                <w:color w:val="auto"/>
                <w:kern w:val="0"/>
                <w:sz w:val="24"/>
                <w:szCs w:val="24"/>
              </w:rPr>
              <w:t>③</w:t>
            </w:r>
            <w:r>
              <w:rPr>
                <w:rFonts w:hint="default" w:ascii="Times New Roman" w:hAnsi="Times New Roman" w:cs="Times New Roman" w:eastAsiaTheme="minorEastAsia"/>
                <w:color w:val="auto"/>
                <w:kern w:val="0"/>
                <w:sz w:val="24"/>
                <w:szCs w:val="24"/>
                <w:lang w:eastAsia="zh-CN"/>
              </w:rPr>
              <w:t>定期对设备进行检修，记录设备运行状况，保养频次，形成记录手册。</w:t>
            </w:r>
          </w:p>
          <w:p w14:paraId="50158692">
            <w:pPr>
              <w:widowControl/>
              <w:spacing w:line="360" w:lineRule="auto"/>
              <w:ind w:firstLine="480" w:firstLineChars="200"/>
              <w:jc w:val="left"/>
              <w:rPr>
                <w:rFonts w:hint="default" w:ascii="Times New Roman" w:hAnsi="Times New Roman" w:cs="Times New Roman"/>
                <w:color w:val="auto"/>
                <w:sz w:val="24"/>
                <w:szCs w:val="24"/>
              </w:rPr>
            </w:pPr>
            <w:r>
              <w:rPr>
                <w:rFonts w:hint="default" w:ascii="Times New Roman" w:hAnsi="Times New Roman" w:cs="Times New Roman" w:eastAsiaTheme="minorEastAsia"/>
                <w:color w:val="auto"/>
                <w:kern w:val="0"/>
                <w:sz w:val="24"/>
                <w:szCs w:val="24"/>
                <w:lang w:eastAsia="zh-CN"/>
              </w:rPr>
              <w:t>④</w:t>
            </w:r>
            <w:r>
              <w:rPr>
                <w:rFonts w:hint="default" w:ascii="Times New Roman" w:hAnsi="Times New Roman" w:cs="Times New Roman" w:eastAsiaTheme="minorEastAsia"/>
                <w:color w:val="auto"/>
                <w:kern w:val="0"/>
                <w:sz w:val="24"/>
                <w:szCs w:val="24"/>
              </w:rPr>
              <w:t>项目产生的危险废物均委托有资质单位进行处置，</w:t>
            </w:r>
            <w:r>
              <w:rPr>
                <w:rFonts w:hint="eastAsia" w:cs="Times New Roman" w:eastAsiaTheme="minorEastAsia"/>
                <w:color w:val="auto"/>
                <w:kern w:val="0"/>
                <w:sz w:val="24"/>
                <w:szCs w:val="24"/>
                <w:lang w:eastAsia="zh-CN"/>
              </w:rPr>
              <w:t>机加工更换废液和清洗废液</w:t>
            </w:r>
            <w:r>
              <w:rPr>
                <w:rFonts w:hint="default" w:ascii="Times New Roman" w:hAnsi="Times New Roman" w:cs="Times New Roman" w:eastAsiaTheme="minorEastAsia"/>
                <w:color w:val="auto"/>
                <w:kern w:val="0"/>
                <w:sz w:val="24"/>
                <w:szCs w:val="24"/>
              </w:rPr>
              <w:t>放置在专门的容器内。危废暂存间按照《危险废物贮存污染控制标准》（GB18597-2023）的要求，采取严格的防泄漏、防溢流、防腐蚀等措施，防止污染地下水。</w:t>
            </w:r>
          </w:p>
          <w:p w14:paraId="22D9928E">
            <w:pPr>
              <w:bidi w:val="0"/>
              <w:ind w:left="0" w:leftChars="0" w:firstLine="0" w:firstLineChars="0"/>
              <w:rPr>
                <w:rFonts w:hint="default"/>
                <w:b/>
                <w:bCs/>
                <w:color w:val="auto"/>
              </w:rPr>
            </w:pPr>
            <w:r>
              <w:rPr>
                <w:rFonts w:hint="eastAsia"/>
                <w:b/>
                <w:bCs/>
                <w:color w:val="auto"/>
                <w:lang w:val="en-US" w:eastAsia="zh-CN"/>
              </w:rPr>
              <w:t>4.</w:t>
            </w:r>
            <w:r>
              <w:rPr>
                <w:rFonts w:hint="default"/>
                <w:b/>
                <w:bCs/>
                <w:color w:val="auto"/>
              </w:rPr>
              <w:t>6.</w:t>
            </w:r>
            <w:r>
              <w:rPr>
                <w:rFonts w:hint="default"/>
                <w:b/>
                <w:bCs/>
                <w:color w:val="auto"/>
                <w:lang w:val="en-US" w:eastAsia="zh-CN"/>
              </w:rPr>
              <w:t>6</w:t>
            </w:r>
            <w:r>
              <w:rPr>
                <w:rFonts w:hint="default"/>
                <w:b/>
                <w:bCs/>
                <w:color w:val="auto"/>
              </w:rPr>
              <w:t xml:space="preserve"> 风险应急预案</w:t>
            </w:r>
          </w:p>
          <w:p w14:paraId="086E1072">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根据《企业事业单位突发环境事件应急预案备案管理办法（试行）》（环发</w:t>
            </w:r>
            <w:r>
              <w:rPr>
                <w:rFonts w:hint="eastAsia" w:cs="Times New Roman"/>
                <w:color w:val="auto"/>
                <w:sz w:val="24"/>
                <w:szCs w:val="24"/>
                <w:lang w:eastAsia="zh-CN"/>
              </w:rPr>
              <w:t>〔2015〕4号</w:t>
            </w:r>
            <w:r>
              <w:rPr>
                <w:rFonts w:hint="default" w:ascii="Times New Roman" w:hAnsi="Times New Roman" w:cs="Times New Roman"/>
                <w:color w:val="auto"/>
                <w:sz w:val="24"/>
                <w:szCs w:val="24"/>
              </w:rPr>
              <w:t>）规定，企业应当落实环境安全主体责任。</w:t>
            </w:r>
            <w:r>
              <w:rPr>
                <w:rFonts w:hint="default" w:ascii="Times New Roman" w:hAnsi="Times New Roman" w:cs="Times New Roman"/>
                <w:color w:val="auto"/>
                <w:sz w:val="24"/>
                <w:szCs w:val="24"/>
                <w:lang w:eastAsia="zh-CN"/>
              </w:rPr>
              <w:t>本项目</w:t>
            </w:r>
            <w:r>
              <w:rPr>
                <w:rFonts w:hint="default" w:ascii="Times New Roman" w:hAnsi="Times New Roman" w:cs="Times New Roman"/>
                <w:color w:val="auto"/>
                <w:sz w:val="24"/>
                <w:szCs w:val="24"/>
              </w:rPr>
              <w:t>应按照要求编制突发环境事件应急预案，并纳入全厂应急预案体系中。</w:t>
            </w:r>
          </w:p>
          <w:p w14:paraId="6D6994C5">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1</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应急预案编制要求</w:t>
            </w:r>
          </w:p>
          <w:p w14:paraId="4D466129">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突发环境事件应急预案可由企业自主修订或委托相关专业技术服务机构修订。委托相关专业技术服务机构编制的，企业应指定有关人员全程参与。建设单位按照以下步骤制定环境应急预案：</w:t>
            </w:r>
          </w:p>
          <w:p w14:paraId="1015B5EE">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①成立环境应急预案编制组，明确编制组组长和成员组成、工作任务、编制计划和经费预算。</w:t>
            </w:r>
          </w:p>
          <w:p w14:paraId="399041E4">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②开展环境风险评估和应急资源调查。环境风险评估包括但不限于：分析种类事故衍化规律、自然灾害影响程度，识别环境危害因素，分析与周边可能受影响的居民、单位、区域环境的关系，构建突发环境事件及其后果情景，确定环境风险等级。应急资源调查包括但不限于：调查企业第一时间可调用的环境应急队伍、装备、物资场所等应急资源状况和可请求援助或协议援助的应急资源状况。</w:t>
            </w:r>
          </w:p>
          <w:p w14:paraId="00A697CC">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③编制环境应急预案。合理选择类别，确定内容，重点说明可能的突发环境事件情景下需要采取的处置措施、向可能受影响的居民和单位通报的内容与方式、向环境保护主管部门和有关部门报告的内容与方式，以及与当地突发环境事件应急预案的衔接方式，形成环境应急预案。修编过程中，应征求员工和可能受影响的居民和单位代表的意见。</w:t>
            </w:r>
          </w:p>
          <w:p w14:paraId="51436400">
            <w:pPr>
              <w:bidi w:val="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④评审和演练环境应急预案。建设单位组织专家和可能受影响的居民、单位代表对环境应急预案进行评审，开展演练进行检验。评审专家一般包括环境应急预案涉及的相关政府管理部门人员、相关行业协会代表、具有相关领域经验的人员等。</w:t>
            </w:r>
          </w:p>
          <w:p w14:paraId="661AC803">
            <w:pPr>
              <w:widowControl/>
              <w:spacing w:line="360" w:lineRule="auto"/>
              <w:ind w:firstLine="480" w:firstLineChars="200"/>
              <w:jc w:val="left"/>
              <w:rPr>
                <w:rFonts w:hint="default" w:ascii="Times New Roman" w:hAnsi="Times New Roman" w:cs="Times New Roman"/>
                <w:color w:val="auto"/>
                <w:sz w:val="24"/>
                <w:szCs w:val="24"/>
              </w:rPr>
            </w:pPr>
            <w:r>
              <w:rPr>
                <w:rFonts w:hint="default" w:ascii="Times New Roman" w:hAnsi="Times New Roman" w:cs="Times New Roman"/>
                <w:color w:val="auto"/>
                <w:kern w:val="0"/>
                <w:sz w:val="24"/>
                <w:szCs w:val="24"/>
              </w:rPr>
              <w:t>⑤签署发布环境应急预案。环境应急预案经企业有关会议审议，由企业主要负责人签署发布。</w:t>
            </w:r>
          </w:p>
          <w:p w14:paraId="2D28F0F2">
            <w:pPr>
              <w:bidi w:val="0"/>
              <w:ind w:left="0" w:leftChars="0" w:firstLine="0" w:firstLineChars="0"/>
              <w:rPr>
                <w:rFonts w:hint="default"/>
                <w:b/>
                <w:bCs/>
                <w:color w:val="auto"/>
              </w:rPr>
            </w:pPr>
            <w:r>
              <w:rPr>
                <w:rFonts w:hint="eastAsia"/>
                <w:b/>
                <w:bCs/>
                <w:color w:val="auto"/>
                <w:lang w:val="en-US" w:eastAsia="zh-CN"/>
              </w:rPr>
              <w:t>4.</w:t>
            </w:r>
            <w:r>
              <w:rPr>
                <w:rFonts w:hint="default"/>
                <w:b/>
                <w:bCs/>
                <w:color w:val="auto"/>
              </w:rPr>
              <w:t>6.</w:t>
            </w:r>
            <w:r>
              <w:rPr>
                <w:rFonts w:hint="default"/>
                <w:b/>
                <w:bCs/>
                <w:color w:val="auto"/>
                <w:lang w:val="en-US" w:eastAsia="zh-CN"/>
              </w:rPr>
              <w:t>7</w:t>
            </w:r>
            <w:r>
              <w:rPr>
                <w:rFonts w:hint="default"/>
                <w:b/>
                <w:bCs/>
                <w:color w:val="auto"/>
              </w:rPr>
              <w:t xml:space="preserve"> 评价结论</w:t>
            </w:r>
          </w:p>
          <w:p w14:paraId="4BF80DCA">
            <w:pPr>
              <w:bidi w:val="0"/>
              <w:rPr>
                <w:rFonts w:hint="default" w:ascii="Times New Roman" w:hAnsi="Times New Roman" w:cs="Times New Roman"/>
                <w:b/>
                <w:bCs/>
                <w:color w:val="auto"/>
                <w:sz w:val="28"/>
                <w:szCs w:val="28"/>
                <w:lang w:val="en-US" w:eastAsia="zh-CN"/>
              </w:rPr>
            </w:pPr>
            <w:r>
              <w:rPr>
                <w:rFonts w:hint="default" w:ascii="Times New Roman" w:hAnsi="Times New Roman" w:cs="Times New Roman"/>
                <w:color w:val="auto"/>
                <w:sz w:val="24"/>
                <w:szCs w:val="24"/>
              </w:rPr>
              <w:t>根据上述分析，建设单位必须按要求做好风险防范和事故应急工作，通过落实设计说明、消防和劳动安全管理部门的要求，本报告中提出的各项环保措施和对策建议，</w:t>
            </w:r>
            <w:r>
              <w:rPr>
                <w:rFonts w:hint="default" w:ascii="Times New Roman" w:hAnsi="Times New Roman" w:cs="Times New Roman"/>
                <w:color w:val="auto"/>
                <w:sz w:val="24"/>
                <w:szCs w:val="24"/>
                <w:lang w:eastAsia="zh-CN"/>
              </w:rPr>
              <w:t>本</w:t>
            </w:r>
            <w:bookmarkStart w:id="13" w:name="_GoBack"/>
            <w:bookmarkEnd w:id="13"/>
            <w:r>
              <w:rPr>
                <w:rFonts w:hint="default" w:ascii="Times New Roman" w:hAnsi="Times New Roman" w:cs="Times New Roman"/>
                <w:color w:val="auto"/>
                <w:sz w:val="24"/>
                <w:szCs w:val="24"/>
                <w:lang w:eastAsia="zh-CN"/>
              </w:rPr>
              <w:t>项目</w:t>
            </w:r>
            <w:r>
              <w:rPr>
                <w:rFonts w:hint="default" w:ascii="Times New Roman" w:hAnsi="Times New Roman" w:cs="Times New Roman"/>
                <w:color w:val="auto"/>
                <w:sz w:val="24"/>
                <w:szCs w:val="24"/>
              </w:rPr>
              <w:t>可最大限度的降低环境风险，一旦意外事件发生，也能最大限度的减少环境污染事件和人们生命财产的损失。通过实施严格的管理制度和风险防范措施，并制定完善的应急预案，将其上报至所在地县级环境保护主管部门备案，并定期举行应急演练。</w:t>
            </w:r>
            <w:r>
              <w:rPr>
                <w:rFonts w:hint="default" w:ascii="Times New Roman" w:hAnsi="Times New Roman" w:cs="Times New Roman"/>
                <w:color w:val="auto"/>
                <w:sz w:val="24"/>
                <w:szCs w:val="24"/>
                <w:lang w:eastAsia="zh-CN"/>
              </w:rPr>
              <w:t>本项目</w:t>
            </w:r>
            <w:r>
              <w:rPr>
                <w:rFonts w:hint="default" w:ascii="Times New Roman" w:hAnsi="Times New Roman" w:cs="Times New Roman"/>
                <w:color w:val="auto"/>
                <w:sz w:val="24"/>
                <w:szCs w:val="24"/>
              </w:rPr>
              <w:t>的环境风险水平属于可</w:t>
            </w:r>
            <w:r>
              <w:rPr>
                <w:rFonts w:hint="eastAsia" w:cs="Times New Roman"/>
                <w:color w:val="auto"/>
                <w:sz w:val="24"/>
                <w:szCs w:val="24"/>
                <w:lang w:eastAsia="zh-CN"/>
              </w:rPr>
              <w:t>接受</w:t>
            </w:r>
            <w:r>
              <w:rPr>
                <w:rFonts w:hint="default" w:ascii="Times New Roman" w:hAnsi="Times New Roman" w:cs="Times New Roman"/>
                <w:color w:val="auto"/>
                <w:sz w:val="24"/>
                <w:szCs w:val="24"/>
              </w:rPr>
              <w:t>范围。</w:t>
            </w:r>
          </w:p>
          <w:p w14:paraId="566D3A3C">
            <w:pPr>
              <w:bidi w:val="0"/>
              <w:ind w:left="0" w:leftChars="0" w:firstLine="0" w:firstLineChars="0"/>
              <w:rPr>
                <w:rFonts w:hint="default"/>
                <w:b/>
                <w:bCs/>
                <w:color w:val="auto"/>
              </w:rPr>
            </w:pPr>
            <w:r>
              <w:rPr>
                <w:rFonts w:hint="eastAsia"/>
                <w:b/>
                <w:bCs/>
                <w:color w:val="auto"/>
                <w:lang w:val="en-US" w:eastAsia="zh-CN"/>
              </w:rPr>
              <w:t xml:space="preserve">4.7 </w:t>
            </w:r>
            <w:r>
              <w:rPr>
                <w:rFonts w:hint="default"/>
                <w:b/>
                <w:bCs/>
                <w:color w:val="auto"/>
              </w:rPr>
              <w:t>环保投资估算一览表</w:t>
            </w:r>
          </w:p>
          <w:p w14:paraId="34BB3F8D">
            <w:pPr>
              <w:bidi w:val="0"/>
              <w:rPr>
                <w:rFonts w:hint="default" w:ascii="Times New Roman" w:hAnsi="Times New Roman" w:cs="Times New Roman"/>
                <w:color w:val="auto"/>
              </w:rPr>
            </w:pPr>
            <w:r>
              <w:rPr>
                <w:rFonts w:hint="default" w:ascii="Times New Roman" w:hAnsi="Times New Roman" w:cs="Times New Roman"/>
                <w:color w:val="auto"/>
                <w:sz w:val="24"/>
                <w:szCs w:val="24"/>
                <w:lang w:eastAsia="zh-CN"/>
              </w:rPr>
              <w:t>本项目</w:t>
            </w:r>
            <w:r>
              <w:rPr>
                <w:rFonts w:hint="default" w:ascii="Times New Roman" w:hAnsi="Times New Roman" w:cs="Times New Roman"/>
                <w:color w:val="auto"/>
                <w:sz w:val="24"/>
                <w:szCs w:val="24"/>
              </w:rPr>
              <w:t>总投资</w:t>
            </w:r>
            <w:r>
              <w:rPr>
                <w:rFonts w:hint="eastAsia" w:cs="Times New Roman"/>
                <w:color w:val="auto"/>
                <w:sz w:val="24"/>
                <w:szCs w:val="24"/>
                <w:lang w:val="en-US" w:eastAsia="zh-CN"/>
              </w:rPr>
              <w:t>11</w:t>
            </w:r>
            <w:r>
              <w:rPr>
                <w:rFonts w:hint="default" w:ascii="Times New Roman" w:hAnsi="Times New Roman" w:cs="Times New Roman"/>
                <w:color w:val="auto"/>
                <w:sz w:val="24"/>
                <w:szCs w:val="24"/>
                <w:lang w:val="en-US" w:eastAsia="zh-CN"/>
              </w:rPr>
              <w:t>0</w:t>
            </w:r>
            <w:r>
              <w:rPr>
                <w:rFonts w:hint="eastAsia" w:cs="Times New Roman"/>
                <w:color w:val="auto"/>
                <w:sz w:val="24"/>
                <w:szCs w:val="24"/>
                <w:lang w:val="en-US" w:eastAsia="zh-CN"/>
              </w:rPr>
              <w:t>00</w:t>
            </w:r>
            <w:r>
              <w:rPr>
                <w:rFonts w:hint="default" w:ascii="Times New Roman" w:hAnsi="Times New Roman" w:cs="Times New Roman"/>
                <w:color w:val="auto"/>
                <w:sz w:val="24"/>
                <w:szCs w:val="24"/>
              </w:rPr>
              <w:t>万元，其中环保投资</w:t>
            </w:r>
            <w:r>
              <w:rPr>
                <w:rFonts w:hint="eastAsia" w:cs="Times New Roman"/>
                <w:color w:val="auto"/>
                <w:sz w:val="24"/>
                <w:szCs w:val="24"/>
                <w:lang w:val="en-US" w:eastAsia="zh-CN"/>
              </w:rPr>
              <w:t>37</w:t>
            </w:r>
            <w:r>
              <w:rPr>
                <w:rFonts w:hint="default" w:ascii="Times New Roman" w:hAnsi="Times New Roman" w:cs="Times New Roman"/>
                <w:color w:val="auto"/>
                <w:sz w:val="24"/>
                <w:szCs w:val="24"/>
                <w:lang w:val="en-US" w:eastAsia="zh-CN"/>
              </w:rPr>
              <w:t>万元</w:t>
            </w:r>
            <w:r>
              <w:rPr>
                <w:rFonts w:hint="default" w:ascii="Times New Roman" w:hAnsi="Times New Roman" w:cs="Times New Roman"/>
                <w:color w:val="auto"/>
                <w:sz w:val="24"/>
                <w:szCs w:val="24"/>
              </w:rPr>
              <w:t>，环保投资占总投资的比例为</w:t>
            </w:r>
            <w:r>
              <w:rPr>
                <w:rFonts w:hint="eastAsia" w:cs="Times New Roman"/>
                <w:color w:val="auto"/>
                <w:sz w:val="24"/>
                <w:szCs w:val="24"/>
                <w:lang w:val="en-US" w:eastAsia="zh-CN"/>
              </w:rPr>
              <w:t>0.336</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rPr>
              <w:t>。</w:t>
            </w:r>
          </w:p>
          <w:p w14:paraId="6ADD50C1">
            <w:pPr>
              <w:pStyle w:val="38"/>
              <w:bidi w:val="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表4-2</w:t>
            </w:r>
            <w:r>
              <w:rPr>
                <w:rFonts w:hint="eastAsia" w:cs="Times New Roman"/>
                <w:color w:val="auto"/>
                <w:lang w:val="en-US" w:eastAsia="zh-CN"/>
              </w:rPr>
              <w:t>0</w:t>
            </w:r>
            <w:r>
              <w:rPr>
                <w:rFonts w:hint="default" w:ascii="Times New Roman" w:hAnsi="Times New Roman" w:cs="Times New Roman"/>
                <w:color w:val="auto"/>
                <w:lang w:val="en-US" w:eastAsia="zh-CN"/>
              </w:rPr>
              <w:t xml:space="preserve">  环保设施及其估算一览表</w:t>
            </w:r>
          </w:p>
          <w:tbl>
            <w:tblPr>
              <w:tblStyle w:val="31"/>
              <w:tblW w:w="847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11"/>
              <w:gridCol w:w="1539"/>
              <w:gridCol w:w="1608"/>
              <w:gridCol w:w="1389"/>
              <w:gridCol w:w="818"/>
              <w:gridCol w:w="1666"/>
              <w:gridCol w:w="747"/>
            </w:tblGrid>
            <w:tr w14:paraId="57F53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98" w:hRule="atLeast"/>
                <w:jc w:val="center"/>
              </w:trPr>
              <w:tc>
                <w:tcPr>
                  <w:tcW w:w="711" w:type="dxa"/>
                  <w:tcBorders>
                    <w:tl2br w:val="nil"/>
                    <w:tr2bl w:val="nil"/>
                  </w:tcBorders>
                  <w:noWrap w:val="0"/>
                  <w:vAlign w:val="center"/>
                </w:tcPr>
                <w:p w14:paraId="42450AB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污染类别</w:t>
                  </w:r>
                </w:p>
              </w:tc>
              <w:tc>
                <w:tcPr>
                  <w:tcW w:w="1539" w:type="dxa"/>
                  <w:tcBorders>
                    <w:tl2br w:val="nil"/>
                    <w:tr2bl w:val="nil"/>
                  </w:tcBorders>
                  <w:noWrap w:val="0"/>
                  <w:vAlign w:val="center"/>
                </w:tcPr>
                <w:p w14:paraId="7173A5E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项目</w:t>
                  </w:r>
                </w:p>
              </w:tc>
              <w:tc>
                <w:tcPr>
                  <w:tcW w:w="1608" w:type="dxa"/>
                  <w:tcBorders>
                    <w:tl2br w:val="nil"/>
                    <w:tr2bl w:val="nil"/>
                  </w:tcBorders>
                  <w:noWrap w:val="0"/>
                  <w:vAlign w:val="center"/>
                </w:tcPr>
                <w:p w14:paraId="15B8B3C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污染物</w:t>
                  </w:r>
                </w:p>
              </w:tc>
              <w:tc>
                <w:tcPr>
                  <w:tcW w:w="3873" w:type="dxa"/>
                  <w:gridSpan w:val="3"/>
                  <w:tcBorders>
                    <w:tl2br w:val="nil"/>
                    <w:tr2bl w:val="nil"/>
                  </w:tcBorders>
                  <w:noWrap w:val="0"/>
                  <w:vAlign w:val="center"/>
                </w:tcPr>
                <w:p w14:paraId="69B7EBE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采取的环保措施</w:t>
                  </w:r>
                </w:p>
              </w:tc>
              <w:tc>
                <w:tcPr>
                  <w:tcW w:w="747" w:type="dxa"/>
                  <w:tcBorders>
                    <w:tl2br w:val="nil"/>
                    <w:tr2bl w:val="nil"/>
                  </w:tcBorders>
                  <w:noWrap w:val="0"/>
                  <w:vAlign w:val="center"/>
                </w:tcPr>
                <w:p w14:paraId="25E59B7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投资</w:t>
                  </w:r>
                  <w:r>
                    <w:rPr>
                      <w:rFonts w:hint="default"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万元</w:t>
                  </w:r>
                </w:p>
              </w:tc>
            </w:tr>
            <w:tr w14:paraId="0E968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711" w:type="dxa"/>
                  <w:vMerge w:val="restart"/>
                  <w:tcBorders>
                    <w:tl2br w:val="nil"/>
                    <w:tr2bl w:val="nil"/>
                  </w:tcBorders>
                  <w:noWrap w:val="0"/>
                  <w:vAlign w:val="center"/>
                </w:tcPr>
                <w:p w14:paraId="0C82197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废气</w:t>
                  </w:r>
                </w:p>
              </w:tc>
              <w:tc>
                <w:tcPr>
                  <w:tcW w:w="1539" w:type="dxa"/>
                  <w:tcBorders>
                    <w:tl2br w:val="nil"/>
                    <w:tr2bl w:val="nil"/>
                  </w:tcBorders>
                  <w:noWrap w:val="0"/>
                  <w:vAlign w:val="center"/>
                </w:tcPr>
                <w:p w14:paraId="6A5E063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激光切割</w:t>
                  </w:r>
                </w:p>
              </w:tc>
              <w:tc>
                <w:tcPr>
                  <w:tcW w:w="1608" w:type="dxa"/>
                  <w:tcBorders>
                    <w:tl2br w:val="nil"/>
                    <w:tr2bl w:val="nil"/>
                  </w:tcBorders>
                  <w:noWrap w:val="0"/>
                  <w:vAlign w:val="center"/>
                </w:tcPr>
                <w:p w14:paraId="7EC782D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2207" w:type="dxa"/>
                  <w:gridSpan w:val="2"/>
                  <w:tcBorders>
                    <w:tl2br w:val="nil"/>
                    <w:tr2bl w:val="nil"/>
                  </w:tcBorders>
                  <w:noWrap w:val="0"/>
                  <w:vAlign w:val="center"/>
                </w:tcPr>
                <w:p w14:paraId="11048AA5">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集气罩负压收集+布袋除尘器</w:t>
                  </w:r>
                </w:p>
              </w:tc>
              <w:tc>
                <w:tcPr>
                  <w:tcW w:w="1666" w:type="dxa"/>
                  <w:tcBorders>
                    <w:tl2br w:val="nil"/>
                    <w:tr2bl w:val="nil"/>
                  </w:tcBorders>
                  <w:noWrap w:val="0"/>
                  <w:vAlign w:val="center"/>
                </w:tcPr>
                <w:p w14:paraId="61292F8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15m</w:t>
                  </w:r>
                  <w:r>
                    <w:rPr>
                      <w:rFonts w:hint="default" w:ascii="Times New Roman" w:hAnsi="Times New Roman" w:eastAsia="宋体" w:cs="Times New Roman"/>
                      <w:b w:val="0"/>
                      <w:bCs/>
                      <w:color w:val="auto"/>
                      <w:sz w:val="21"/>
                      <w:szCs w:val="21"/>
                    </w:rPr>
                    <w:t>排气筒</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lang w:val="en-US" w:eastAsia="zh-CN"/>
                    </w:rPr>
                    <w:t>DA00</w:t>
                  </w:r>
                  <w:r>
                    <w:rPr>
                      <w:rFonts w:hint="eastAsia" w:ascii="Times New Roman" w:hAnsi="Times New Roman" w:cs="Times New Roman"/>
                      <w:b w:val="0"/>
                      <w:bCs/>
                      <w:color w:val="auto"/>
                      <w:sz w:val="21"/>
                      <w:szCs w:val="21"/>
                      <w:lang w:val="en-US" w:eastAsia="zh-CN"/>
                    </w:rPr>
                    <w:t>1</w:t>
                  </w:r>
                  <w:r>
                    <w:rPr>
                      <w:rFonts w:hint="default" w:ascii="Times New Roman" w:hAnsi="Times New Roman" w:eastAsia="宋体" w:cs="Times New Roman"/>
                      <w:b w:val="0"/>
                      <w:bCs/>
                      <w:color w:val="auto"/>
                      <w:sz w:val="21"/>
                      <w:szCs w:val="21"/>
                      <w:lang w:val="en-US" w:eastAsia="zh-CN"/>
                    </w:rPr>
                    <w:t>）</w:t>
                  </w:r>
                </w:p>
              </w:tc>
              <w:tc>
                <w:tcPr>
                  <w:tcW w:w="747" w:type="dxa"/>
                  <w:tcBorders>
                    <w:tl2br w:val="nil"/>
                    <w:tr2bl w:val="nil"/>
                  </w:tcBorders>
                  <w:noWrap w:val="0"/>
                  <w:vAlign w:val="center"/>
                </w:tcPr>
                <w:p w14:paraId="5F8B3DF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5</w:t>
                  </w:r>
                </w:p>
              </w:tc>
            </w:tr>
            <w:tr w14:paraId="2E87A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711" w:type="dxa"/>
                  <w:vMerge w:val="continue"/>
                  <w:tcBorders>
                    <w:tl2br w:val="nil"/>
                    <w:tr2bl w:val="nil"/>
                  </w:tcBorders>
                  <w:noWrap w:val="0"/>
                  <w:vAlign w:val="center"/>
                </w:tcPr>
                <w:p w14:paraId="3B2325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p>
              </w:tc>
              <w:tc>
                <w:tcPr>
                  <w:tcW w:w="1539" w:type="dxa"/>
                  <w:tcBorders>
                    <w:tl2br w:val="nil"/>
                    <w:tr2bl w:val="nil"/>
                  </w:tcBorders>
                  <w:noWrap w:val="0"/>
                  <w:vAlign w:val="center"/>
                </w:tcPr>
                <w:p w14:paraId="2D91666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锯床切割</w:t>
                  </w:r>
                </w:p>
              </w:tc>
              <w:tc>
                <w:tcPr>
                  <w:tcW w:w="1608" w:type="dxa"/>
                  <w:tcBorders>
                    <w:tl2br w:val="nil"/>
                    <w:tr2bl w:val="nil"/>
                  </w:tcBorders>
                  <w:noWrap w:val="0"/>
                  <w:vAlign w:val="center"/>
                </w:tcPr>
                <w:p w14:paraId="6DC5D1A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2207" w:type="dxa"/>
                  <w:gridSpan w:val="2"/>
                  <w:tcBorders>
                    <w:tl2br w:val="nil"/>
                    <w:tr2bl w:val="nil"/>
                  </w:tcBorders>
                  <w:noWrap w:val="0"/>
                  <w:vAlign w:val="center"/>
                </w:tcPr>
                <w:p w14:paraId="4450C02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移动式布袋除尘器</w:t>
                  </w:r>
                </w:p>
              </w:tc>
              <w:tc>
                <w:tcPr>
                  <w:tcW w:w="1666" w:type="dxa"/>
                  <w:tcBorders>
                    <w:tl2br w:val="nil"/>
                    <w:tr2bl w:val="nil"/>
                  </w:tcBorders>
                  <w:noWrap w:val="0"/>
                  <w:vAlign w:val="center"/>
                </w:tcPr>
                <w:p w14:paraId="78A610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747" w:type="dxa"/>
                  <w:tcBorders>
                    <w:tl2br w:val="nil"/>
                    <w:tr2bl w:val="nil"/>
                  </w:tcBorders>
                  <w:noWrap w:val="0"/>
                  <w:vAlign w:val="center"/>
                </w:tcPr>
                <w:p w14:paraId="229FA509">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6</w:t>
                  </w:r>
                </w:p>
              </w:tc>
            </w:tr>
            <w:tr w14:paraId="06D83E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711" w:type="dxa"/>
                  <w:vMerge w:val="continue"/>
                  <w:tcBorders>
                    <w:tl2br w:val="nil"/>
                    <w:tr2bl w:val="nil"/>
                  </w:tcBorders>
                  <w:noWrap w:val="0"/>
                  <w:vAlign w:val="center"/>
                </w:tcPr>
                <w:p w14:paraId="3B0A09D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p>
              </w:tc>
              <w:tc>
                <w:tcPr>
                  <w:tcW w:w="1539" w:type="dxa"/>
                  <w:tcBorders>
                    <w:tl2br w:val="nil"/>
                    <w:tr2bl w:val="nil"/>
                  </w:tcBorders>
                  <w:noWrap w:val="0"/>
                  <w:vAlign w:val="center"/>
                </w:tcPr>
                <w:p w14:paraId="0DCF78C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焊接</w:t>
                  </w:r>
                </w:p>
              </w:tc>
              <w:tc>
                <w:tcPr>
                  <w:tcW w:w="1608" w:type="dxa"/>
                  <w:tcBorders>
                    <w:tl2br w:val="nil"/>
                    <w:tr2bl w:val="nil"/>
                  </w:tcBorders>
                  <w:noWrap w:val="0"/>
                  <w:vAlign w:val="center"/>
                </w:tcPr>
                <w:p w14:paraId="1BE8D99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颗粒物</w:t>
                  </w:r>
                </w:p>
              </w:tc>
              <w:tc>
                <w:tcPr>
                  <w:tcW w:w="2207" w:type="dxa"/>
                  <w:gridSpan w:val="2"/>
                  <w:tcBorders>
                    <w:tl2br w:val="nil"/>
                    <w:tr2bl w:val="nil"/>
                  </w:tcBorders>
                  <w:noWrap w:val="0"/>
                  <w:vAlign w:val="center"/>
                </w:tcPr>
                <w:p w14:paraId="0E14B5E5">
                  <w:pPr>
                    <w:pStyle w:val="37"/>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移动式烟尘净化器</w:t>
                  </w:r>
                </w:p>
              </w:tc>
              <w:tc>
                <w:tcPr>
                  <w:tcW w:w="1666" w:type="dxa"/>
                  <w:tcBorders>
                    <w:tl2br w:val="nil"/>
                    <w:tr2bl w:val="nil"/>
                  </w:tcBorders>
                  <w:noWrap w:val="0"/>
                  <w:vAlign w:val="center"/>
                </w:tcPr>
                <w:p w14:paraId="2286344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p>
              </w:tc>
              <w:tc>
                <w:tcPr>
                  <w:tcW w:w="747" w:type="dxa"/>
                  <w:tcBorders>
                    <w:tl2br w:val="nil"/>
                    <w:tr2bl w:val="nil"/>
                  </w:tcBorders>
                  <w:noWrap w:val="0"/>
                  <w:vAlign w:val="center"/>
                </w:tcPr>
                <w:p w14:paraId="44E9FC5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w:t>
                  </w:r>
                </w:p>
              </w:tc>
            </w:tr>
            <w:tr w14:paraId="2A5CF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711" w:type="dxa"/>
                  <w:vMerge w:val="continue"/>
                  <w:tcBorders>
                    <w:tl2br w:val="nil"/>
                    <w:tr2bl w:val="nil"/>
                  </w:tcBorders>
                  <w:noWrap w:val="0"/>
                  <w:vAlign w:val="center"/>
                </w:tcPr>
                <w:p w14:paraId="01B7C86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p>
              </w:tc>
              <w:tc>
                <w:tcPr>
                  <w:tcW w:w="1539" w:type="dxa"/>
                  <w:tcBorders>
                    <w:tl2br w:val="nil"/>
                    <w:tr2bl w:val="nil"/>
                  </w:tcBorders>
                  <w:noWrap w:val="0"/>
                  <w:vAlign w:val="center"/>
                </w:tcPr>
                <w:p w14:paraId="2B745A0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水性丙烯酸面漆喷漆废气</w:t>
                  </w:r>
                </w:p>
              </w:tc>
              <w:tc>
                <w:tcPr>
                  <w:tcW w:w="1608" w:type="dxa"/>
                  <w:tcBorders>
                    <w:tl2br w:val="nil"/>
                    <w:tr2bl w:val="nil"/>
                  </w:tcBorders>
                  <w:noWrap w:val="0"/>
                  <w:vAlign w:val="center"/>
                </w:tcPr>
                <w:p w14:paraId="3885BB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非甲烷总烃</w:t>
                  </w:r>
                  <w:r>
                    <w:rPr>
                      <w:rFonts w:hint="eastAsia" w:ascii="Times New Roman" w:hAnsi="Times New Roman" w:eastAsia="宋体" w:cs="Times New Roman"/>
                      <w:b w:val="0"/>
                      <w:bCs/>
                      <w:color w:val="auto"/>
                      <w:sz w:val="21"/>
                      <w:szCs w:val="21"/>
                      <w:lang w:val="en-US" w:eastAsia="zh-CN"/>
                    </w:rPr>
                    <w:t>、颗粒物</w:t>
                  </w:r>
                </w:p>
              </w:tc>
              <w:tc>
                <w:tcPr>
                  <w:tcW w:w="1389" w:type="dxa"/>
                  <w:tcBorders>
                    <w:tl2br w:val="nil"/>
                    <w:tr2bl w:val="nil"/>
                  </w:tcBorders>
                  <w:noWrap w:val="0"/>
                  <w:vAlign w:val="center"/>
                </w:tcPr>
                <w:p w14:paraId="7A95FB7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喷漆房密闭负压收集+干式漆雾过滤器</w:t>
                  </w:r>
                </w:p>
              </w:tc>
              <w:tc>
                <w:tcPr>
                  <w:tcW w:w="818" w:type="dxa"/>
                  <w:vMerge w:val="restart"/>
                  <w:tcBorders>
                    <w:tl2br w:val="nil"/>
                    <w:tr2bl w:val="nil"/>
                  </w:tcBorders>
                  <w:noWrap w:val="0"/>
                  <w:vAlign w:val="center"/>
                </w:tcPr>
                <w:p w14:paraId="727C882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+两级活性炭吸附装置</w:t>
                  </w:r>
                </w:p>
              </w:tc>
              <w:tc>
                <w:tcPr>
                  <w:tcW w:w="1666" w:type="dxa"/>
                  <w:vMerge w:val="restart"/>
                  <w:tcBorders>
                    <w:tl2br w:val="nil"/>
                    <w:tr2bl w:val="nil"/>
                  </w:tcBorders>
                  <w:noWrap w:val="0"/>
                  <w:vAlign w:val="center"/>
                </w:tcPr>
                <w:p w14:paraId="398D48B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15m</w:t>
                  </w:r>
                  <w:r>
                    <w:rPr>
                      <w:rFonts w:hint="default" w:ascii="Times New Roman" w:hAnsi="Times New Roman" w:eastAsia="宋体" w:cs="Times New Roman"/>
                      <w:b w:val="0"/>
                      <w:bCs/>
                      <w:color w:val="auto"/>
                      <w:sz w:val="21"/>
                      <w:szCs w:val="21"/>
                    </w:rPr>
                    <w:t>排气筒</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lang w:val="en-US" w:eastAsia="zh-CN"/>
                    </w:rPr>
                    <w:t>DA00</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p>
              </w:tc>
              <w:tc>
                <w:tcPr>
                  <w:tcW w:w="747" w:type="dxa"/>
                  <w:vMerge w:val="restart"/>
                  <w:tcBorders>
                    <w:tl2br w:val="nil"/>
                    <w:tr2bl w:val="nil"/>
                  </w:tcBorders>
                  <w:noWrap w:val="0"/>
                  <w:vAlign w:val="center"/>
                </w:tcPr>
                <w:p w14:paraId="484F169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8</w:t>
                  </w:r>
                </w:p>
              </w:tc>
            </w:tr>
            <w:tr w14:paraId="207B5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711" w:type="dxa"/>
                  <w:vMerge w:val="continue"/>
                  <w:tcBorders>
                    <w:tl2br w:val="nil"/>
                    <w:tr2bl w:val="nil"/>
                  </w:tcBorders>
                  <w:noWrap w:val="0"/>
                  <w:vAlign w:val="center"/>
                </w:tcPr>
                <w:p w14:paraId="055527A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p>
              </w:tc>
              <w:tc>
                <w:tcPr>
                  <w:tcW w:w="1539" w:type="dxa"/>
                  <w:tcBorders>
                    <w:tl2br w:val="nil"/>
                    <w:tr2bl w:val="nil"/>
                  </w:tcBorders>
                  <w:noWrap w:val="0"/>
                  <w:vAlign w:val="center"/>
                </w:tcPr>
                <w:p w14:paraId="386B2F6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水性丙烯酸面漆晾干废气</w:t>
                  </w:r>
                </w:p>
              </w:tc>
              <w:tc>
                <w:tcPr>
                  <w:tcW w:w="1608" w:type="dxa"/>
                  <w:tcBorders>
                    <w:tl2br w:val="nil"/>
                    <w:tr2bl w:val="nil"/>
                  </w:tcBorders>
                  <w:noWrap w:val="0"/>
                  <w:vAlign w:val="center"/>
                </w:tcPr>
                <w:p w14:paraId="7A067DF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非甲烷总烃</w:t>
                  </w:r>
                </w:p>
              </w:tc>
              <w:tc>
                <w:tcPr>
                  <w:tcW w:w="1389" w:type="dxa"/>
                  <w:tcBorders>
                    <w:tl2br w:val="nil"/>
                    <w:tr2bl w:val="nil"/>
                  </w:tcBorders>
                  <w:noWrap w:val="0"/>
                  <w:vAlign w:val="center"/>
                </w:tcPr>
                <w:p w14:paraId="1C245D5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晾干房密闭负压收集</w:t>
                  </w:r>
                </w:p>
              </w:tc>
              <w:tc>
                <w:tcPr>
                  <w:tcW w:w="818" w:type="dxa"/>
                  <w:vMerge w:val="continue"/>
                  <w:tcBorders>
                    <w:tl2br w:val="nil"/>
                    <w:tr2bl w:val="nil"/>
                  </w:tcBorders>
                  <w:noWrap w:val="0"/>
                  <w:vAlign w:val="center"/>
                </w:tcPr>
                <w:p w14:paraId="63390DA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color w:val="auto"/>
                      <w:sz w:val="21"/>
                      <w:szCs w:val="21"/>
                      <w:lang w:val="en-US" w:eastAsia="zh-CN"/>
                    </w:rPr>
                  </w:pPr>
                </w:p>
              </w:tc>
              <w:tc>
                <w:tcPr>
                  <w:tcW w:w="1666" w:type="dxa"/>
                  <w:vMerge w:val="continue"/>
                  <w:tcBorders>
                    <w:tl2br w:val="nil"/>
                    <w:tr2bl w:val="nil"/>
                  </w:tcBorders>
                  <w:noWrap w:val="0"/>
                  <w:vAlign w:val="center"/>
                </w:tcPr>
                <w:p w14:paraId="00476CF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p>
              </w:tc>
              <w:tc>
                <w:tcPr>
                  <w:tcW w:w="747" w:type="dxa"/>
                  <w:vMerge w:val="continue"/>
                  <w:tcBorders>
                    <w:tl2br w:val="nil"/>
                    <w:tr2bl w:val="nil"/>
                  </w:tcBorders>
                  <w:noWrap w:val="0"/>
                  <w:vAlign w:val="center"/>
                </w:tcPr>
                <w:p w14:paraId="538C3312">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cs="Times New Roman"/>
                      <w:b w:val="0"/>
                      <w:bCs/>
                      <w:color w:val="auto"/>
                      <w:sz w:val="21"/>
                      <w:szCs w:val="21"/>
                      <w:lang w:val="en-US" w:eastAsia="zh-CN"/>
                    </w:rPr>
                  </w:pPr>
                </w:p>
              </w:tc>
            </w:tr>
            <w:tr w14:paraId="7949A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711" w:type="dxa"/>
                  <w:tcBorders>
                    <w:tl2br w:val="nil"/>
                    <w:tr2bl w:val="nil"/>
                  </w:tcBorders>
                  <w:noWrap w:val="0"/>
                  <w:vAlign w:val="center"/>
                </w:tcPr>
                <w:p w14:paraId="3DBF5777">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废水</w:t>
                  </w:r>
                </w:p>
              </w:tc>
              <w:tc>
                <w:tcPr>
                  <w:tcW w:w="3147" w:type="dxa"/>
                  <w:gridSpan w:val="2"/>
                  <w:tcBorders>
                    <w:tl2br w:val="nil"/>
                    <w:tr2bl w:val="nil"/>
                  </w:tcBorders>
                  <w:noWrap w:val="0"/>
                  <w:vAlign w:val="center"/>
                </w:tcPr>
                <w:p w14:paraId="56BECE6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生活污水</w:t>
                  </w:r>
                </w:p>
              </w:tc>
              <w:tc>
                <w:tcPr>
                  <w:tcW w:w="3873" w:type="dxa"/>
                  <w:gridSpan w:val="3"/>
                  <w:tcBorders>
                    <w:tl2br w:val="nil"/>
                    <w:tr2bl w:val="nil"/>
                  </w:tcBorders>
                  <w:noWrap w:val="0"/>
                  <w:vAlign w:val="center"/>
                </w:tcPr>
                <w:p w14:paraId="34F698C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依托</w:t>
                  </w:r>
                  <w:r>
                    <w:rPr>
                      <w:rFonts w:hint="eastAsia" w:ascii="Times New Roman" w:hAnsi="Times New Roman" w:cs="Times New Roman"/>
                      <w:b w:val="0"/>
                      <w:bCs/>
                      <w:color w:val="auto"/>
                      <w:sz w:val="21"/>
                      <w:szCs w:val="21"/>
                      <w:lang w:val="en-US" w:eastAsia="zh-CN"/>
                    </w:rPr>
                    <w:t>租赁</w:t>
                  </w:r>
                  <w:r>
                    <w:rPr>
                      <w:rFonts w:hint="default" w:ascii="Times New Roman" w:hAnsi="Times New Roman" w:eastAsia="宋体" w:cs="Times New Roman"/>
                      <w:b w:val="0"/>
                      <w:bCs/>
                      <w:color w:val="auto"/>
                      <w:sz w:val="21"/>
                      <w:szCs w:val="21"/>
                      <w:lang w:val="en-US" w:eastAsia="zh-CN"/>
                    </w:rPr>
                    <w:t>厂房已建化粪池</w:t>
                  </w:r>
                </w:p>
              </w:tc>
              <w:tc>
                <w:tcPr>
                  <w:tcW w:w="747" w:type="dxa"/>
                  <w:tcBorders>
                    <w:tl2br w:val="nil"/>
                    <w:tr2bl w:val="nil"/>
                  </w:tcBorders>
                  <w:noWrap w:val="0"/>
                  <w:vAlign w:val="center"/>
                </w:tcPr>
                <w:p w14:paraId="2D885D2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r>
            <w:tr w14:paraId="2C596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73" w:hRule="atLeast"/>
                <w:jc w:val="center"/>
              </w:trPr>
              <w:tc>
                <w:tcPr>
                  <w:tcW w:w="711" w:type="dxa"/>
                  <w:tcBorders>
                    <w:tl2br w:val="nil"/>
                    <w:tr2bl w:val="nil"/>
                  </w:tcBorders>
                  <w:noWrap w:val="0"/>
                  <w:vAlign w:val="center"/>
                </w:tcPr>
                <w:p w14:paraId="69B4DE40">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噪声</w:t>
                  </w:r>
                </w:p>
              </w:tc>
              <w:tc>
                <w:tcPr>
                  <w:tcW w:w="3147" w:type="dxa"/>
                  <w:gridSpan w:val="2"/>
                  <w:tcBorders>
                    <w:tl2br w:val="nil"/>
                    <w:tr2bl w:val="nil"/>
                  </w:tcBorders>
                  <w:noWrap w:val="0"/>
                  <w:vAlign w:val="center"/>
                </w:tcPr>
                <w:p w14:paraId="62AA2C8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噪声</w:t>
                  </w:r>
                </w:p>
              </w:tc>
              <w:tc>
                <w:tcPr>
                  <w:tcW w:w="3873" w:type="dxa"/>
                  <w:gridSpan w:val="3"/>
                  <w:tcBorders>
                    <w:tl2br w:val="nil"/>
                    <w:tr2bl w:val="nil"/>
                  </w:tcBorders>
                  <w:noWrap w:val="0"/>
                  <w:vAlign w:val="center"/>
                </w:tcPr>
                <w:p w14:paraId="2A2B1D6A">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基础减振、车间封闭、隔声门窗</w:t>
                  </w:r>
                </w:p>
              </w:tc>
              <w:tc>
                <w:tcPr>
                  <w:tcW w:w="747" w:type="dxa"/>
                  <w:tcBorders>
                    <w:tl2br w:val="nil"/>
                    <w:tr2bl w:val="nil"/>
                  </w:tcBorders>
                  <w:noWrap w:val="0"/>
                  <w:vAlign w:val="center"/>
                </w:tcPr>
                <w:p w14:paraId="0A2325B3">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5</w:t>
                  </w:r>
                </w:p>
              </w:tc>
            </w:tr>
            <w:tr w14:paraId="2BEB4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9" w:hRule="atLeast"/>
                <w:jc w:val="center"/>
              </w:trPr>
              <w:tc>
                <w:tcPr>
                  <w:tcW w:w="711" w:type="dxa"/>
                  <w:tcBorders>
                    <w:tl2br w:val="nil"/>
                    <w:tr2bl w:val="nil"/>
                  </w:tcBorders>
                  <w:noWrap w:val="0"/>
                  <w:vAlign w:val="center"/>
                </w:tcPr>
                <w:p w14:paraId="7EF49AF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eastAsia="zh-CN"/>
                    </w:rPr>
                    <w:t>一般</w:t>
                  </w:r>
                  <w:r>
                    <w:rPr>
                      <w:rFonts w:hint="default" w:ascii="Times New Roman" w:hAnsi="Times New Roman" w:eastAsia="宋体" w:cs="Times New Roman"/>
                      <w:b w:val="0"/>
                      <w:bCs/>
                      <w:color w:val="auto"/>
                      <w:sz w:val="21"/>
                      <w:szCs w:val="21"/>
                    </w:rPr>
                    <w:t>固废</w:t>
                  </w:r>
                </w:p>
              </w:tc>
              <w:tc>
                <w:tcPr>
                  <w:tcW w:w="3147" w:type="dxa"/>
                  <w:gridSpan w:val="2"/>
                  <w:tcBorders>
                    <w:tl2br w:val="nil"/>
                    <w:tr2bl w:val="nil"/>
                  </w:tcBorders>
                  <w:noWrap w:val="0"/>
                  <w:vAlign w:val="center"/>
                </w:tcPr>
                <w:p w14:paraId="60D8EB84">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废包材、沉降金属碎屑、金属边角料、过滤金属碎屑、焊渣、不合格品、布袋除尘器收集粉尘（激光切割、锯床切割）、废布袋、废气瓶。</w:t>
                  </w:r>
                </w:p>
              </w:tc>
              <w:tc>
                <w:tcPr>
                  <w:tcW w:w="3873" w:type="dxa"/>
                  <w:gridSpan w:val="3"/>
                  <w:tcBorders>
                    <w:tl2br w:val="nil"/>
                    <w:tr2bl w:val="nil"/>
                  </w:tcBorders>
                  <w:noWrap w:val="0"/>
                  <w:vAlign w:val="center"/>
                </w:tcPr>
                <w:p w14:paraId="5968166B">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厂房东南侧新</w:t>
                  </w:r>
                  <w:r>
                    <w:rPr>
                      <w:rFonts w:hint="default" w:ascii="Times New Roman" w:hAnsi="Times New Roman" w:eastAsia="宋体" w:cs="Times New Roman"/>
                      <w:b w:val="0"/>
                      <w:bCs/>
                      <w:color w:val="auto"/>
                      <w:sz w:val="21"/>
                      <w:szCs w:val="21"/>
                      <w:lang w:val="en-US" w:eastAsia="zh-CN"/>
                    </w:rPr>
                    <w:t>建一座</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0m</w:t>
                  </w:r>
                  <w:r>
                    <w:rPr>
                      <w:rFonts w:hint="default" w:ascii="Times New Roman" w:hAnsi="Times New Roman" w:eastAsia="宋体" w:cs="Times New Roman"/>
                      <w:b w:val="0"/>
                      <w:bCs/>
                      <w:color w:val="auto"/>
                      <w:sz w:val="21"/>
                      <w:szCs w:val="21"/>
                      <w:vertAlign w:val="superscript"/>
                      <w:lang w:val="en-US" w:eastAsia="zh-CN"/>
                    </w:rPr>
                    <w:t>2</w:t>
                  </w:r>
                  <w:r>
                    <w:rPr>
                      <w:rFonts w:hint="eastAsia" w:ascii="Times New Roman" w:hAnsi="Times New Roman" w:eastAsia="宋体" w:cs="Times New Roman"/>
                      <w:b w:val="0"/>
                      <w:bCs/>
                      <w:color w:val="auto"/>
                      <w:sz w:val="21"/>
                      <w:szCs w:val="21"/>
                      <w:lang w:val="en-US" w:eastAsia="zh-CN"/>
                    </w:rPr>
                    <w:t>一般固废库</w:t>
                  </w:r>
                  <w:r>
                    <w:rPr>
                      <w:rFonts w:hint="default" w:ascii="Times New Roman" w:hAnsi="Times New Roman" w:eastAsia="宋体" w:cs="Times New Roman"/>
                      <w:b w:val="0"/>
                      <w:bCs/>
                      <w:color w:val="auto"/>
                      <w:sz w:val="21"/>
                      <w:szCs w:val="21"/>
                      <w:lang w:val="en-US" w:eastAsia="zh-CN"/>
                    </w:rPr>
                    <w:t>。</w:t>
                  </w:r>
                </w:p>
              </w:tc>
              <w:tc>
                <w:tcPr>
                  <w:tcW w:w="747" w:type="dxa"/>
                  <w:tcBorders>
                    <w:tl2br w:val="nil"/>
                    <w:tr2bl w:val="nil"/>
                  </w:tcBorders>
                  <w:noWrap w:val="0"/>
                  <w:vAlign w:val="center"/>
                </w:tcPr>
                <w:p w14:paraId="5E318E3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w:t>
                  </w:r>
                </w:p>
              </w:tc>
            </w:tr>
            <w:tr w14:paraId="7AEB0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711" w:type="dxa"/>
                  <w:tcBorders>
                    <w:tl2br w:val="nil"/>
                    <w:tr2bl w:val="nil"/>
                  </w:tcBorders>
                  <w:noWrap w:val="0"/>
                  <w:vAlign w:val="center"/>
                </w:tcPr>
                <w:p w14:paraId="5B89F50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危废</w:t>
                  </w:r>
                </w:p>
              </w:tc>
              <w:tc>
                <w:tcPr>
                  <w:tcW w:w="3147" w:type="dxa"/>
                  <w:gridSpan w:val="2"/>
                  <w:tcBorders>
                    <w:tl2br w:val="nil"/>
                    <w:tr2bl w:val="nil"/>
                  </w:tcBorders>
                  <w:noWrap w:val="0"/>
                  <w:vAlign w:val="center"/>
                </w:tcPr>
                <w:p w14:paraId="0008D61D">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机加工更换废液，废水性丙烯酸面漆桶、漆渣、喷枪清洗废液，废润滑油和废润滑油桶，含油抹布、手套，废滤芯、废活性炭。</w:t>
                  </w:r>
                </w:p>
              </w:tc>
              <w:tc>
                <w:tcPr>
                  <w:tcW w:w="3873" w:type="dxa"/>
                  <w:gridSpan w:val="3"/>
                  <w:tcBorders>
                    <w:tl2br w:val="nil"/>
                    <w:tr2bl w:val="nil"/>
                  </w:tcBorders>
                  <w:noWrap w:val="0"/>
                  <w:vAlign w:val="center"/>
                </w:tcPr>
                <w:p w14:paraId="01E35E1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厂房西南侧新</w:t>
                  </w:r>
                  <w:r>
                    <w:rPr>
                      <w:rFonts w:hint="default" w:ascii="Times New Roman" w:hAnsi="Times New Roman" w:eastAsia="宋体" w:cs="Times New Roman"/>
                      <w:b w:val="0"/>
                      <w:bCs/>
                      <w:color w:val="auto"/>
                      <w:sz w:val="21"/>
                      <w:szCs w:val="21"/>
                      <w:lang w:val="en-US" w:eastAsia="zh-CN"/>
                    </w:rPr>
                    <w:t>建一座</w:t>
                  </w:r>
                  <w:r>
                    <w:rPr>
                      <w:rFonts w:hint="eastAsia" w:ascii="Times New Roman" w:hAnsi="Times New Roman" w:cs="Times New Roman"/>
                      <w:b w:val="0"/>
                      <w:bCs/>
                      <w:color w:val="auto"/>
                      <w:sz w:val="21"/>
                      <w:szCs w:val="21"/>
                      <w:lang w:val="en-US" w:eastAsia="zh-CN"/>
                    </w:rPr>
                    <w:t>10</w:t>
                  </w:r>
                  <w:r>
                    <w:rPr>
                      <w:rFonts w:hint="default" w:ascii="Times New Roman" w:hAnsi="Times New Roman" w:eastAsia="宋体" w:cs="Times New Roman"/>
                      <w:b w:val="0"/>
                      <w:bCs/>
                      <w:color w:val="auto"/>
                      <w:sz w:val="21"/>
                      <w:szCs w:val="21"/>
                      <w:lang w:val="en-US" w:eastAsia="zh-CN"/>
                    </w:rPr>
                    <w:t>m</w:t>
                  </w:r>
                  <w:r>
                    <w:rPr>
                      <w:rFonts w:hint="default" w:ascii="Times New Roman" w:hAnsi="Times New Roman" w:eastAsia="宋体" w:cs="Times New Roman"/>
                      <w:b w:val="0"/>
                      <w:bCs/>
                      <w:color w:val="auto"/>
                      <w:sz w:val="21"/>
                      <w:szCs w:val="21"/>
                      <w:vertAlign w:val="superscript"/>
                      <w:lang w:val="en-US" w:eastAsia="zh-CN"/>
                    </w:rPr>
                    <w:t>2</w:t>
                  </w:r>
                  <w:r>
                    <w:rPr>
                      <w:rFonts w:hint="eastAsia" w:ascii="Times New Roman" w:hAnsi="Times New Roman" w:eastAsia="宋体" w:cs="Times New Roman"/>
                      <w:b w:val="0"/>
                      <w:bCs/>
                      <w:color w:val="auto"/>
                      <w:sz w:val="21"/>
                      <w:szCs w:val="21"/>
                      <w:lang w:val="en-US" w:eastAsia="zh-CN"/>
                    </w:rPr>
                    <w:t>危废暂存间</w:t>
                  </w:r>
                  <w:r>
                    <w:rPr>
                      <w:rFonts w:hint="default" w:ascii="Times New Roman" w:hAnsi="Times New Roman" w:eastAsia="宋体" w:cs="Times New Roman"/>
                      <w:b w:val="0"/>
                      <w:bCs/>
                      <w:color w:val="auto"/>
                      <w:sz w:val="21"/>
                      <w:szCs w:val="21"/>
                      <w:lang w:val="en-US" w:eastAsia="zh-CN"/>
                    </w:rPr>
                    <w:t>。</w:t>
                  </w:r>
                </w:p>
              </w:tc>
              <w:tc>
                <w:tcPr>
                  <w:tcW w:w="747" w:type="dxa"/>
                  <w:tcBorders>
                    <w:tl2br w:val="nil"/>
                    <w:tr2bl w:val="nil"/>
                  </w:tcBorders>
                  <w:noWrap w:val="0"/>
                  <w:vAlign w:val="center"/>
                </w:tcPr>
                <w:p w14:paraId="6F16993E">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4</w:t>
                  </w:r>
                </w:p>
              </w:tc>
            </w:tr>
            <w:tr w14:paraId="26577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3" w:hRule="atLeast"/>
                <w:jc w:val="center"/>
              </w:trPr>
              <w:tc>
                <w:tcPr>
                  <w:tcW w:w="711" w:type="dxa"/>
                  <w:tcBorders>
                    <w:tl2br w:val="nil"/>
                    <w:tr2bl w:val="nil"/>
                  </w:tcBorders>
                  <w:noWrap w:val="0"/>
                  <w:vAlign w:val="center"/>
                </w:tcPr>
                <w:p w14:paraId="2F2CE7AC">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地下水</w:t>
                  </w:r>
                </w:p>
              </w:tc>
              <w:tc>
                <w:tcPr>
                  <w:tcW w:w="3147" w:type="dxa"/>
                  <w:gridSpan w:val="2"/>
                  <w:tcBorders>
                    <w:tl2br w:val="nil"/>
                    <w:tr2bl w:val="nil"/>
                  </w:tcBorders>
                  <w:noWrap w:val="0"/>
                  <w:vAlign w:val="center"/>
                </w:tcPr>
                <w:p w14:paraId="53176FC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防渗</w:t>
                  </w:r>
                </w:p>
              </w:tc>
              <w:tc>
                <w:tcPr>
                  <w:tcW w:w="3873" w:type="dxa"/>
                  <w:gridSpan w:val="3"/>
                  <w:tcBorders>
                    <w:tl2br w:val="nil"/>
                    <w:tr2bl w:val="nil"/>
                  </w:tcBorders>
                  <w:noWrap w:val="0"/>
                  <w:vAlign w:val="center"/>
                </w:tcPr>
                <w:p w14:paraId="6A72248F">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危废暂存间</w:t>
                  </w:r>
                  <w:r>
                    <w:rPr>
                      <w:rFonts w:hint="default" w:ascii="Times New Roman" w:hAnsi="Times New Roman" w:eastAsia="宋体" w:cs="Times New Roman"/>
                      <w:b w:val="0"/>
                      <w:bCs/>
                      <w:color w:val="auto"/>
                      <w:sz w:val="21"/>
                      <w:szCs w:val="21"/>
                      <w:lang w:val="en-US" w:eastAsia="zh-CN"/>
                    </w:rPr>
                    <w:t>采取重点防渗</w:t>
                  </w:r>
                  <w:r>
                    <w:rPr>
                      <w:rFonts w:hint="eastAsia" w:ascii="Times New Roman" w:hAnsi="Times New Roman" w:cs="Times New Roman"/>
                      <w:b w:val="0"/>
                      <w:bCs/>
                      <w:color w:val="auto"/>
                      <w:sz w:val="21"/>
                      <w:szCs w:val="21"/>
                      <w:lang w:val="en-US" w:eastAsia="zh-CN"/>
                    </w:rPr>
                    <w:t>，辅料库和</w:t>
                  </w:r>
                  <w:r>
                    <w:rPr>
                      <w:rFonts w:hint="default" w:ascii="Times New Roman" w:hAnsi="Times New Roman" w:eastAsia="宋体" w:cs="Times New Roman"/>
                      <w:b w:val="0"/>
                      <w:bCs/>
                      <w:color w:val="auto"/>
                      <w:sz w:val="21"/>
                      <w:szCs w:val="21"/>
                      <w:lang w:val="en-US" w:eastAsia="zh-CN"/>
                    </w:rPr>
                    <w:t>危废暂存间设计收集设施（集液槽，做重点防渗）</w:t>
                  </w:r>
                  <w:r>
                    <w:rPr>
                      <w:rFonts w:hint="eastAsia" w:ascii="Times New Roman" w:hAnsi="Times New Roman" w:cs="Times New Roman"/>
                      <w:b w:val="0"/>
                      <w:bCs/>
                      <w:color w:val="auto"/>
                      <w:sz w:val="21"/>
                      <w:szCs w:val="21"/>
                      <w:lang w:val="en-US" w:eastAsia="zh-CN"/>
                    </w:rPr>
                    <w:t>。</w:t>
                  </w:r>
                </w:p>
              </w:tc>
              <w:tc>
                <w:tcPr>
                  <w:tcW w:w="747" w:type="dxa"/>
                  <w:tcBorders>
                    <w:tl2br w:val="nil"/>
                    <w:tr2bl w:val="nil"/>
                  </w:tcBorders>
                  <w:noWrap w:val="0"/>
                  <w:vAlign w:val="center"/>
                </w:tcPr>
                <w:p w14:paraId="3D0578F1">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3</w:t>
                  </w:r>
                </w:p>
              </w:tc>
            </w:tr>
            <w:tr w14:paraId="1103D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03" w:hRule="atLeast"/>
                <w:jc w:val="center"/>
              </w:trPr>
              <w:tc>
                <w:tcPr>
                  <w:tcW w:w="3858" w:type="dxa"/>
                  <w:gridSpan w:val="3"/>
                  <w:tcBorders>
                    <w:tl2br w:val="nil"/>
                    <w:tr2bl w:val="nil"/>
                  </w:tcBorders>
                  <w:noWrap w:val="0"/>
                  <w:vAlign w:val="center"/>
                </w:tcPr>
                <w:p w14:paraId="554D99B5">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val="0"/>
                      <w:color w:val="auto"/>
                      <w:sz w:val="21"/>
                      <w:szCs w:val="21"/>
                    </w:rPr>
                    <w:t>合计</w:t>
                  </w:r>
                </w:p>
              </w:tc>
              <w:tc>
                <w:tcPr>
                  <w:tcW w:w="3873" w:type="dxa"/>
                  <w:gridSpan w:val="3"/>
                  <w:tcBorders>
                    <w:tl2br w:val="nil"/>
                    <w:tr2bl w:val="nil"/>
                  </w:tcBorders>
                  <w:noWrap w:val="0"/>
                  <w:vAlign w:val="center"/>
                </w:tcPr>
                <w:p w14:paraId="10797CB8">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val="0"/>
                      <w:color w:val="auto"/>
                      <w:sz w:val="21"/>
                      <w:szCs w:val="21"/>
                    </w:rPr>
                    <w:t>／</w:t>
                  </w:r>
                </w:p>
              </w:tc>
              <w:tc>
                <w:tcPr>
                  <w:tcW w:w="747" w:type="dxa"/>
                  <w:tcBorders>
                    <w:tl2br w:val="nil"/>
                    <w:tr2bl w:val="nil"/>
                  </w:tcBorders>
                  <w:noWrap w:val="0"/>
                  <w:vAlign w:val="center"/>
                </w:tcPr>
                <w:p w14:paraId="598307A6">
                  <w:pPr>
                    <w:pStyle w:val="37"/>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val="0"/>
                      <w:color w:val="auto"/>
                      <w:sz w:val="21"/>
                      <w:szCs w:val="21"/>
                      <w:lang w:val="en-US" w:eastAsia="zh-CN"/>
                    </w:rPr>
                  </w:pPr>
                  <w:r>
                    <w:rPr>
                      <w:rFonts w:hint="eastAsia" w:ascii="Times New Roman" w:hAnsi="Times New Roman" w:cs="Times New Roman"/>
                      <w:b/>
                      <w:bCs w:val="0"/>
                      <w:color w:val="auto"/>
                      <w:sz w:val="21"/>
                      <w:szCs w:val="21"/>
                      <w:lang w:val="en-US" w:eastAsia="zh-CN"/>
                    </w:rPr>
                    <w:t>37</w:t>
                  </w:r>
                </w:p>
              </w:tc>
            </w:tr>
            <w:bookmarkEnd w:id="10"/>
          </w:tbl>
          <w:p w14:paraId="08C7754C">
            <w:pPr>
              <w:pStyle w:val="42"/>
              <w:ind w:left="0" w:leftChars="0" w:firstLine="0" w:firstLineChars="0"/>
              <w:rPr>
                <w:rFonts w:hint="default" w:ascii="Times New Roman" w:hAnsi="Times New Roman" w:cs="Times New Roman"/>
                <w:color w:val="auto"/>
              </w:rPr>
            </w:pPr>
          </w:p>
        </w:tc>
      </w:tr>
    </w:tbl>
    <w:p w14:paraId="7F6F34AC">
      <w:pPr>
        <w:bidi w:val="0"/>
        <w:rPr>
          <w:rFonts w:hint="eastAsia"/>
          <w:color w:val="auto"/>
        </w:rPr>
        <w:sectPr>
          <w:pgSz w:w="11905" w:h="16838"/>
          <w:pgMar w:top="1701" w:right="1531" w:bottom="1701" w:left="1531" w:header="850" w:footer="850" w:gutter="0"/>
          <w:pgBorders>
            <w:top w:val="none" w:sz="0" w:space="0"/>
            <w:left w:val="none" w:sz="0" w:space="0"/>
            <w:bottom w:val="none" w:sz="0" w:space="0"/>
            <w:right w:val="none" w:sz="0" w:space="0"/>
          </w:pgBorders>
          <w:pgNumType w:fmt="decimal"/>
          <w:cols w:space="720" w:num="1"/>
          <w:rtlGutter w:val="0"/>
          <w:docGrid w:linePitch="312" w:charSpace="0"/>
        </w:sectPr>
      </w:pPr>
    </w:p>
    <w:p w14:paraId="17469D86">
      <w:pPr>
        <w:pStyle w:val="4"/>
        <w:keepNext/>
        <w:keepLines/>
        <w:pageBreakBefore w:val="0"/>
        <w:widowControl w:val="0"/>
        <w:kinsoku/>
        <w:wordWrap/>
        <w:overflowPunct/>
        <w:topLinePunct w:val="0"/>
        <w:autoSpaceDE/>
        <w:autoSpaceDN/>
        <w:bidi w:val="0"/>
        <w:adjustRightInd w:val="0"/>
        <w:snapToGrid w:val="0"/>
        <w:textAlignment w:val="auto"/>
        <w:rPr>
          <w:color w:val="auto"/>
        </w:rPr>
      </w:pPr>
      <w:r>
        <w:rPr>
          <w:rFonts w:hint="eastAsia"/>
          <w:color w:val="auto"/>
        </w:rPr>
        <w:t>五、</w:t>
      </w:r>
      <w:bookmarkStart w:id="11" w:name="_Hlk54167917"/>
      <w:r>
        <w:rPr>
          <w:rFonts w:hint="eastAsia"/>
          <w:color w:val="auto"/>
        </w:rPr>
        <w:t>环境保护措施监督检查清单</w:t>
      </w:r>
      <w:bookmarkEnd w:id="11"/>
    </w:p>
    <w:tbl>
      <w:tblPr>
        <w:tblStyle w:val="31"/>
        <w:tblW w:w="958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94"/>
        <w:gridCol w:w="1060"/>
        <w:gridCol w:w="1230"/>
        <w:gridCol w:w="1377"/>
        <w:gridCol w:w="967"/>
        <w:gridCol w:w="968"/>
        <w:gridCol w:w="2687"/>
      </w:tblGrid>
      <w:tr w14:paraId="7F54E0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7" w:hRule="atLeast"/>
          <w:jc w:val="center"/>
        </w:trPr>
        <w:tc>
          <w:tcPr>
            <w:tcW w:w="1294" w:type="dxa"/>
            <w:tcBorders>
              <w:tl2br w:val="nil"/>
              <w:tr2bl w:val="nil"/>
            </w:tcBorders>
            <w:noWrap w:val="0"/>
            <w:vAlign w:val="center"/>
            <mc:AlternateContent>
              <mc:Choice Requires="wpsCustomData">
                <wpsCustomData:diagonals>
                  <wpsCustomData:diagonal from="10000" to="30000">
                    <wpsCustomData:border w:val="single" w:color="auto" w:sz="6" w:space="0"/>
                  </wpsCustomData:diagonal>
                </wpsCustomData:diagonals>
              </mc:Choice>
            </mc:AlternateContent>
          </w:tcPr>
          <w:p w14:paraId="413DEDB6">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both"/>
              <w:textAlignment w:val="auto"/>
              <mc:AlternateContent>
                <mc:Choice Requires="wpsCustomData">
                  <wpsCustomData:diagonalParaType/>
                </mc:Choice>
              </mc:AlternateContent>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要素</w:t>
            </w:r>
          </w:p>
          <w:p w14:paraId="673E217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both"/>
              <w:textAlignment w:val="auto"/>
              <w:rPr>
                <w:rFonts w:hint="default" w:ascii="Times New Roman" w:hAnsi="Times New Roman" w:eastAsia="宋体" w:cs="Times New Roman"/>
                <w:b/>
                <w:bCs/>
                <w:color w:val="auto"/>
                <w:sz w:val="24"/>
                <w:szCs w:val="24"/>
                <w:lang w:val="en-US" w:eastAsia="zh-CN"/>
              </w:rPr>
            </w:pPr>
            <w:r>
              <w:rPr>
                <w:rFonts w:hint="eastAsia" w:cs="Times New Roman"/>
                <w:b/>
                <w:bCs/>
                <w:color w:val="auto"/>
                <w:sz w:val="24"/>
                <w:szCs w:val="24"/>
                <w:lang w:val="en-US" w:eastAsia="zh-CN"/>
              </w:rPr>
              <w:t>内容</w:t>
            </w:r>
          </w:p>
        </w:tc>
        <w:tc>
          <w:tcPr>
            <w:tcW w:w="2290" w:type="dxa"/>
            <w:gridSpan w:val="2"/>
            <w:tcBorders>
              <w:tl2br w:val="nil"/>
              <w:tr2bl w:val="nil"/>
            </w:tcBorders>
            <w:noWrap w:val="0"/>
            <w:vAlign w:val="center"/>
          </w:tcPr>
          <w:p w14:paraId="6BF0977D">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排放口</w:t>
            </w:r>
            <w:r>
              <w:rPr>
                <w:rFonts w:hint="eastAsia" w:cs="Times New Roman"/>
                <w:b/>
                <w:bCs/>
                <w:color w:val="auto"/>
                <w:sz w:val="24"/>
                <w:szCs w:val="24"/>
                <w:lang w:eastAsia="zh-CN"/>
              </w:rPr>
              <w:t>（</w:t>
            </w:r>
            <w:r>
              <w:rPr>
                <w:rFonts w:hint="default" w:ascii="Times New Roman" w:hAnsi="Times New Roman" w:cs="Times New Roman"/>
                <w:b/>
                <w:bCs/>
                <w:color w:val="auto"/>
                <w:sz w:val="24"/>
                <w:szCs w:val="24"/>
              </w:rPr>
              <w:t>编号、名称</w:t>
            </w:r>
            <w:r>
              <w:rPr>
                <w:rFonts w:hint="eastAsia" w:cs="Times New Roman"/>
                <w:b/>
                <w:bCs/>
                <w:color w:val="auto"/>
                <w:sz w:val="24"/>
                <w:szCs w:val="24"/>
                <w:lang w:eastAsia="zh-CN"/>
              </w:rPr>
              <w:t>）</w:t>
            </w:r>
            <w:r>
              <w:rPr>
                <w:rFonts w:hint="default" w:ascii="Times New Roman" w:hAnsi="Times New Roman" w:cs="Times New Roman"/>
                <w:b/>
                <w:bCs/>
                <w:color w:val="auto"/>
                <w:sz w:val="24"/>
                <w:szCs w:val="24"/>
              </w:rPr>
              <w:t>/污染源</w:t>
            </w:r>
          </w:p>
        </w:tc>
        <w:tc>
          <w:tcPr>
            <w:tcW w:w="1377" w:type="dxa"/>
            <w:tcBorders>
              <w:tl2br w:val="nil"/>
              <w:tr2bl w:val="nil"/>
            </w:tcBorders>
            <w:noWrap w:val="0"/>
            <w:vAlign w:val="center"/>
          </w:tcPr>
          <w:p w14:paraId="2C98D824">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污染物项目</w:t>
            </w:r>
          </w:p>
        </w:tc>
        <w:tc>
          <w:tcPr>
            <w:tcW w:w="1935" w:type="dxa"/>
            <w:gridSpan w:val="2"/>
            <w:tcBorders>
              <w:tl2br w:val="nil"/>
              <w:tr2bl w:val="nil"/>
            </w:tcBorders>
            <w:noWrap w:val="0"/>
            <w:vAlign w:val="center"/>
          </w:tcPr>
          <w:p w14:paraId="735B372A">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环境保护措施</w:t>
            </w:r>
          </w:p>
        </w:tc>
        <w:tc>
          <w:tcPr>
            <w:tcW w:w="2687" w:type="dxa"/>
            <w:tcBorders>
              <w:tl2br w:val="nil"/>
              <w:tr2bl w:val="nil"/>
            </w:tcBorders>
            <w:noWrap w:val="0"/>
            <w:vAlign w:val="center"/>
          </w:tcPr>
          <w:p w14:paraId="1073192D">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执行标准</w:t>
            </w:r>
          </w:p>
        </w:tc>
      </w:tr>
      <w:tr w14:paraId="251B58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294" w:type="dxa"/>
            <w:vMerge w:val="restart"/>
            <w:tcBorders>
              <w:tl2br w:val="nil"/>
              <w:tr2bl w:val="nil"/>
            </w:tcBorders>
            <w:noWrap w:val="0"/>
            <w:vAlign w:val="center"/>
          </w:tcPr>
          <w:p w14:paraId="16D8DFB2">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大气环境</w:t>
            </w:r>
          </w:p>
        </w:tc>
        <w:tc>
          <w:tcPr>
            <w:tcW w:w="1060" w:type="dxa"/>
            <w:tcBorders>
              <w:tl2br w:val="nil"/>
              <w:tr2bl w:val="nil"/>
            </w:tcBorders>
            <w:noWrap w:val="0"/>
            <w:vAlign w:val="center"/>
          </w:tcPr>
          <w:p w14:paraId="5BE1ECC2">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cs="Times New Roman"/>
                <w:color w:val="auto"/>
                <w:sz w:val="24"/>
                <w:szCs w:val="24"/>
                <w:lang w:val="en-US" w:eastAsia="zh-CN"/>
              </w:rPr>
            </w:pPr>
            <w:r>
              <w:rPr>
                <w:rFonts w:hint="eastAsia" w:cs="Times New Roman"/>
                <w:color w:val="auto"/>
                <w:sz w:val="24"/>
                <w:szCs w:val="24"/>
                <w:lang w:val="en-US" w:eastAsia="zh-CN"/>
              </w:rPr>
              <w:t>DA001</w:t>
            </w:r>
          </w:p>
        </w:tc>
        <w:tc>
          <w:tcPr>
            <w:tcW w:w="1230" w:type="dxa"/>
            <w:tcBorders>
              <w:tl2br w:val="nil"/>
              <w:tr2bl w:val="nil"/>
            </w:tcBorders>
            <w:noWrap w:val="0"/>
            <w:vAlign w:val="center"/>
          </w:tcPr>
          <w:p w14:paraId="77930490">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cs="Times New Roman"/>
                <w:color w:val="auto"/>
                <w:sz w:val="24"/>
                <w:szCs w:val="24"/>
                <w:lang w:val="en-US" w:eastAsia="zh-CN"/>
              </w:rPr>
            </w:pPr>
            <w:r>
              <w:rPr>
                <w:rFonts w:hint="eastAsia" w:cs="Times New Roman"/>
                <w:color w:val="auto"/>
                <w:sz w:val="24"/>
                <w:szCs w:val="24"/>
                <w:lang w:val="en-US" w:eastAsia="zh-CN"/>
              </w:rPr>
              <w:t>激光切割粉尘</w:t>
            </w:r>
          </w:p>
        </w:tc>
        <w:tc>
          <w:tcPr>
            <w:tcW w:w="1377" w:type="dxa"/>
            <w:tcBorders>
              <w:tl2br w:val="nil"/>
              <w:tr2bl w:val="nil"/>
            </w:tcBorders>
            <w:noWrap w:val="0"/>
            <w:vAlign w:val="center"/>
          </w:tcPr>
          <w:p w14:paraId="7230B937">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b w:val="0"/>
                <w:bCs/>
                <w:color w:val="auto"/>
                <w:sz w:val="24"/>
                <w:szCs w:val="24"/>
                <w:lang w:val="en-US" w:eastAsia="zh-CN"/>
              </w:rPr>
            </w:pPr>
            <w:r>
              <w:rPr>
                <w:rFonts w:hint="eastAsia" w:ascii="Times New Roman" w:hAnsi="Times New Roman"/>
                <w:b w:val="0"/>
                <w:bCs/>
                <w:color w:val="auto"/>
                <w:sz w:val="24"/>
                <w:szCs w:val="24"/>
                <w:lang w:val="en-US" w:eastAsia="zh-CN"/>
              </w:rPr>
              <w:t>颗粒物</w:t>
            </w:r>
          </w:p>
        </w:tc>
        <w:tc>
          <w:tcPr>
            <w:tcW w:w="1935" w:type="dxa"/>
            <w:gridSpan w:val="2"/>
            <w:tcBorders>
              <w:tl2br w:val="nil"/>
              <w:tr2bl w:val="nil"/>
            </w:tcBorders>
            <w:noWrap w:val="0"/>
            <w:vAlign w:val="center"/>
          </w:tcPr>
          <w:p w14:paraId="386DEB0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cs="Times New Roman"/>
                <w:b w:val="0"/>
                <w:bCs/>
                <w:color w:val="auto"/>
                <w:sz w:val="24"/>
                <w:szCs w:val="24"/>
                <w:lang w:val="en-US" w:eastAsia="zh-CN"/>
              </w:rPr>
            </w:pPr>
            <w:r>
              <w:rPr>
                <w:rFonts w:hint="eastAsia" w:cs="Times New Roman"/>
                <w:b w:val="0"/>
                <w:bCs/>
                <w:color w:val="auto"/>
                <w:sz w:val="24"/>
                <w:szCs w:val="24"/>
                <w:lang w:val="en-US" w:eastAsia="zh-CN"/>
              </w:rPr>
              <w:t>下吸式集气罩+布袋除尘器+15m排气筒。</w:t>
            </w:r>
          </w:p>
        </w:tc>
        <w:tc>
          <w:tcPr>
            <w:tcW w:w="2687" w:type="dxa"/>
            <w:tcBorders>
              <w:tl2br w:val="nil"/>
              <w:tr2bl w:val="nil"/>
            </w:tcBorders>
            <w:noWrap w:val="0"/>
            <w:vAlign w:val="center"/>
          </w:tcPr>
          <w:p w14:paraId="7F13A3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eastAsia="宋体"/>
                <w:color w:val="auto"/>
                <w:sz w:val="24"/>
                <w:szCs w:val="24"/>
                <w:lang w:val="en-US" w:eastAsia="zh-CN"/>
              </w:rPr>
            </w:pPr>
            <w:r>
              <w:rPr>
                <w:color w:val="auto"/>
                <w:sz w:val="24"/>
                <w:szCs w:val="24"/>
              </w:rPr>
              <w:t>《大气污染物综合排放标准》（GB16297-1996）表2中污染物排放限值</w:t>
            </w:r>
            <w:r>
              <w:rPr>
                <w:rFonts w:hint="eastAsia"/>
                <w:color w:val="auto"/>
                <w:sz w:val="24"/>
                <w:szCs w:val="24"/>
                <w:lang w:eastAsia="zh-CN"/>
              </w:rPr>
              <w:t>。</w:t>
            </w:r>
          </w:p>
        </w:tc>
      </w:tr>
      <w:tr w14:paraId="64A35D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294" w:type="dxa"/>
            <w:vMerge w:val="continue"/>
            <w:tcBorders>
              <w:tl2br w:val="nil"/>
              <w:tr2bl w:val="nil"/>
            </w:tcBorders>
            <w:noWrap w:val="0"/>
            <w:vAlign w:val="center"/>
          </w:tcPr>
          <w:p w14:paraId="5FA0697F">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p>
        </w:tc>
        <w:tc>
          <w:tcPr>
            <w:tcW w:w="1060" w:type="dxa"/>
            <w:vMerge w:val="restart"/>
            <w:tcBorders>
              <w:tl2br w:val="nil"/>
              <w:tr2bl w:val="nil"/>
            </w:tcBorders>
            <w:noWrap w:val="0"/>
            <w:vAlign w:val="center"/>
          </w:tcPr>
          <w:p w14:paraId="3EDBCE07">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cs="Times New Roman"/>
                <w:color w:val="auto"/>
                <w:sz w:val="24"/>
                <w:szCs w:val="24"/>
                <w:lang w:val="en-US" w:eastAsia="zh-CN"/>
              </w:rPr>
            </w:pPr>
            <w:r>
              <w:rPr>
                <w:rFonts w:hint="eastAsia" w:cs="Times New Roman"/>
                <w:color w:val="auto"/>
                <w:sz w:val="24"/>
                <w:szCs w:val="24"/>
                <w:lang w:val="en-US" w:eastAsia="zh-CN"/>
              </w:rPr>
              <w:t>DA002</w:t>
            </w:r>
          </w:p>
        </w:tc>
        <w:tc>
          <w:tcPr>
            <w:tcW w:w="1230" w:type="dxa"/>
            <w:vMerge w:val="restart"/>
            <w:tcBorders>
              <w:tl2br w:val="nil"/>
              <w:tr2bl w:val="nil"/>
            </w:tcBorders>
            <w:noWrap w:val="0"/>
            <w:vAlign w:val="center"/>
          </w:tcPr>
          <w:p w14:paraId="7C1AE62F">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cs="Times New Roman"/>
                <w:color w:val="auto"/>
                <w:sz w:val="24"/>
                <w:szCs w:val="24"/>
                <w:lang w:val="en-US" w:eastAsia="zh-CN"/>
              </w:rPr>
            </w:pPr>
            <w:r>
              <w:rPr>
                <w:rFonts w:hint="eastAsia" w:cs="Times New Roman"/>
                <w:color w:val="auto"/>
                <w:sz w:val="24"/>
                <w:szCs w:val="24"/>
                <w:lang w:val="en-US" w:eastAsia="zh-CN"/>
              </w:rPr>
              <w:t>水性丙烯酸面漆喷漆废气</w:t>
            </w:r>
          </w:p>
        </w:tc>
        <w:tc>
          <w:tcPr>
            <w:tcW w:w="1377" w:type="dxa"/>
            <w:tcBorders>
              <w:tl2br w:val="nil"/>
              <w:tr2bl w:val="nil"/>
            </w:tcBorders>
            <w:noWrap w:val="0"/>
            <w:vAlign w:val="center"/>
          </w:tcPr>
          <w:p w14:paraId="1A11AD78">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color w:val="auto"/>
                <w:kern w:val="0"/>
                <w:sz w:val="24"/>
                <w:szCs w:val="24"/>
                <w:lang w:val="en-US" w:eastAsia="zh-CN" w:bidi="ar-SA"/>
              </w:rPr>
            </w:pPr>
            <w:r>
              <w:rPr>
                <w:rFonts w:hint="eastAsia" w:ascii="Times New Roman" w:hAnsi="Times New Roman"/>
                <w:b w:val="0"/>
                <w:bCs/>
                <w:color w:val="auto"/>
                <w:sz w:val="24"/>
                <w:szCs w:val="24"/>
                <w:lang w:val="en-US" w:eastAsia="zh-CN"/>
              </w:rPr>
              <w:t>颗粒物</w:t>
            </w:r>
          </w:p>
        </w:tc>
        <w:tc>
          <w:tcPr>
            <w:tcW w:w="967" w:type="dxa"/>
            <w:vMerge w:val="restart"/>
            <w:tcBorders>
              <w:tl2br w:val="nil"/>
              <w:tr2bl w:val="nil"/>
            </w:tcBorders>
            <w:noWrap w:val="0"/>
            <w:vAlign w:val="center"/>
          </w:tcPr>
          <w:p w14:paraId="10E40DA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cs="Times New Roman"/>
                <w:b w:val="0"/>
                <w:bCs/>
                <w:color w:val="auto"/>
                <w:sz w:val="24"/>
                <w:szCs w:val="24"/>
                <w:lang w:val="en-US" w:eastAsia="zh-CN"/>
              </w:rPr>
            </w:pPr>
            <w:r>
              <w:rPr>
                <w:rFonts w:hint="eastAsia" w:cs="Times New Roman"/>
                <w:b w:val="0"/>
                <w:bCs/>
                <w:color w:val="auto"/>
                <w:sz w:val="24"/>
                <w:szCs w:val="24"/>
                <w:lang w:val="en-US" w:eastAsia="zh-CN"/>
              </w:rPr>
              <w:t>负压收集+干式漆雾过滤器</w:t>
            </w:r>
          </w:p>
        </w:tc>
        <w:tc>
          <w:tcPr>
            <w:tcW w:w="968" w:type="dxa"/>
            <w:vMerge w:val="restart"/>
            <w:tcBorders>
              <w:tl2br w:val="nil"/>
              <w:tr2bl w:val="nil"/>
            </w:tcBorders>
            <w:noWrap w:val="0"/>
            <w:vAlign w:val="center"/>
          </w:tcPr>
          <w:p w14:paraId="7E085089">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color w:val="auto"/>
                <w:sz w:val="24"/>
                <w:szCs w:val="24"/>
                <w:lang w:val="en-US" w:eastAsia="zh-CN"/>
              </w:rPr>
            </w:pPr>
            <w:r>
              <w:rPr>
                <w:rFonts w:hint="eastAsia" w:cs="Times New Roman"/>
                <w:b w:val="0"/>
                <w:bCs/>
                <w:color w:val="auto"/>
                <w:sz w:val="24"/>
                <w:szCs w:val="24"/>
                <w:lang w:val="en-US" w:eastAsia="zh-CN"/>
              </w:rPr>
              <w:t>+两级活性炭吸附+15m排气筒。</w:t>
            </w:r>
          </w:p>
        </w:tc>
        <w:tc>
          <w:tcPr>
            <w:tcW w:w="2687" w:type="dxa"/>
            <w:tcBorders>
              <w:tl2br w:val="nil"/>
              <w:tr2bl w:val="nil"/>
            </w:tcBorders>
            <w:noWrap w:val="0"/>
            <w:vAlign w:val="center"/>
          </w:tcPr>
          <w:p w14:paraId="4520E0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eastAsia="宋体"/>
                <w:color w:val="auto"/>
                <w:sz w:val="24"/>
                <w:szCs w:val="24"/>
                <w:lang w:val="en-US" w:eastAsia="zh-CN"/>
              </w:rPr>
            </w:pPr>
            <w:r>
              <w:rPr>
                <w:color w:val="auto"/>
                <w:sz w:val="24"/>
                <w:szCs w:val="24"/>
              </w:rPr>
              <w:t>《大气污染物综合排放标准》（GB16297-1996）表2中污染物排放限值</w:t>
            </w:r>
            <w:r>
              <w:rPr>
                <w:rFonts w:hint="eastAsia"/>
                <w:color w:val="auto"/>
                <w:sz w:val="24"/>
                <w:szCs w:val="24"/>
                <w:lang w:eastAsia="zh-CN"/>
              </w:rPr>
              <w:t>。</w:t>
            </w:r>
          </w:p>
        </w:tc>
      </w:tr>
      <w:tr w14:paraId="244BA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294" w:type="dxa"/>
            <w:vMerge w:val="continue"/>
            <w:tcBorders>
              <w:tl2br w:val="nil"/>
              <w:tr2bl w:val="nil"/>
            </w:tcBorders>
            <w:noWrap w:val="0"/>
            <w:vAlign w:val="center"/>
          </w:tcPr>
          <w:p w14:paraId="5E54E25A">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p>
        </w:tc>
        <w:tc>
          <w:tcPr>
            <w:tcW w:w="1060" w:type="dxa"/>
            <w:vMerge w:val="continue"/>
            <w:tcBorders>
              <w:tl2br w:val="nil"/>
              <w:tr2bl w:val="nil"/>
            </w:tcBorders>
            <w:noWrap w:val="0"/>
            <w:vAlign w:val="center"/>
          </w:tcPr>
          <w:p w14:paraId="1533BCC1">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eastAsia" w:cs="Times New Roman"/>
                <w:color w:val="auto"/>
                <w:sz w:val="24"/>
                <w:szCs w:val="24"/>
                <w:lang w:val="en-US" w:eastAsia="zh-CN"/>
              </w:rPr>
            </w:pPr>
          </w:p>
        </w:tc>
        <w:tc>
          <w:tcPr>
            <w:tcW w:w="1230" w:type="dxa"/>
            <w:vMerge w:val="continue"/>
            <w:tcBorders>
              <w:tl2br w:val="nil"/>
              <w:tr2bl w:val="nil"/>
            </w:tcBorders>
            <w:noWrap w:val="0"/>
            <w:vAlign w:val="center"/>
          </w:tcPr>
          <w:p w14:paraId="7389C291">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eastAsia" w:cs="Times New Roman"/>
                <w:color w:val="auto"/>
                <w:sz w:val="24"/>
                <w:szCs w:val="24"/>
                <w:lang w:val="en-US" w:eastAsia="zh-CN"/>
              </w:rPr>
            </w:pPr>
          </w:p>
        </w:tc>
        <w:tc>
          <w:tcPr>
            <w:tcW w:w="1377" w:type="dxa"/>
            <w:tcBorders>
              <w:tl2br w:val="nil"/>
              <w:tr2bl w:val="nil"/>
            </w:tcBorders>
            <w:noWrap w:val="0"/>
            <w:vAlign w:val="center"/>
          </w:tcPr>
          <w:p w14:paraId="372DF379">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b w:val="0"/>
                <w:bCs/>
                <w:color w:val="auto"/>
                <w:sz w:val="24"/>
                <w:szCs w:val="24"/>
                <w:lang w:val="en-US" w:eastAsia="zh-CN"/>
              </w:rPr>
            </w:pPr>
            <w:r>
              <w:rPr>
                <w:rFonts w:hint="eastAsia" w:ascii="Times New Roman" w:hAnsi="Times New Roman"/>
                <w:b w:val="0"/>
                <w:bCs/>
                <w:color w:val="auto"/>
                <w:sz w:val="24"/>
                <w:szCs w:val="24"/>
                <w:lang w:val="en-US" w:eastAsia="zh-CN"/>
              </w:rPr>
              <w:t>NMHC</w:t>
            </w:r>
          </w:p>
        </w:tc>
        <w:tc>
          <w:tcPr>
            <w:tcW w:w="967" w:type="dxa"/>
            <w:vMerge w:val="continue"/>
            <w:tcBorders>
              <w:tl2br w:val="nil"/>
              <w:tr2bl w:val="nil"/>
            </w:tcBorders>
            <w:noWrap w:val="0"/>
            <w:vAlign w:val="center"/>
          </w:tcPr>
          <w:p w14:paraId="1DDFBF7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cs="Times New Roman"/>
                <w:b w:val="0"/>
                <w:bCs/>
                <w:color w:val="auto"/>
                <w:sz w:val="24"/>
                <w:szCs w:val="24"/>
                <w:lang w:val="en-US" w:eastAsia="zh-CN"/>
              </w:rPr>
            </w:pPr>
          </w:p>
        </w:tc>
        <w:tc>
          <w:tcPr>
            <w:tcW w:w="968" w:type="dxa"/>
            <w:vMerge w:val="continue"/>
            <w:tcBorders>
              <w:tl2br w:val="nil"/>
              <w:tr2bl w:val="nil"/>
            </w:tcBorders>
            <w:noWrap w:val="0"/>
            <w:vAlign w:val="center"/>
          </w:tcPr>
          <w:p w14:paraId="518B00F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cs="Times New Roman"/>
                <w:b w:val="0"/>
                <w:bCs/>
                <w:color w:val="auto"/>
                <w:sz w:val="24"/>
                <w:szCs w:val="24"/>
                <w:lang w:val="en-US" w:eastAsia="zh-CN"/>
              </w:rPr>
            </w:pPr>
          </w:p>
        </w:tc>
        <w:tc>
          <w:tcPr>
            <w:tcW w:w="2687" w:type="dxa"/>
            <w:vMerge w:val="restart"/>
            <w:tcBorders>
              <w:tl2br w:val="nil"/>
              <w:tr2bl w:val="nil"/>
            </w:tcBorders>
            <w:noWrap w:val="0"/>
            <w:vAlign w:val="center"/>
          </w:tcPr>
          <w:p w14:paraId="305CF0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eastAsia="宋体"/>
                <w:color w:val="auto"/>
                <w:sz w:val="24"/>
                <w:szCs w:val="24"/>
                <w:lang w:val="en-US" w:eastAsia="zh-CN"/>
              </w:rPr>
            </w:pPr>
            <w:r>
              <w:rPr>
                <w:color w:val="auto"/>
                <w:sz w:val="24"/>
                <w:szCs w:val="24"/>
              </w:rPr>
              <w:t>安徽省《固定源挥发性有机物综合排放标准 第6部分：其他行业》（DB34/4812.6—2024）表</w:t>
            </w:r>
            <w:r>
              <w:rPr>
                <w:rFonts w:hint="eastAsia"/>
                <w:color w:val="auto"/>
                <w:sz w:val="24"/>
                <w:szCs w:val="24"/>
                <w:lang w:val="en-US" w:eastAsia="zh-CN"/>
              </w:rPr>
              <w:t>1</w:t>
            </w:r>
            <w:r>
              <w:rPr>
                <w:color w:val="auto"/>
                <w:sz w:val="24"/>
                <w:szCs w:val="24"/>
              </w:rPr>
              <w:t>排放限值</w:t>
            </w:r>
            <w:r>
              <w:rPr>
                <w:rFonts w:hint="eastAsia"/>
                <w:color w:val="auto"/>
                <w:sz w:val="24"/>
                <w:szCs w:val="24"/>
                <w:lang w:eastAsia="zh-CN"/>
              </w:rPr>
              <w:t>。</w:t>
            </w:r>
          </w:p>
        </w:tc>
      </w:tr>
      <w:tr w14:paraId="205DF3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jc w:val="center"/>
        </w:trPr>
        <w:tc>
          <w:tcPr>
            <w:tcW w:w="1294" w:type="dxa"/>
            <w:vMerge w:val="continue"/>
            <w:tcBorders>
              <w:tl2br w:val="nil"/>
              <w:tr2bl w:val="nil"/>
            </w:tcBorders>
            <w:noWrap w:val="0"/>
            <w:vAlign w:val="center"/>
          </w:tcPr>
          <w:p w14:paraId="2051E796">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color w:val="auto"/>
                <w:sz w:val="24"/>
                <w:szCs w:val="24"/>
              </w:rPr>
            </w:pPr>
          </w:p>
        </w:tc>
        <w:tc>
          <w:tcPr>
            <w:tcW w:w="1060" w:type="dxa"/>
            <w:vMerge w:val="continue"/>
            <w:tcBorders>
              <w:tl2br w:val="nil"/>
              <w:tr2bl w:val="nil"/>
            </w:tcBorders>
            <w:noWrap w:val="0"/>
            <w:vAlign w:val="center"/>
          </w:tcPr>
          <w:p w14:paraId="120D750F">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color w:val="auto"/>
                <w:sz w:val="24"/>
                <w:szCs w:val="24"/>
              </w:rPr>
            </w:pPr>
          </w:p>
        </w:tc>
        <w:tc>
          <w:tcPr>
            <w:tcW w:w="1230" w:type="dxa"/>
            <w:tcBorders>
              <w:tl2br w:val="nil"/>
              <w:tr2bl w:val="nil"/>
            </w:tcBorders>
            <w:noWrap w:val="0"/>
            <w:vAlign w:val="center"/>
          </w:tcPr>
          <w:p w14:paraId="16FD67F0">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color w:val="auto"/>
                <w:sz w:val="24"/>
                <w:szCs w:val="24"/>
              </w:rPr>
            </w:pPr>
            <w:r>
              <w:rPr>
                <w:rFonts w:hint="eastAsia" w:cs="Times New Roman"/>
                <w:color w:val="auto"/>
                <w:sz w:val="24"/>
                <w:szCs w:val="24"/>
                <w:lang w:val="en-US" w:eastAsia="zh-CN"/>
              </w:rPr>
              <w:t>水性丙烯酸面漆晾干废气</w:t>
            </w:r>
          </w:p>
        </w:tc>
        <w:tc>
          <w:tcPr>
            <w:tcW w:w="1377" w:type="dxa"/>
            <w:tcBorders>
              <w:tl2br w:val="nil"/>
              <w:tr2bl w:val="nil"/>
            </w:tcBorders>
            <w:noWrap w:val="0"/>
            <w:vAlign w:val="center"/>
          </w:tcPr>
          <w:p w14:paraId="04E2FB0D">
            <w:pPr>
              <w:pStyle w:val="37"/>
              <w:keepNext w:val="0"/>
              <w:keepLines w:val="0"/>
              <w:pageBreakBefore w:val="0"/>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cs="Times New Roman"/>
                <w:b w:val="0"/>
                <w:bCs/>
                <w:color w:val="auto"/>
                <w:kern w:val="0"/>
                <w:sz w:val="24"/>
                <w:szCs w:val="24"/>
                <w:lang w:val="en-US" w:eastAsia="zh-CN" w:bidi="ar-SA"/>
              </w:rPr>
            </w:pPr>
            <w:r>
              <w:rPr>
                <w:rFonts w:hint="eastAsia" w:ascii="Times New Roman" w:hAnsi="Times New Roman"/>
                <w:b w:val="0"/>
                <w:bCs/>
                <w:color w:val="auto"/>
                <w:sz w:val="24"/>
                <w:szCs w:val="24"/>
                <w:lang w:val="en-US" w:eastAsia="zh-CN"/>
              </w:rPr>
              <w:t>NMHC</w:t>
            </w:r>
          </w:p>
        </w:tc>
        <w:tc>
          <w:tcPr>
            <w:tcW w:w="967" w:type="dxa"/>
            <w:tcBorders>
              <w:tl2br w:val="nil"/>
              <w:tr2bl w:val="nil"/>
            </w:tcBorders>
            <w:noWrap w:val="0"/>
            <w:vAlign w:val="center"/>
          </w:tcPr>
          <w:p w14:paraId="37F9418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cs="Times New Roman"/>
                <w:b w:val="0"/>
                <w:bCs/>
                <w:color w:val="auto"/>
                <w:kern w:val="0"/>
                <w:sz w:val="24"/>
                <w:szCs w:val="24"/>
                <w:lang w:val="en-US" w:eastAsia="zh-CN" w:bidi="ar-SA"/>
              </w:rPr>
            </w:pPr>
            <w:r>
              <w:rPr>
                <w:rFonts w:hint="eastAsia" w:cs="Times New Roman"/>
                <w:b w:val="0"/>
                <w:bCs/>
                <w:color w:val="auto"/>
                <w:sz w:val="24"/>
                <w:szCs w:val="24"/>
                <w:lang w:val="en-US" w:eastAsia="zh-CN"/>
              </w:rPr>
              <w:t>负压收集</w:t>
            </w:r>
          </w:p>
        </w:tc>
        <w:tc>
          <w:tcPr>
            <w:tcW w:w="968" w:type="dxa"/>
            <w:vMerge w:val="continue"/>
            <w:tcBorders>
              <w:tl2br w:val="nil"/>
              <w:tr2bl w:val="nil"/>
            </w:tcBorders>
            <w:noWrap w:val="0"/>
            <w:vAlign w:val="center"/>
          </w:tcPr>
          <w:p w14:paraId="331FC87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cs="Times New Roman"/>
                <w:b w:val="0"/>
                <w:bCs/>
                <w:color w:val="auto"/>
                <w:sz w:val="24"/>
                <w:szCs w:val="24"/>
                <w:lang w:val="en-US" w:eastAsia="zh-CN"/>
              </w:rPr>
            </w:pPr>
          </w:p>
        </w:tc>
        <w:tc>
          <w:tcPr>
            <w:tcW w:w="2687" w:type="dxa"/>
            <w:vMerge w:val="continue"/>
            <w:tcBorders>
              <w:tl2br w:val="nil"/>
              <w:tr2bl w:val="nil"/>
            </w:tcBorders>
            <w:noWrap w:val="0"/>
            <w:vAlign w:val="center"/>
          </w:tcPr>
          <w:p w14:paraId="001C24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eastAsia="宋体"/>
                <w:color w:val="auto"/>
                <w:sz w:val="24"/>
                <w:szCs w:val="24"/>
                <w:lang w:val="en-US" w:eastAsia="zh-CN"/>
              </w:rPr>
            </w:pPr>
          </w:p>
        </w:tc>
      </w:tr>
      <w:tr w14:paraId="52DCB5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8" w:hRule="atLeast"/>
          <w:jc w:val="center"/>
        </w:trPr>
        <w:tc>
          <w:tcPr>
            <w:tcW w:w="1294" w:type="dxa"/>
            <w:vMerge w:val="continue"/>
            <w:tcBorders>
              <w:tl2br w:val="nil"/>
              <w:tr2bl w:val="nil"/>
            </w:tcBorders>
            <w:noWrap w:val="0"/>
            <w:vAlign w:val="center"/>
          </w:tcPr>
          <w:p w14:paraId="1E0962F8">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color w:val="auto"/>
                <w:sz w:val="24"/>
                <w:szCs w:val="24"/>
              </w:rPr>
            </w:pPr>
          </w:p>
        </w:tc>
        <w:tc>
          <w:tcPr>
            <w:tcW w:w="2290" w:type="dxa"/>
            <w:gridSpan w:val="2"/>
            <w:tcBorders>
              <w:tl2br w:val="nil"/>
              <w:tr2bl w:val="nil"/>
            </w:tcBorders>
            <w:noWrap w:val="0"/>
            <w:vAlign w:val="center"/>
          </w:tcPr>
          <w:p w14:paraId="4F8CB938">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color w:val="auto"/>
                <w:sz w:val="24"/>
                <w:szCs w:val="24"/>
              </w:rPr>
            </w:pPr>
            <w:r>
              <w:rPr>
                <w:rFonts w:hint="eastAsia"/>
                <w:color w:val="auto"/>
                <w:sz w:val="24"/>
                <w:szCs w:val="24"/>
                <w:lang w:val="en-US" w:eastAsia="zh-CN"/>
              </w:rPr>
              <w:t>锯床切割</w:t>
            </w:r>
          </w:p>
        </w:tc>
        <w:tc>
          <w:tcPr>
            <w:tcW w:w="1377" w:type="dxa"/>
            <w:tcBorders>
              <w:tl2br w:val="nil"/>
              <w:tr2bl w:val="nil"/>
            </w:tcBorders>
            <w:noWrap w:val="0"/>
            <w:vAlign w:val="center"/>
          </w:tcPr>
          <w:p w14:paraId="370DB12A">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b w:val="0"/>
                <w:bCs/>
                <w:color w:val="auto"/>
                <w:sz w:val="24"/>
                <w:szCs w:val="24"/>
                <w:lang w:val="en-US" w:eastAsia="zh-CN"/>
              </w:rPr>
            </w:pPr>
            <w:r>
              <w:rPr>
                <w:rFonts w:hint="eastAsia" w:cs="Times New Roman"/>
                <w:b w:val="0"/>
                <w:bCs w:val="0"/>
                <w:color w:val="auto"/>
                <w:spacing w:val="0"/>
                <w:kern w:val="2"/>
                <w:sz w:val="24"/>
                <w:szCs w:val="24"/>
                <w:lang w:val="en-US" w:eastAsia="zh-CN" w:bidi="ar-SA"/>
              </w:rPr>
              <w:t>颗粒物</w:t>
            </w:r>
          </w:p>
        </w:tc>
        <w:tc>
          <w:tcPr>
            <w:tcW w:w="1935" w:type="dxa"/>
            <w:gridSpan w:val="2"/>
            <w:tcBorders>
              <w:tl2br w:val="nil"/>
              <w:tr2bl w:val="nil"/>
            </w:tcBorders>
            <w:noWrap w:val="0"/>
            <w:vAlign w:val="center"/>
          </w:tcPr>
          <w:p w14:paraId="14CB7B6D">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eastAsia" w:cs="Times New Roman"/>
                <w:b w:val="0"/>
                <w:bCs/>
                <w:color w:val="auto"/>
                <w:kern w:val="0"/>
                <w:sz w:val="24"/>
                <w:szCs w:val="24"/>
                <w:lang w:val="en-US" w:eastAsia="zh-CN" w:bidi="ar-SA"/>
              </w:rPr>
            </w:pPr>
            <w:r>
              <w:rPr>
                <w:rFonts w:hint="eastAsia" w:cs="Times New Roman"/>
                <w:b w:val="0"/>
                <w:bCs/>
                <w:color w:val="auto"/>
                <w:sz w:val="24"/>
                <w:szCs w:val="24"/>
                <w:lang w:val="en-US" w:eastAsia="zh-CN"/>
              </w:rPr>
              <w:t>移动式布袋除尘器</w:t>
            </w:r>
          </w:p>
        </w:tc>
        <w:tc>
          <w:tcPr>
            <w:tcW w:w="2687" w:type="dxa"/>
            <w:vMerge w:val="restart"/>
            <w:tcBorders>
              <w:tl2br w:val="nil"/>
              <w:tr2bl w:val="nil"/>
            </w:tcBorders>
            <w:noWrap w:val="0"/>
            <w:vAlign w:val="center"/>
          </w:tcPr>
          <w:p w14:paraId="71B15489">
            <w:pPr>
              <w:spacing w:line="240" w:lineRule="auto"/>
              <w:ind w:firstLine="0" w:firstLineChars="0"/>
              <w:jc w:val="both"/>
              <w:rPr>
                <w:color w:val="auto"/>
                <w:sz w:val="24"/>
                <w:szCs w:val="24"/>
              </w:rPr>
            </w:pPr>
            <w:r>
              <w:rPr>
                <w:rFonts w:hint="default" w:ascii="Times New Roman" w:hAnsi="Times New Roman" w:cs="Times New Roman"/>
                <w:color w:val="auto"/>
                <w:sz w:val="24"/>
                <w:szCs w:val="24"/>
              </w:rPr>
              <w:t>《大气污染物综合排放标准》（GB16297-1996）表2</w:t>
            </w:r>
            <w:r>
              <w:rPr>
                <w:rFonts w:hint="default" w:ascii="Times New Roman" w:hAnsi="Times New Roman" w:cs="Times New Roman"/>
                <w:color w:val="auto"/>
                <w:sz w:val="24"/>
                <w:szCs w:val="24"/>
                <w:lang w:val="en-US" w:eastAsia="zh-CN"/>
              </w:rPr>
              <w:t>排放限值</w:t>
            </w:r>
            <w:r>
              <w:rPr>
                <w:rFonts w:hint="eastAsia" w:cs="Times New Roman"/>
                <w:color w:val="auto"/>
                <w:sz w:val="24"/>
                <w:szCs w:val="24"/>
                <w:lang w:val="en-US" w:eastAsia="zh-CN"/>
              </w:rPr>
              <w:t>。</w:t>
            </w:r>
          </w:p>
        </w:tc>
      </w:tr>
      <w:tr w14:paraId="2F72BB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94" w:type="dxa"/>
            <w:vMerge w:val="continue"/>
            <w:tcBorders>
              <w:tl2br w:val="nil"/>
              <w:tr2bl w:val="nil"/>
            </w:tcBorders>
            <w:noWrap w:val="0"/>
            <w:vAlign w:val="center"/>
          </w:tcPr>
          <w:p w14:paraId="337BFC1C">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color w:val="auto"/>
                <w:sz w:val="24"/>
                <w:szCs w:val="24"/>
              </w:rPr>
            </w:pPr>
          </w:p>
        </w:tc>
        <w:tc>
          <w:tcPr>
            <w:tcW w:w="2290" w:type="dxa"/>
            <w:gridSpan w:val="2"/>
            <w:tcBorders>
              <w:tl2br w:val="nil"/>
              <w:tr2bl w:val="nil"/>
            </w:tcBorders>
            <w:noWrap w:val="0"/>
            <w:vAlign w:val="center"/>
          </w:tcPr>
          <w:p w14:paraId="15F499FB">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color w:val="auto"/>
                <w:sz w:val="24"/>
                <w:szCs w:val="24"/>
              </w:rPr>
            </w:pPr>
            <w:r>
              <w:rPr>
                <w:rFonts w:hint="eastAsia"/>
                <w:color w:val="auto"/>
                <w:sz w:val="24"/>
                <w:szCs w:val="24"/>
                <w:lang w:val="en-US" w:eastAsia="zh-CN"/>
              </w:rPr>
              <w:t>焊接</w:t>
            </w:r>
          </w:p>
        </w:tc>
        <w:tc>
          <w:tcPr>
            <w:tcW w:w="1377" w:type="dxa"/>
            <w:tcBorders>
              <w:tl2br w:val="nil"/>
              <w:tr2bl w:val="nil"/>
            </w:tcBorders>
            <w:noWrap w:val="0"/>
            <w:vAlign w:val="center"/>
          </w:tcPr>
          <w:p w14:paraId="68E556F9">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b w:val="0"/>
                <w:bCs/>
                <w:color w:val="auto"/>
                <w:sz w:val="24"/>
                <w:szCs w:val="24"/>
                <w:lang w:val="en-US" w:eastAsia="zh-CN"/>
              </w:rPr>
            </w:pPr>
            <w:r>
              <w:rPr>
                <w:rFonts w:hint="eastAsia" w:cs="Times New Roman"/>
                <w:b w:val="0"/>
                <w:bCs w:val="0"/>
                <w:color w:val="auto"/>
                <w:spacing w:val="0"/>
                <w:kern w:val="2"/>
                <w:sz w:val="24"/>
                <w:szCs w:val="24"/>
                <w:lang w:val="en-US" w:eastAsia="zh-CN" w:bidi="ar-SA"/>
              </w:rPr>
              <w:t>颗粒物</w:t>
            </w:r>
          </w:p>
        </w:tc>
        <w:tc>
          <w:tcPr>
            <w:tcW w:w="1935" w:type="dxa"/>
            <w:gridSpan w:val="2"/>
            <w:tcBorders>
              <w:tl2br w:val="nil"/>
              <w:tr2bl w:val="nil"/>
            </w:tcBorders>
            <w:noWrap w:val="0"/>
            <w:vAlign w:val="center"/>
          </w:tcPr>
          <w:p w14:paraId="1106B2DC">
            <w:pPr>
              <w:keepNext w:val="0"/>
              <w:keepLines w:val="0"/>
              <w:pageBreakBefore w:val="0"/>
              <w:widowControl w:val="0"/>
              <w:kinsoku/>
              <w:wordWrap/>
              <w:overflowPunct/>
              <w:topLinePunct w:val="0"/>
              <w:autoSpaceDE/>
              <w:autoSpaceDN/>
              <w:bidi w:val="0"/>
              <w:spacing w:line="240" w:lineRule="auto"/>
              <w:ind w:left="0" w:leftChars="0" w:right="0" w:rightChars="0" w:firstLine="0" w:firstLineChars="0"/>
              <w:jc w:val="center"/>
              <w:textAlignment w:val="auto"/>
              <w:rPr>
                <w:rFonts w:hint="eastAsia" w:cs="Times New Roman"/>
                <w:b w:val="0"/>
                <w:bCs/>
                <w:color w:val="auto"/>
                <w:kern w:val="0"/>
                <w:sz w:val="24"/>
                <w:szCs w:val="24"/>
                <w:lang w:val="en-US" w:eastAsia="zh-CN" w:bidi="ar-SA"/>
              </w:rPr>
            </w:pPr>
            <w:r>
              <w:rPr>
                <w:rFonts w:hint="eastAsia" w:cs="Times New Roman"/>
                <w:b w:val="0"/>
                <w:bCs/>
                <w:color w:val="auto"/>
                <w:sz w:val="24"/>
                <w:szCs w:val="24"/>
                <w:lang w:val="en-US" w:eastAsia="zh-CN"/>
              </w:rPr>
              <w:t>移动式烟尘净化器</w:t>
            </w:r>
          </w:p>
        </w:tc>
        <w:tc>
          <w:tcPr>
            <w:tcW w:w="2687" w:type="dxa"/>
            <w:vMerge w:val="continue"/>
            <w:tcBorders>
              <w:tl2br w:val="nil"/>
              <w:tr2bl w:val="nil"/>
            </w:tcBorders>
            <w:noWrap w:val="0"/>
            <w:vAlign w:val="center"/>
          </w:tcPr>
          <w:p w14:paraId="54D327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color w:val="auto"/>
                <w:sz w:val="24"/>
                <w:szCs w:val="24"/>
              </w:rPr>
            </w:pPr>
          </w:p>
        </w:tc>
      </w:tr>
      <w:tr w14:paraId="1C4910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294" w:type="dxa"/>
            <w:vMerge w:val="restart"/>
            <w:tcBorders>
              <w:tl2br w:val="nil"/>
              <w:tr2bl w:val="nil"/>
            </w:tcBorders>
            <w:noWrap w:val="0"/>
            <w:vAlign w:val="center"/>
          </w:tcPr>
          <w:p w14:paraId="4974B741">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地表水环境</w:t>
            </w:r>
          </w:p>
        </w:tc>
        <w:tc>
          <w:tcPr>
            <w:tcW w:w="1060" w:type="dxa"/>
            <w:vMerge w:val="restart"/>
            <w:tcBorders>
              <w:tl2br w:val="nil"/>
              <w:tr2bl w:val="nil"/>
            </w:tcBorders>
            <w:noWrap w:val="0"/>
            <w:vAlign w:val="center"/>
          </w:tcPr>
          <w:p w14:paraId="29E25F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DW001</w:t>
            </w:r>
          </w:p>
        </w:tc>
        <w:tc>
          <w:tcPr>
            <w:tcW w:w="1230" w:type="dxa"/>
            <w:tcBorders>
              <w:tl2br w:val="nil"/>
              <w:tr2bl w:val="nil"/>
            </w:tcBorders>
            <w:noWrap w:val="0"/>
            <w:vAlign w:val="center"/>
          </w:tcPr>
          <w:p w14:paraId="3F5152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auto"/>
                <w:sz w:val="24"/>
                <w:szCs w:val="24"/>
                <w:lang w:eastAsia="zh-CN"/>
              </w:rPr>
            </w:pPr>
            <w:r>
              <w:rPr>
                <w:rFonts w:hint="eastAsia"/>
                <w:color w:val="auto"/>
                <w:sz w:val="24"/>
                <w:szCs w:val="24"/>
                <w:lang w:eastAsia="zh-CN"/>
              </w:rPr>
              <w:t>生活污水</w:t>
            </w:r>
          </w:p>
        </w:tc>
        <w:tc>
          <w:tcPr>
            <w:tcW w:w="1377" w:type="dxa"/>
            <w:vMerge w:val="restart"/>
            <w:tcBorders>
              <w:tl2br w:val="nil"/>
              <w:tr2bl w:val="nil"/>
            </w:tcBorders>
            <w:noWrap w:val="0"/>
            <w:vAlign w:val="center"/>
          </w:tcPr>
          <w:p w14:paraId="15BCA496">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olor w:val="auto"/>
                <w:sz w:val="24"/>
                <w:szCs w:val="24"/>
              </w:rPr>
            </w:pPr>
            <w:r>
              <w:rPr>
                <w:rFonts w:hint="eastAsia"/>
                <w:color w:val="auto"/>
                <w:sz w:val="24"/>
                <w:szCs w:val="24"/>
              </w:rPr>
              <w:t>pH值、悬浮物、化学需氧量、五日生化需氧量、氨氮</w:t>
            </w:r>
          </w:p>
        </w:tc>
        <w:tc>
          <w:tcPr>
            <w:tcW w:w="1935" w:type="dxa"/>
            <w:gridSpan w:val="2"/>
            <w:tcBorders>
              <w:tl2br w:val="nil"/>
              <w:tr2bl w:val="nil"/>
            </w:tcBorders>
            <w:noWrap w:val="0"/>
            <w:vAlign w:val="center"/>
          </w:tcPr>
          <w:p w14:paraId="655C1215">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依托租赁厂房已建化粪池</w:t>
            </w:r>
          </w:p>
        </w:tc>
        <w:tc>
          <w:tcPr>
            <w:tcW w:w="2687" w:type="dxa"/>
            <w:vMerge w:val="restart"/>
            <w:tcBorders>
              <w:tl2br w:val="nil"/>
              <w:tr2bl w:val="nil"/>
            </w:tcBorders>
            <w:noWrap w:val="0"/>
            <w:vAlign w:val="center"/>
          </w:tcPr>
          <w:p w14:paraId="66B43E87">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both"/>
              <w:textAlignment w:val="auto"/>
              <w:rPr>
                <w:rFonts w:hint="eastAsia" w:ascii="Times New Roman" w:hAnsi="Times New Roman" w:eastAsia="宋体" w:cs="Times New Roman"/>
                <w:color w:val="auto"/>
                <w:sz w:val="24"/>
                <w:szCs w:val="24"/>
                <w:lang w:eastAsia="zh-CN"/>
              </w:rPr>
            </w:pPr>
            <w:r>
              <w:rPr>
                <w:rFonts w:hint="eastAsia" w:cs="Times New Roman"/>
                <w:color w:val="auto"/>
                <w:sz w:val="24"/>
                <w:szCs w:val="24"/>
                <w:lang w:val="en-US" w:eastAsia="zh-CN"/>
              </w:rPr>
              <w:t>青阳县污水处理厂</w:t>
            </w:r>
            <w:r>
              <w:rPr>
                <w:rFonts w:hint="eastAsia" w:cs="Times New Roman"/>
                <w:color w:val="auto"/>
                <w:sz w:val="24"/>
                <w:szCs w:val="24"/>
                <w:lang w:eastAsia="zh-CN"/>
              </w:rPr>
              <w:t>接管限值</w:t>
            </w:r>
            <w:r>
              <w:rPr>
                <w:rFonts w:hint="default" w:ascii="Times New Roman" w:hAnsi="Times New Roman" w:cs="Times New Roman"/>
                <w:color w:val="auto"/>
                <w:sz w:val="24"/>
                <w:szCs w:val="24"/>
              </w:rPr>
              <w:t>及《污水综合排放标准》（GB 8978-1996）三级标准</w:t>
            </w:r>
          </w:p>
        </w:tc>
      </w:tr>
      <w:tr w14:paraId="48B64F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94" w:type="dxa"/>
            <w:vMerge w:val="continue"/>
            <w:tcBorders>
              <w:tl2br w:val="nil"/>
              <w:tr2bl w:val="nil"/>
            </w:tcBorders>
            <w:noWrap w:val="0"/>
            <w:vAlign w:val="center"/>
          </w:tcPr>
          <w:p w14:paraId="27AF63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1060" w:type="dxa"/>
            <w:vMerge w:val="continue"/>
            <w:tcBorders>
              <w:tl2br w:val="nil"/>
              <w:tr2bl w:val="nil"/>
            </w:tcBorders>
            <w:noWrap w:val="0"/>
            <w:vAlign w:val="center"/>
          </w:tcPr>
          <w:p w14:paraId="0E75DA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1230" w:type="dxa"/>
            <w:tcBorders>
              <w:tl2br w:val="nil"/>
              <w:tr2bl w:val="nil"/>
            </w:tcBorders>
            <w:noWrap w:val="0"/>
            <w:vAlign w:val="center"/>
          </w:tcPr>
          <w:p w14:paraId="2B26DA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4"/>
                <w:szCs w:val="24"/>
                <w:lang w:eastAsia="zh-CN"/>
              </w:rPr>
            </w:pPr>
            <w:r>
              <w:rPr>
                <w:rFonts w:hint="eastAsia"/>
                <w:color w:val="auto"/>
                <w:sz w:val="24"/>
                <w:szCs w:val="24"/>
                <w:lang w:eastAsia="zh-CN"/>
              </w:rPr>
              <w:t>空压系统冷凝水</w:t>
            </w:r>
          </w:p>
        </w:tc>
        <w:tc>
          <w:tcPr>
            <w:tcW w:w="1377" w:type="dxa"/>
            <w:vMerge w:val="continue"/>
            <w:tcBorders>
              <w:tl2br w:val="nil"/>
              <w:tr2bl w:val="nil"/>
            </w:tcBorders>
            <w:noWrap w:val="0"/>
            <w:vAlign w:val="center"/>
          </w:tcPr>
          <w:p w14:paraId="79FE36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4"/>
                <w:szCs w:val="24"/>
                <w:lang w:eastAsia="zh-CN"/>
              </w:rPr>
            </w:pPr>
          </w:p>
        </w:tc>
        <w:tc>
          <w:tcPr>
            <w:tcW w:w="1935" w:type="dxa"/>
            <w:gridSpan w:val="2"/>
            <w:tcBorders>
              <w:tl2br w:val="nil"/>
              <w:tr2bl w:val="nil"/>
            </w:tcBorders>
            <w:noWrap w:val="0"/>
            <w:vAlign w:val="center"/>
          </w:tcPr>
          <w:p w14:paraId="5361D8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24"/>
                <w:szCs w:val="24"/>
                <w:lang w:val="en-US" w:eastAsia="zh-CN"/>
              </w:rPr>
            </w:pPr>
            <w:r>
              <w:rPr>
                <w:rFonts w:hint="eastAsia"/>
                <w:color w:val="auto"/>
                <w:sz w:val="24"/>
                <w:szCs w:val="24"/>
                <w:lang w:val="en-US" w:eastAsia="zh-CN"/>
              </w:rPr>
              <w:t>/</w:t>
            </w:r>
          </w:p>
        </w:tc>
        <w:tc>
          <w:tcPr>
            <w:tcW w:w="2687" w:type="dxa"/>
            <w:vMerge w:val="continue"/>
            <w:tcBorders>
              <w:tl2br w:val="nil"/>
              <w:tr2bl w:val="nil"/>
            </w:tcBorders>
            <w:noWrap w:val="0"/>
            <w:vAlign w:val="center"/>
          </w:tcPr>
          <w:p w14:paraId="5270BB1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4"/>
                <w:szCs w:val="24"/>
                <w:lang w:eastAsia="zh-CN"/>
              </w:rPr>
            </w:pPr>
          </w:p>
        </w:tc>
      </w:tr>
      <w:tr w14:paraId="123FD7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64" w:hRule="atLeast"/>
          <w:jc w:val="center"/>
        </w:trPr>
        <w:tc>
          <w:tcPr>
            <w:tcW w:w="1294" w:type="dxa"/>
            <w:tcBorders>
              <w:tl2br w:val="nil"/>
              <w:tr2bl w:val="nil"/>
            </w:tcBorders>
            <w:noWrap w:val="0"/>
            <w:vAlign w:val="center"/>
          </w:tcPr>
          <w:p w14:paraId="594F1985">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声环境</w:t>
            </w:r>
          </w:p>
        </w:tc>
        <w:tc>
          <w:tcPr>
            <w:tcW w:w="2290" w:type="dxa"/>
            <w:gridSpan w:val="2"/>
            <w:tcBorders>
              <w:tl2br w:val="nil"/>
              <w:tr2bl w:val="nil"/>
            </w:tcBorders>
            <w:noWrap w:val="0"/>
            <w:vAlign w:val="center"/>
          </w:tcPr>
          <w:p w14:paraId="6E465D7F">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各产噪设备</w:t>
            </w:r>
          </w:p>
        </w:tc>
        <w:tc>
          <w:tcPr>
            <w:tcW w:w="1377" w:type="dxa"/>
            <w:tcBorders>
              <w:tl2br w:val="nil"/>
              <w:tr2bl w:val="nil"/>
            </w:tcBorders>
            <w:noWrap w:val="0"/>
            <w:vAlign w:val="center"/>
          </w:tcPr>
          <w:p w14:paraId="1350D559">
            <w:pPr>
              <w:keepNext w:val="0"/>
              <w:keepLines w:val="0"/>
              <w:pageBreakBefore w:val="0"/>
              <w:widowControl w:val="0"/>
              <w:kinsoku/>
              <w:wordWrap/>
              <w:overflowPunct/>
              <w:topLinePunct w:val="0"/>
              <w:autoSpaceDE/>
              <w:autoSpaceDN/>
              <w:bidi w:val="0"/>
              <w:adjustRightInd w:val="0"/>
              <w:spacing w:line="240" w:lineRule="auto"/>
              <w:ind w:left="0" w:leftChars="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pacing w:val="0"/>
                <w:sz w:val="24"/>
                <w:szCs w:val="24"/>
              </w:rPr>
              <w:t>设备噪声</w:t>
            </w:r>
          </w:p>
        </w:tc>
        <w:tc>
          <w:tcPr>
            <w:tcW w:w="1935" w:type="dxa"/>
            <w:gridSpan w:val="2"/>
            <w:tcBorders>
              <w:tl2br w:val="nil"/>
              <w:tr2bl w:val="nil"/>
            </w:tcBorders>
            <w:noWrap w:val="0"/>
            <w:vAlign w:val="center"/>
          </w:tcPr>
          <w:p w14:paraId="7BF7E913">
            <w:pPr>
              <w:keepNext w:val="0"/>
              <w:keepLines w:val="0"/>
              <w:pageBreakBefore w:val="0"/>
              <w:widowControl w:val="0"/>
              <w:kinsoku/>
              <w:wordWrap/>
              <w:overflowPunct/>
              <w:topLinePunct w:val="0"/>
              <w:autoSpaceDE/>
              <w:autoSpaceDN/>
              <w:bidi w:val="0"/>
              <w:adjustRightInd w:val="0"/>
              <w:spacing w:line="240" w:lineRule="auto"/>
              <w:ind w:left="0" w:leftChars="0" w:firstLine="0" w:firstLineChars="0"/>
              <w:jc w:val="both"/>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bCs/>
                <w:color w:val="auto"/>
                <w:spacing w:val="0"/>
                <w:position w:val="0"/>
                <w:sz w:val="24"/>
                <w:szCs w:val="24"/>
              </w:rPr>
              <w:t>生产设备采取厂房隔声、安装隔声罩、</w:t>
            </w:r>
            <w:r>
              <w:rPr>
                <w:rFonts w:hint="eastAsia" w:cs="Times New Roman"/>
                <w:bCs/>
                <w:color w:val="auto"/>
                <w:spacing w:val="0"/>
                <w:position w:val="0"/>
                <w:sz w:val="24"/>
                <w:szCs w:val="24"/>
                <w:lang w:eastAsia="zh-CN"/>
              </w:rPr>
              <w:t>隔振</w:t>
            </w:r>
            <w:r>
              <w:rPr>
                <w:rFonts w:hint="default" w:ascii="Times New Roman" w:hAnsi="Times New Roman" w:eastAsia="宋体" w:cs="Times New Roman"/>
                <w:bCs/>
                <w:color w:val="auto"/>
                <w:spacing w:val="0"/>
                <w:position w:val="0"/>
                <w:sz w:val="24"/>
                <w:szCs w:val="24"/>
              </w:rPr>
              <w:t>、减震的措施</w:t>
            </w:r>
            <w:r>
              <w:rPr>
                <w:rFonts w:hint="eastAsia" w:cs="Times New Roman"/>
                <w:bCs/>
                <w:color w:val="auto"/>
                <w:spacing w:val="0"/>
                <w:position w:val="0"/>
                <w:sz w:val="24"/>
                <w:szCs w:val="24"/>
                <w:lang w:eastAsia="zh-CN"/>
              </w:rPr>
              <w:t>；</w:t>
            </w:r>
            <w:r>
              <w:rPr>
                <w:rFonts w:hint="default" w:ascii="Times New Roman" w:hAnsi="Times New Roman" w:eastAsia="宋体" w:cs="Times New Roman"/>
                <w:bCs/>
                <w:color w:val="auto"/>
                <w:spacing w:val="0"/>
                <w:position w:val="0"/>
                <w:sz w:val="24"/>
                <w:szCs w:val="24"/>
              </w:rPr>
              <w:t>对空压机采取减震和安装消声器的措施</w:t>
            </w:r>
            <w:r>
              <w:rPr>
                <w:rFonts w:hint="eastAsia" w:cs="Times New Roman"/>
                <w:bCs/>
                <w:color w:val="auto"/>
                <w:spacing w:val="0"/>
                <w:position w:val="0"/>
                <w:sz w:val="24"/>
                <w:szCs w:val="24"/>
                <w:lang w:eastAsia="zh-CN"/>
              </w:rPr>
              <w:t>；</w:t>
            </w:r>
            <w:r>
              <w:rPr>
                <w:rFonts w:hint="default" w:ascii="Times New Roman" w:hAnsi="Times New Roman" w:eastAsia="宋体" w:cs="Times New Roman"/>
                <w:bCs/>
                <w:color w:val="auto"/>
                <w:spacing w:val="0"/>
                <w:position w:val="0"/>
                <w:sz w:val="24"/>
                <w:szCs w:val="24"/>
              </w:rPr>
              <w:t>对风机安装消声器。</w:t>
            </w:r>
          </w:p>
        </w:tc>
        <w:tc>
          <w:tcPr>
            <w:tcW w:w="2687" w:type="dxa"/>
            <w:tcBorders>
              <w:tl2br w:val="nil"/>
              <w:tr2bl w:val="nil"/>
            </w:tcBorders>
            <w:noWrap w:val="0"/>
            <w:vAlign w:val="center"/>
          </w:tcPr>
          <w:p w14:paraId="14836F86">
            <w:pPr>
              <w:keepNext w:val="0"/>
              <w:keepLines w:val="0"/>
              <w:pageBreakBefore w:val="0"/>
              <w:widowControl w:val="0"/>
              <w:kinsoku/>
              <w:wordWrap/>
              <w:overflowPunct/>
              <w:topLinePunct w:val="0"/>
              <w:autoSpaceDE/>
              <w:autoSpaceDN/>
              <w:bidi w:val="0"/>
              <w:adjustRightInd w:val="0"/>
              <w:spacing w:line="240" w:lineRule="auto"/>
              <w:ind w:left="0" w:leftChars="0" w:firstLine="0" w:firstLineChars="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pacing w:val="0"/>
                <w:sz w:val="24"/>
                <w:szCs w:val="24"/>
              </w:rPr>
              <w:t>厂界噪声执行《工业企业厂界环境噪声排放标准》</w:t>
            </w:r>
            <w:r>
              <w:rPr>
                <w:rFonts w:hint="eastAsia" w:cs="Times New Roman"/>
                <w:color w:val="auto"/>
                <w:spacing w:val="0"/>
                <w:sz w:val="24"/>
                <w:szCs w:val="24"/>
                <w:lang w:eastAsia="zh-CN"/>
              </w:rPr>
              <w:t>（</w:t>
            </w:r>
            <w:r>
              <w:rPr>
                <w:rFonts w:hint="default" w:ascii="Times New Roman" w:hAnsi="Times New Roman" w:cs="Times New Roman"/>
                <w:color w:val="auto"/>
                <w:spacing w:val="0"/>
                <w:sz w:val="24"/>
                <w:szCs w:val="24"/>
              </w:rPr>
              <w:t>GB12348-2008</w:t>
            </w:r>
            <w:r>
              <w:rPr>
                <w:rFonts w:hint="eastAsia" w:ascii="Times New Roman" w:hAnsi="Times New Roman" w:cs="Times New Roman"/>
                <w:color w:val="auto"/>
                <w:spacing w:val="0"/>
                <w:sz w:val="24"/>
                <w:szCs w:val="24"/>
                <w:lang w:eastAsia="zh-CN"/>
              </w:rPr>
              <w:t>）</w:t>
            </w:r>
            <w:r>
              <w:rPr>
                <w:rFonts w:hint="default" w:ascii="Times New Roman" w:hAnsi="Times New Roman" w:cs="Times New Roman"/>
                <w:color w:val="auto"/>
                <w:spacing w:val="0"/>
                <w:sz w:val="24"/>
                <w:szCs w:val="24"/>
              </w:rPr>
              <w:t>中</w:t>
            </w:r>
            <w:r>
              <w:rPr>
                <w:rFonts w:hint="eastAsia" w:cs="Times New Roman"/>
                <w:color w:val="auto"/>
                <w:spacing w:val="0"/>
                <w:sz w:val="24"/>
                <w:szCs w:val="24"/>
                <w:lang w:val="en-US" w:eastAsia="zh-CN"/>
              </w:rPr>
              <w:t>3</w:t>
            </w:r>
            <w:r>
              <w:rPr>
                <w:rFonts w:hint="default" w:ascii="Times New Roman" w:hAnsi="Times New Roman" w:cs="Times New Roman"/>
                <w:color w:val="auto"/>
                <w:spacing w:val="0"/>
                <w:sz w:val="24"/>
                <w:szCs w:val="24"/>
              </w:rPr>
              <w:fldChar w:fldCharType="begin"/>
            </w:r>
            <w:r>
              <w:rPr>
                <w:rFonts w:hint="default" w:ascii="Times New Roman" w:hAnsi="Times New Roman" w:cs="Times New Roman"/>
                <w:color w:val="auto"/>
                <w:spacing w:val="0"/>
                <w:sz w:val="24"/>
                <w:szCs w:val="24"/>
              </w:rPr>
              <w:instrText xml:space="preserve"> = 3 \* ROMAN </w:instrText>
            </w:r>
            <w:r>
              <w:rPr>
                <w:rFonts w:hint="default" w:ascii="Times New Roman" w:hAnsi="Times New Roman" w:cs="Times New Roman"/>
                <w:color w:val="auto"/>
                <w:spacing w:val="0"/>
                <w:sz w:val="24"/>
                <w:szCs w:val="24"/>
              </w:rPr>
              <w:fldChar w:fldCharType="separate"/>
            </w:r>
            <w:r>
              <w:rPr>
                <w:rFonts w:hint="default" w:ascii="Times New Roman" w:hAnsi="Times New Roman" w:cs="Times New Roman"/>
                <w:color w:val="auto"/>
                <w:spacing w:val="0"/>
                <w:sz w:val="24"/>
                <w:szCs w:val="24"/>
              </w:rPr>
              <w:fldChar w:fldCharType="end"/>
            </w:r>
            <w:r>
              <w:rPr>
                <w:rFonts w:hint="eastAsia" w:ascii="Times New Roman" w:hAnsi="Times New Roman" w:cs="Times New Roman"/>
                <w:color w:val="auto"/>
                <w:spacing w:val="0"/>
                <w:sz w:val="24"/>
                <w:szCs w:val="24"/>
                <w:lang w:val="en-US" w:eastAsia="zh-CN"/>
              </w:rPr>
              <w:t>类</w:t>
            </w:r>
            <w:r>
              <w:rPr>
                <w:rFonts w:hint="default" w:ascii="Times New Roman" w:hAnsi="Times New Roman" w:cs="Times New Roman"/>
                <w:color w:val="auto"/>
                <w:spacing w:val="0"/>
                <w:sz w:val="24"/>
                <w:szCs w:val="24"/>
              </w:rPr>
              <w:t>标准。</w:t>
            </w:r>
          </w:p>
        </w:tc>
      </w:tr>
      <w:tr w14:paraId="720EBB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94" w:type="dxa"/>
            <w:tcBorders>
              <w:tl2br w:val="nil"/>
              <w:tr2bl w:val="nil"/>
            </w:tcBorders>
            <w:noWrap w:val="0"/>
            <w:vAlign w:val="center"/>
          </w:tcPr>
          <w:p w14:paraId="333B795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cs="Times New Roman"/>
                <w:b w:val="0"/>
                <w:bCs w:val="0"/>
                <w:color w:val="auto"/>
                <w:sz w:val="24"/>
                <w:szCs w:val="24"/>
              </w:rPr>
            </w:pPr>
            <w:r>
              <w:rPr>
                <w:b w:val="0"/>
                <w:bCs w:val="0"/>
                <w:color w:val="auto"/>
                <w:sz w:val="24"/>
                <w:szCs w:val="24"/>
              </w:rPr>
              <w:t>电磁辐射</w:t>
            </w:r>
          </w:p>
        </w:tc>
        <w:tc>
          <w:tcPr>
            <w:tcW w:w="2290" w:type="dxa"/>
            <w:gridSpan w:val="2"/>
            <w:tcBorders>
              <w:tl2br w:val="nil"/>
              <w:tr2bl w:val="nil"/>
            </w:tcBorders>
            <w:noWrap w:val="0"/>
            <w:vAlign w:val="center"/>
          </w:tcPr>
          <w:p w14:paraId="7D4D1D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z w:val="24"/>
                <w:szCs w:val="24"/>
                <w:lang w:val="en-US" w:eastAsia="zh-CN"/>
              </w:rPr>
            </w:pPr>
            <w:r>
              <w:rPr>
                <w:rFonts w:hint="eastAsia" w:cs="Times New Roman"/>
                <w:b w:val="0"/>
                <w:bCs w:val="0"/>
                <w:color w:val="auto"/>
                <w:sz w:val="24"/>
                <w:szCs w:val="24"/>
                <w:lang w:val="en-US" w:eastAsia="zh-CN"/>
              </w:rPr>
              <w:t>/</w:t>
            </w:r>
          </w:p>
        </w:tc>
        <w:tc>
          <w:tcPr>
            <w:tcW w:w="1377" w:type="dxa"/>
            <w:tcBorders>
              <w:tl2br w:val="nil"/>
              <w:tr2bl w:val="nil"/>
            </w:tcBorders>
            <w:noWrap w:val="0"/>
            <w:vAlign w:val="center"/>
          </w:tcPr>
          <w:p w14:paraId="18D448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b w:val="0"/>
                <w:bCs w:val="0"/>
                <w:color w:val="auto"/>
                <w:sz w:val="24"/>
                <w:szCs w:val="24"/>
                <w:lang w:val="en-US" w:eastAsia="zh-CN"/>
              </w:rPr>
            </w:pPr>
            <w:r>
              <w:rPr>
                <w:rFonts w:hint="eastAsia"/>
                <w:b w:val="0"/>
                <w:bCs w:val="0"/>
                <w:color w:val="auto"/>
                <w:sz w:val="24"/>
                <w:szCs w:val="24"/>
                <w:lang w:val="en-US" w:eastAsia="zh-CN"/>
              </w:rPr>
              <w:t>/</w:t>
            </w:r>
          </w:p>
        </w:tc>
        <w:tc>
          <w:tcPr>
            <w:tcW w:w="1935" w:type="dxa"/>
            <w:gridSpan w:val="2"/>
            <w:tcBorders>
              <w:tl2br w:val="nil"/>
              <w:tr2bl w:val="nil"/>
            </w:tcBorders>
            <w:noWrap w:val="0"/>
            <w:vAlign w:val="center"/>
          </w:tcPr>
          <w:p w14:paraId="0A10A1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b w:val="0"/>
                <w:bCs w:val="0"/>
                <w:color w:val="auto"/>
                <w:sz w:val="24"/>
                <w:szCs w:val="24"/>
                <w:lang w:val="en-US" w:eastAsia="zh-CN"/>
              </w:rPr>
            </w:pPr>
            <w:r>
              <w:rPr>
                <w:rFonts w:hint="eastAsia"/>
                <w:b w:val="0"/>
                <w:bCs w:val="0"/>
                <w:color w:val="auto"/>
                <w:sz w:val="24"/>
                <w:szCs w:val="24"/>
                <w:lang w:val="en-US" w:eastAsia="zh-CN"/>
              </w:rPr>
              <w:t>/</w:t>
            </w:r>
          </w:p>
        </w:tc>
        <w:tc>
          <w:tcPr>
            <w:tcW w:w="2687" w:type="dxa"/>
            <w:tcBorders>
              <w:tl2br w:val="nil"/>
              <w:tr2bl w:val="nil"/>
            </w:tcBorders>
            <w:noWrap w:val="0"/>
            <w:vAlign w:val="center"/>
          </w:tcPr>
          <w:p w14:paraId="161588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b w:val="0"/>
                <w:bCs w:val="0"/>
                <w:color w:val="auto"/>
                <w:sz w:val="24"/>
                <w:szCs w:val="24"/>
                <w:lang w:val="en-US" w:eastAsia="zh-CN"/>
              </w:rPr>
            </w:pPr>
            <w:r>
              <w:rPr>
                <w:rFonts w:hint="eastAsia"/>
                <w:b w:val="0"/>
                <w:bCs w:val="0"/>
                <w:color w:val="auto"/>
                <w:sz w:val="24"/>
                <w:szCs w:val="24"/>
                <w:lang w:val="en-US" w:eastAsia="zh-CN"/>
              </w:rPr>
              <w:t>/</w:t>
            </w:r>
          </w:p>
        </w:tc>
      </w:tr>
      <w:tr w14:paraId="2FE60A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94" w:type="dxa"/>
            <w:tcBorders>
              <w:tl2br w:val="nil"/>
              <w:tr2bl w:val="nil"/>
            </w:tcBorders>
            <w:noWrap w:val="0"/>
            <w:vAlign w:val="center"/>
          </w:tcPr>
          <w:p w14:paraId="27506A22">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固体废物</w:t>
            </w:r>
          </w:p>
        </w:tc>
        <w:tc>
          <w:tcPr>
            <w:tcW w:w="8289" w:type="dxa"/>
            <w:gridSpan w:val="6"/>
            <w:tcBorders>
              <w:tl2br w:val="nil"/>
              <w:tr2bl w:val="nil"/>
            </w:tcBorders>
            <w:noWrap w:val="0"/>
            <w:vAlign w:val="center"/>
          </w:tcPr>
          <w:p w14:paraId="1F98847C">
            <w:pPr>
              <w:bidi w:val="0"/>
              <w:rPr>
                <w:rFonts w:hint="default"/>
                <w:color w:val="auto"/>
                <w:lang w:val="en-US" w:eastAsia="zh-CN"/>
              </w:rPr>
            </w:pPr>
            <w:r>
              <w:rPr>
                <w:rFonts w:hint="default"/>
                <w:color w:val="auto"/>
                <w:lang w:val="en-US" w:eastAsia="zh-CN"/>
              </w:rPr>
              <w:t>（1）厂区一般固废主要包括废包材、沉降金属碎屑、金属边角料、过滤金属碎屑、焊渣、不合格品、布袋除尘器收集粉尘（激光切割、锯床切割）、废布袋、废气瓶</w:t>
            </w:r>
            <w:r>
              <w:rPr>
                <w:rFonts w:hint="eastAsia"/>
                <w:color w:val="auto"/>
                <w:lang w:val="en-US" w:eastAsia="zh-CN"/>
              </w:rPr>
              <w:t>，均</w:t>
            </w:r>
            <w:r>
              <w:rPr>
                <w:rFonts w:hint="default"/>
                <w:color w:val="auto"/>
                <w:lang w:val="en-US" w:eastAsia="zh-CN"/>
              </w:rPr>
              <w:t>收集后暂存于一般固废暂存间，外售综合利用</w:t>
            </w:r>
            <w:r>
              <w:rPr>
                <w:rFonts w:hint="eastAsia"/>
                <w:color w:val="auto"/>
                <w:lang w:val="en-US" w:eastAsia="zh-CN"/>
              </w:rPr>
              <w:t>或交由厂家回收；</w:t>
            </w:r>
          </w:p>
          <w:p w14:paraId="3888336A">
            <w:pPr>
              <w:bidi w:val="0"/>
              <w:rPr>
                <w:rFonts w:hint="default"/>
                <w:color w:val="auto"/>
                <w:lang w:val="en-US" w:eastAsia="zh-CN"/>
              </w:rPr>
            </w:pPr>
            <w:r>
              <w:rPr>
                <w:rFonts w:hint="default"/>
                <w:color w:val="auto"/>
                <w:lang w:val="en-US" w:eastAsia="zh-CN"/>
              </w:rPr>
              <w:t>（2）厂区危险固废主要为</w:t>
            </w:r>
            <w:r>
              <w:rPr>
                <w:rFonts w:hint="default" w:ascii="Times New Roman" w:hAnsi="Times New Roman" w:cs="Times New Roman"/>
                <w:color w:val="auto"/>
                <w:sz w:val="24"/>
                <w:szCs w:val="24"/>
                <w:lang w:val="en-US" w:eastAsia="zh-CN"/>
              </w:rPr>
              <w:t>机加工更换废液</w:t>
            </w:r>
            <w:r>
              <w:rPr>
                <w:rFonts w:hint="eastAsia" w:cs="Times New Roman"/>
                <w:color w:val="auto"/>
                <w:sz w:val="24"/>
                <w:szCs w:val="24"/>
                <w:lang w:val="en-US" w:eastAsia="zh-CN"/>
              </w:rPr>
              <w:t>，</w:t>
            </w:r>
            <w:r>
              <w:rPr>
                <w:rFonts w:hint="default" w:ascii="Times New Roman" w:hAnsi="Times New Roman" w:cs="Times New Roman"/>
                <w:b w:val="0"/>
                <w:bCs/>
                <w:color w:val="auto"/>
                <w:sz w:val="24"/>
                <w:szCs w:val="24"/>
                <w:lang w:val="en-US" w:eastAsia="zh-CN"/>
              </w:rPr>
              <w:t>废水性丙烯酸面漆</w:t>
            </w:r>
            <w:r>
              <w:rPr>
                <w:rFonts w:hint="eastAsia" w:cs="Times New Roman"/>
                <w:b w:val="0"/>
                <w:bCs/>
                <w:color w:val="auto"/>
                <w:sz w:val="24"/>
                <w:szCs w:val="24"/>
                <w:lang w:val="en-US" w:eastAsia="zh-CN"/>
              </w:rPr>
              <w:t>桶、</w:t>
            </w:r>
            <w:r>
              <w:rPr>
                <w:rFonts w:hint="default" w:ascii="Times New Roman" w:hAnsi="Times New Roman" w:cs="Times New Roman"/>
                <w:color w:val="auto"/>
                <w:sz w:val="24"/>
                <w:szCs w:val="24"/>
                <w:lang w:val="en-US" w:eastAsia="zh-CN"/>
              </w:rPr>
              <w:t>漆渣</w:t>
            </w:r>
            <w:r>
              <w:rPr>
                <w:rFonts w:hint="eastAsia" w:cs="Times New Roman"/>
                <w:color w:val="auto"/>
                <w:sz w:val="24"/>
                <w:szCs w:val="24"/>
                <w:lang w:val="en-US" w:eastAsia="zh-CN"/>
              </w:rPr>
              <w:t>、喷枪</w:t>
            </w:r>
            <w:r>
              <w:rPr>
                <w:rFonts w:hint="default" w:ascii="Times New Roman" w:hAnsi="Times New Roman" w:cs="Times New Roman"/>
                <w:color w:val="auto"/>
                <w:sz w:val="24"/>
                <w:szCs w:val="24"/>
                <w:lang w:val="en-US" w:eastAsia="zh-CN"/>
              </w:rPr>
              <w:t>清洗废液</w:t>
            </w:r>
            <w:r>
              <w:rPr>
                <w:rFonts w:hint="eastAsia" w:cs="Times New Roman"/>
                <w:color w:val="auto"/>
                <w:sz w:val="24"/>
                <w:szCs w:val="24"/>
                <w:lang w:val="en-US" w:eastAsia="zh-CN"/>
              </w:rPr>
              <w:t>，</w:t>
            </w:r>
            <w:r>
              <w:rPr>
                <w:rFonts w:hint="default" w:ascii="Times New Roman" w:hAnsi="Times New Roman" w:cs="Times New Roman"/>
                <w:b w:val="0"/>
                <w:bCs/>
                <w:color w:val="auto"/>
                <w:sz w:val="24"/>
                <w:szCs w:val="24"/>
                <w:lang w:val="en-US" w:eastAsia="zh-CN"/>
              </w:rPr>
              <w:t>废润滑油</w:t>
            </w:r>
            <w:r>
              <w:rPr>
                <w:rFonts w:hint="eastAsia" w:cs="Times New Roman"/>
                <w:b w:val="0"/>
                <w:bCs/>
                <w:color w:val="auto"/>
                <w:sz w:val="24"/>
                <w:szCs w:val="24"/>
                <w:lang w:val="en-US" w:eastAsia="zh-CN"/>
              </w:rPr>
              <w:t>和废润滑油桶，</w:t>
            </w:r>
            <w:r>
              <w:rPr>
                <w:rFonts w:hint="default" w:ascii="Times New Roman" w:hAnsi="Times New Roman" w:cs="Times New Roman"/>
                <w:b w:val="0"/>
                <w:bCs/>
                <w:color w:val="auto"/>
                <w:sz w:val="24"/>
                <w:szCs w:val="24"/>
                <w:lang w:val="en-US" w:eastAsia="zh-CN"/>
              </w:rPr>
              <w:t>含油抹布</w:t>
            </w:r>
            <w:r>
              <w:rPr>
                <w:rFonts w:hint="eastAsia" w:cs="Times New Roman"/>
                <w:b w:val="0"/>
                <w:bCs/>
                <w:color w:val="auto"/>
                <w:sz w:val="24"/>
                <w:szCs w:val="24"/>
                <w:lang w:val="en-US" w:eastAsia="zh-CN"/>
              </w:rPr>
              <w:t>、</w:t>
            </w:r>
            <w:r>
              <w:rPr>
                <w:rFonts w:hint="default" w:ascii="Times New Roman" w:hAnsi="Times New Roman" w:cs="Times New Roman"/>
                <w:b w:val="0"/>
                <w:bCs/>
                <w:color w:val="auto"/>
                <w:sz w:val="24"/>
                <w:szCs w:val="24"/>
                <w:lang w:val="en-US" w:eastAsia="zh-CN"/>
              </w:rPr>
              <w:t>手套</w:t>
            </w:r>
            <w:r>
              <w:rPr>
                <w:rFonts w:hint="eastAsia" w:cs="Times New Roman"/>
                <w:b w:val="0"/>
                <w:bCs/>
                <w:color w:val="auto"/>
                <w:sz w:val="24"/>
                <w:szCs w:val="24"/>
                <w:lang w:val="en-US" w:eastAsia="zh-CN"/>
              </w:rPr>
              <w:t>，</w:t>
            </w:r>
            <w:r>
              <w:rPr>
                <w:rFonts w:hint="default" w:ascii="Times New Roman" w:hAnsi="Times New Roman" w:cs="Times New Roman"/>
                <w:b w:val="0"/>
                <w:bCs/>
                <w:color w:val="auto"/>
                <w:sz w:val="24"/>
                <w:szCs w:val="24"/>
                <w:lang w:val="en-US" w:eastAsia="zh-CN"/>
              </w:rPr>
              <w:t>废</w:t>
            </w:r>
            <w:r>
              <w:rPr>
                <w:rFonts w:hint="eastAsia" w:cs="Times New Roman"/>
                <w:b w:val="0"/>
                <w:bCs/>
                <w:color w:val="auto"/>
                <w:sz w:val="24"/>
                <w:szCs w:val="24"/>
                <w:lang w:val="en-US" w:eastAsia="zh-CN"/>
              </w:rPr>
              <w:t>滤芯，</w:t>
            </w:r>
            <w:r>
              <w:rPr>
                <w:rFonts w:hint="default" w:ascii="Times New Roman" w:hAnsi="Times New Roman" w:cs="Times New Roman"/>
                <w:b w:val="0"/>
                <w:bCs/>
                <w:color w:val="auto"/>
                <w:sz w:val="24"/>
                <w:szCs w:val="24"/>
                <w:lang w:val="en-US" w:eastAsia="zh-CN"/>
              </w:rPr>
              <w:t>废活性炭</w:t>
            </w:r>
            <w:r>
              <w:rPr>
                <w:rFonts w:hint="default"/>
                <w:color w:val="auto"/>
                <w:lang w:val="en-US" w:eastAsia="zh-CN"/>
              </w:rPr>
              <w:t>，产生后暂存于危废暂存</w:t>
            </w:r>
            <w:r>
              <w:rPr>
                <w:rFonts w:hint="eastAsia"/>
                <w:color w:val="auto"/>
                <w:lang w:val="en-US" w:eastAsia="zh-CN"/>
              </w:rPr>
              <w:t>间</w:t>
            </w:r>
            <w:r>
              <w:rPr>
                <w:rFonts w:hint="default"/>
                <w:color w:val="auto"/>
                <w:lang w:val="en-US" w:eastAsia="zh-CN"/>
              </w:rPr>
              <w:t>，交由有资质单位处置；</w:t>
            </w:r>
          </w:p>
          <w:p w14:paraId="74222EC4">
            <w:pPr>
              <w:bidi w:val="0"/>
              <w:rPr>
                <w:rFonts w:hint="default" w:ascii="Times New Roman" w:hAnsi="Times New Roman" w:eastAsia="宋体" w:cs="Times New Roman"/>
                <w:color w:val="auto"/>
                <w:szCs w:val="24"/>
                <w:lang w:val="en-US" w:eastAsia="zh-CN"/>
              </w:rPr>
            </w:pPr>
            <w:r>
              <w:rPr>
                <w:rFonts w:hint="default"/>
                <w:color w:val="auto"/>
                <w:lang w:val="en-US" w:eastAsia="zh-CN"/>
              </w:rPr>
              <w:t>（3）厂区生活垃圾收集后统一交由环卫部门清运</w:t>
            </w:r>
            <w:r>
              <w:rPr>
                <w:rFonts w:hint="eastAsia"/>
                <w:color w:val="auto"/>
                <w:lang w:val="en-US" w:eastAsia="zh-CN"/>
              </w:rPr>
              <w:t>。</w:t>
            </w:r>
          </w:p>
        </w:tc>
      </w:tr>
      <w:tr w14:paraId="0316D9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94" w:type="dxa"/>
            <w:tcBorders>
              <w:tl2br w:val="nil"/>
              <w:tr2bl w:val="nil"/>
            </w:tcBorders>
            <w:noWrap w:val="0"/>
            <w:vAlign w:val="center"/>
          </w:tcPr>
          <w:p w14:paraId="335B33ED">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土壤及地下水污染防治措施</w:t>
            </w:r>
          </w:p>
        </w:tc>
        <w:tc>
          <w:tcPr>
            <w:tcW w:w="8289" w:type="dxa"/>
            <w:gridSpan w:val="6"/>
            <w:tcBorders>
              <w:tl2br w:val="nil"/>
              <w:tr2bl w:val="nil"/>
            </w:tcBorders>
            <w:noWrap w:val="0"/>
            <w:vAlign w:val="center"/>
          </w:tcPr>
          <w:p w14:paraId="5F60E1D8">
            <w:pPr>
              <w:bidi w:val="0"/>
              <w:rPr>
                <w:rFonts w:hint="default" w:ascii="Times New Roman" w:hAnsi="Times New Roman" w:cs="Times New Roman"/>
                <w:b w:val="0"/>
                <w:bCs/>
                <w:color w:val="auto"/>
                <w:szCs w:val="24"/>
              </w:rPr>
            </w:pPr>
            <w:r>
              <w:rPr>
                <w:rFonts w:hint="eastAsia"/>
                <w:color w:val="auto"/>
                <w:lang w:val="en-US" w:eastAsia="zh-CN"/>
              </w:rPr>
              <w:t>本项目针对危废暂存间、截流槽</w:t>
            </w:r>
            <w:r>
              <w:rPr>
                <w:rFonts w:hint="default"/>
                <w:color w:val="auto"/>
                <w:lang w:val="en-US" w:eastAsia="zh-CN"/>
              </w:rPr>
              <w:t>设置重点防渗</w:t>
            </w:r>
            <w:r>
              <w:rPr>
                <w:rFonts w:hint="eastAsia"/>
                <w:color w:val="auto"/>
                <w:lang w:val="en-US" w:eastAsia="zh-CN"/>
              </w:rPr>
              <w:t>，</w:t>
            </w:r>
            <w:r>
              <w:rPr>
                <w:rFonts w:hint="default"/>
                <w:color w:val="auto"/>
                <w:lang w:val="en-US" w:eastAsia="zh-CN"/>
              </w:rPr>
              <w:t>防渗措施为采取粘土铺底，再在上层铺设10-15cm的水泥进行硬化，并铺环氧树脂防渗，防渗系数达到等效黏土防渗层Mb≥6.0m，满足K≤10</w:t>
            </w:r>
            <w:r>
              <w:rPr>
                <w:rFonts w:hint="default"/>
                <w:color w:val="auto"/>
                <w:vertAlign w:val="superscript"/>
                <w:lang w:val="en-US" w:eastAsia="zh-CN"/>
              </w:rPr>
              <w:t>-7</w:t>
            </w:r>
            <w:r>
              <w:rPr>
                <w:rFonts w:hint="default"/>
                <w:color w:val="auto"/>
                <w:lang w:val="en-US" w:eastAsia="zh-CN"/>
              </w:rPr>
              <w:t>cm/s，或参照GB18598-2001执行</w:t>
            </w:r>
            <w:r>
              <w:rPr>
                <w:rFonts w:hint="eastAsia"/>
                <w:color w:val="auto"/>
                <w:lang w:val="en-US" w:eastAsia="zh-CN"/>
              </w:rPr>
              <w:t>。</w:t>
            </w:r>
          </w:p>
        </w:tc>
      </w:tr>
      <w:tr w14:paraId="5CB81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94" w:type="dxa"/>
            <w:tcBorders>
              <w:tl2br w:val="nil"/>
              <w:tr2bl w:val="nil"/>
            </w:tcBorders>
            <w:noWrap w:val="0"/>
            <w:vAlign w:val="center"/>
          </w:tcPr>
          <w:p w14:paraId="1267E6FA">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4"/>
                <w:szCs w:val="24"/>
              </w:rPr>
            </w:pPr>
            <w:r>
              <w:rPr>
                <w:rFonts w:hint="eastAsia" w:ascii="宋体" w:hAnsi="宋体" w:cs="宋体"/>
                <w:color w:val="auto"/>
                <w:sz w:val="24"/>
                <w:szCs w:val="24"/>
              </w:rPr>
              <w:t>生态保护措施</w:t>
            </w:r>
          </w:p>
        </w:tc>
        <w:tc>
          <w:tcPr>
            <w:tcW w:w="8289" w:type="dxa"/>
            <w:gridSpan w:val="6"/>
            <w:tcBorders>
              <w:tl2br w:val="nil"/>
              <w:tr2bl w:val="nil"/>
            </w:tcBorders>
            <w:noWrap w:val="0"/>
            <w:vAlign w:val="center"/>
          </w:tcPr>
          <w:p w14:paraId="207A117B">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w:t>
            </w:r>
          </w:p>
        </w:tc>
      </w:tr>
      <w:tr w14:paraId="15144D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3" w:hRule="atLeast"/>
          <w:jc w:val="center"/>
        </w:trPr>
        <w:tc>
          <w:tcPr>
            <w:tcW w:w="1294" w:type="dxa"/>
            <w:tcBorders>
              <w:tl2br w:val="nil"/>
              <w:tr2bl w:val="nil"/>
            </w:tcBorders>
            <w:noWrap w:val="0"/>
            <w:vAlign w:val="center"/>
          </w:tcPr>
          <w:p w14:paraId="1BB2F56F">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eastAsia" w:ascii="宋体" w:hAnsi="宋体" w:cs="宋体"/>
                <w:color w:val="auto"/>
                <w:spacing w:val="-8"/>
                <w:sz w:val="24"/>
                <w:szCs w:val="24"/>
              </w:rPr>
            </w:pPr>
            <w:r>
              <w:rPr>
                <w:rFonts w:hint="eastAsia" w:ascii="宋体" w:hAnsi="宋体" w:cs="宋体"/>
                <w:color w:val="auto"/>
                <w:spacing w:val="-8"/>
                <w:sz w:val="24"/>
                <w:szCs w:val="24"/>
              </w:rPr>
              <w:t>环境风险防范措施</w:t>
            </w:r>
          </w:p>
        </w:tc>
        <w:tc>
          <w:tcPr>
            <w:tcW w:w="8289" w:type="dxa"/>
            <w:gridSpan w:val="6"/>
            <w:tcBorders>
              <w:tl2br w:val="nil"/>
              <w:tr2bl w:val="nil"/>
            </w:tcBorders>
            <w:noWrap w:val="0"/>
            <w:vAlign w:val="center"/>
          </w:tcPr>
          <w:p w14:paraId="232742F0">
            <w:pPr>
              <w:bidi w:val="0"/>
              <w:rPr>
                <w:rFonts w:hint="eastAsia"/>
                <w:color w:val="auto"/>
              </w:rPr>
            </w:pPr>
            <w:r>
              <w:rPr>
                <w:rFonts w:hint="eastAsia"/>
                <w:color w:val="auto"/>
              </w:rPr>
              <w:t>（1）火灾风险防范措施：如车间配备灭火器材和消防装备、厂区制定巡查制度、加强火源管理；</w:t>
            </w:r>
          </w:p>
          <w:p w14:paraId="5AC88A26">
            <w:pPr>
              <w:bidi w:val="0"/>
              <w:rPr>
                <w:rFonts w:hint="eastAsia"/>
                <w:color w:val="auto"/>
              </w:rPr>
            </w:pPr>
            <w:r>
              <w:rPr>
                <w:rFonts w:hint="eastAsia"/>
                <w:color w:val="auto"/>
              </w:rPr>
              <w:t>（2）废气处理系统事故预防措施：如生产运行阶段，每月对设备全面</w:t>
            </w:r>
            <w:r>
              <w:rPr>
                <w:rFonts w:hint="eastAsia"/>
                <w:color w:val="auto"/>
                <w:lang w:eastAsia="zh-CN"/>
              </w:rPr>
              <w:t>检修</w:t>
            </w:r>
            <w:r>
              <w:rPr>
                <w:rFonts w:hint="eastAsia"/>
                <w:color w:val="auto"/>
              </w:rPr>
              <w:t>一次，查找事故存在隐患；</w:t>
            </w:r>
          </w:p>
          <w:p w14:paraId="285A45C7">
            <w:pPr>
              <w:bidi w:val="0"/>
              <w:rPr>
                <w:rFonts w:hint="eastAsia"/>
                <w:color w:val="auto"/>
              </w:rPr>
            </w:pPr>
            <w:r>
              <w:rPr>
                <w:rFonts w:hint="eastAsia"/>
                <w:color w:val="auto"/>
              </w:rPr>
              <w:t>（3）危废暂存环境风险防控措施：如危废暂存</w:t>
            </w:r>
            <w:r>
              <w:rPr>
                <w:rFonts w:hint="eastAsia"/>
                <w:color w:val="auto"/>
                <w:lang w:val="en-US" w:eastAsia="zh-CN"/>
              </w:rPr>
              <w:t>间</w:t>
            </w:r>
            <w:r>
              <w:rPr>
                <w:rFonts w:hint="eastAsia"/>
                <w:color w:val="auto"/>
              </w:rPr>
              <w:t>按《危险废物贮存污染控制标准》（GB18597-2023）要求规范化建设，并加强固废库的规范管理，制定危废管理台账等；</w:t>
            </w:r>
          </w:p>
          <w:p w14:paraId="44835C1D">
            <w:pPr>
              <w:bidi w:val="0"/>
              <w:rPr>
                <w:rFonts w:hint="eastAsia"/>
                <w:color w:val="auto"/>
                <w:lang w:eastAsia="zh-CN"/>
              </w:rPr>
            </w:pPr>
            <w:r>
              <w:rPr>
                <w:rFonts w:hint="eastAsia"/>
                <w:color w:val="auto"/>
              </w:rPr>
              <w:t>（4）防火措施：厂区配置一定数量的消防器材等</w:t>
            </w:r>
            <w:r>
              <w:rPr>
                <w:rFonts w:hint="eastAsia"/>
                <w:color w:val="auto"/>
                <w:lang w:eastAsia="zh-CN"/>
              </w:rPr>
              <w:t>；</w:t>
            </w:r>
          </w:p>
          <w:p w14:paraId="342288F6">
            <w:pPr>
              <w:bidi w:val="0"/>
              <w:rPr>
                <w:rFonts w:hint="eastAsia"/>
                <w:color w:val="auto"/>
              </w:rPr>
            </w:pPr>
            <w:r>
              <w:rPr>
                <w:rFonts w:hint="eastAsia"/>
                <w:color w:val="auto"/>
              </w:rPr>
              <w:t>（5）严格落实分区防渗措施；</w:t>
            </w:r>
          </w:p>
          <w:p w14:paraId="75EF48EA">
            <w:pPr>
              <w:bidi w:val="0"/>
              <w:ind w:firstLine="480" w:firstLineChars="200"/>
              <w:rPr>
                <w:rFonts w:hint="eastAsia" w:ascii="宋体" w:hAnsi="宋体" w:cs="宋体"/>
                <w:color w:val="auto"/>
                <w:szCs w:val="24"/>
              </w:rPr>
            </w:pPr>
            <w:r>
              <w:rPr>
                <w:rFonts w:hint="eastAsia"/>
                <w:color w:val="auto"/>
                <w:lang w:eastAsia="zh-CN"/>
              </w:rPr>
              <w:t>（</w:t>
            </w:r>
            <w:r>
              <w:rPr>
                <w:rFonts w:hint="eastAsia"/>
                <w:color w:val="auto"/>
                <w:lang w:val="en-US" w:eastAsia="zh-CN"/>
              </w:rPr>
              <w:t>6</w:t>
            </w:r>
            <w:r>
              <w:rPr>
                <w:rFonts w:hint="eastAsia"/>
                <w:color w:val="auto"/>
                <w:lang w:eastAsia="zh-CN"/>
              </w:rPr>
              <w:t>）</w:t>
            </w:r>
            <w:r>
              <w:rPr>
                <w:rFonts w:hint="eastAsia"/>
                <w:color w:val="auto"/>
              </w:rPr>
              <w:t>编制环境风险应急预案并备案。</w:t>
            </w:r>
          </w:p>
        </w:tc>
      </w:tr>
      <w:tr w14:paraId="43E73E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0" w:hRule="atLeast"/>
          <w:jc w:val="center"/>
        </w:trPr>
        <w:tc>
          <w:tcPr>
            <w:tcW w:w="1294" w:type="dxa"/>
            <w:tcBorders>
              <w:tl2br w:val="nil"/>
              <w:tr2bl w:val="nil"/>
            </w:tcBorders>
            <w:noWrap w:val="0"/>
            <w:vAlign w:val="center"/>
          </w:tcPr>
          <w:p w14:paraId="09117123">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eastAsia" w:ascii="宋体" w:hAnsi="宋体" w:cs="宋体"/>
                <w:color w:val="auto"/>
                <w:spacing w:val="-8"/>
                <w:sz w:val="24"/>
                <w:szCs w:val="24"/>
              </w:rPr>
            </w:pPr>
            <w:r>
              <w:rPr>
                <w:rFonts w:hint="eastAsia" w:ascii="宋体" w:hAnsi="宋体" w:cs="宋体"/>
                <w:color w:val="auto"/>
                <w:spacing w:val="-8"/>
                <w:sz w:val="24"/>
                <w:szCs w:val="24"/>
              </w:rPr>
              <w:t>其他环境管理要求</w:t>
            </w:r>
          </w:p>
        </w:tc>
        <w:tc>
          <w:tcPr>
            <w:tcW w:w="8289" w:type="dxa"/>
            <w:gridSpan w:val="6"/>
            <w:tcBorders>
              <w:tl2br w:val="nil"/>
              <w:tr2bl w:val="nil"/>
            </w:tcBorders>
            <w:noWrap w:val="0"/>
            <w:vAlign w:val="center"/>
          </w:tcPr>
          <w:p w14:paraId="1BED1EAB">
            <w:pPr>
              <w:bidi w:val="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建立环境管理台账记录制度，按照排污许可证规定的格式、内容和频次，如实记录主要生产设施、污染防治设施运行情况以及污染物排放浓度、排放量。环境管理台账记录保存期限不得少于5年。</w:t>
            </w:r>
          </w:p>
          <w:p w14:paraId="7DC250DF">
            <w:pPr>
              <w:bidi w:val="0"/>
              <w:rPr>
                <w:rFonts w:hint="eastAsia"/>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设置规范化的污染物排放口，并设置标识牌；</w:t>
            </w:r>
          </w:p>
          <w:p w14:paraId="5EA2E076">
            <w:pPr>
              <w:bidi w:val="0"/>
              <w:rPr>
                <w:rFonts w:hint="eastAsia"/>
                <w:color w:val="auto"/>
              </w:rPr>
            </w:pPr>
            <w:r>
              <w:rPr>
                <w:rFonts w:hint="eastAsia"/>
                <w:color w:val="auto"/>
                <w:lang w:eastAsia="zh-CN"/>
              </w:rPr>
              <w:t>（</w:t>
            </w:r>
            <w:r>
              <w:rPr>
                <w:rFonts w:hint="eastAsia"/>
                <w:color w:val="auto"/>
                <w:lang w:val="en-US" w:eastAsia="zh-CN"/>
              </w:rPr>
              <w:t>3</w:t>
            </w:r>
            <w:r>
              <w:rPr>
                <w:rFonts w:hint="eastAsia"/>
                <w:color w:val="auto"/>
                <w:lang w:eastAsia="zh-CN"/>
              </w:rPr>
              <w:t>）</w:t>
            </w:r>
            <w:r>
              <w:rPr>
                <w:rFonts w:hint="eastAsia"/>
                <w:color w:val="auto"/>
              </w:rPr>
              <w:t>根据《关于强化建设项目环评事中事后监管的实施意见》（环环评</w:t>
            </w:r>
            <w:r>
              <w:rPr>
                <w:rFonts w:hint="eastAsia"/>
                <w:color w:val="auto"/>
                <w:lang w:eastAsia="zh-CN"/>
              </w:rPr>
              <w:t>〔2018〕11号</w:t>
            </w:r>
            <w:r>
              <w:rPr>
                <w:rFonts w:hint="eastAsia"/>
                <w:color w:val="auto"/>
              </w:rPr>
              <w:t>）、《排污许可管理办法（试行）》（环保部令第48号）和《固定污染源排污许可分类管理名录（2019年版）》等，申领排污许可证。按照技术规范及排污许可证要求，开展环境管理台账记录；编制排污许可执行总结报告；定期开展自行监测；</w:t>
            </w:r>
          </w:p>
          <w:p w14:paraId="4847DF7E">
            <w:pPr>
              <w:bidi w:val="0"/>
              <w:rPr>
                <w:rFonts w:hint="eastAsia"/>
                <w:color w:val="auto"/>
                <w:lang w:eastAsia="zh-CN"/>
              </w:rPr>
            </w:pPr>
            <w:r>
              <w:rPr>
                <w:rFonts w:hint="eastAsia"/>
                <w:color w:val="auto"/>
                <w:lang w:eastAsia="zh-CN"/>
              </w:rPr>
              <w:t>（</w:t>
            </w:r>
            <w:r>
              <w:rPr>
                <w:rFonts w:hint="eastAsia"/>
                <w:color w:val="auto"/>
                <w:lang w:val="en-US" w:eastAsia="zh-CN"/>
              </w:rPr>
              <w:t>4</w:t>
            </w:r>
            <w:r>
              <w:rPr>
                <w:rFonts w:hint="eastAsia"/>
                <w:color w:val="auto"/>
                <w:lang w:eastAsia="zh-CN"/>
              </w:rPr>
              <w:t>）</w:t>
            </w:r>
            <w:r>
              <w:rPr>
                <w:rFonts w:hint="eastAsia"/>
                <w:color w:val="auto"/>
              </w:rPr>
              <w:t>项目建成后及时开展自主验收</w:t>
            </w:r>
            <w:r>
              <w:rPr>
                <w:rFonts w:hint="eastAsia"/>
                <w:color w:val="auto"/>
                <w:lang w:eastAsia="zh-CN"/>
              </w:rPr>
              <w:t>。</w:t>
            </w:r>
          </w:p>
        </w:tc>
      </w:tr>
    </w:tbl>
    <w:p w14:paraId="7E0B907C">
      <w:pPr>
        <w:pStyle w:val="4"/>
        <w:bidi w:val="0"/>
        <w:jc w:val="center"/>
        <w:rPr>
          <w:rFonts w:ascii="黑体" w:hAnsi="黑体" w:eastAsia="黑体"/>
          <w:snapToGrid w:val="0"/>
          <w:color w:val="auto"/>
          <w:sz w:val="30"/>
          <w:szCs w:val="30"/>
        </w:rPr>
      </w:pPr>
      <w:r>
        <w:rPr>
          <w:rFonts w:hint="eastAsia" w:ascii="黑体" w:hAnsi="黑体" w:eastAsia="黑体"/>
          <w:snapToGrid w:val="0"/>
          <w:color w:val="auto"/>
          <w:sz w:val="30"/>
          <w:szCs w:val="30"/>
        </w:rPr>
        <w:t>六、结论</w:t>
      </w:r>
    </w:p>
    <w:tbl>
      <w:tblPr>
        <w:tblStyle w:val="31"/>
        <w:tblW w:w="9627" w:type="dxa"/>
        <w:jc w:val="center"/>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fixed"/>
        <w:tblCellMar>
          <w:top w:w="0" w:type="dxa"/>
          <w:left w:w="108" w:type="dxa"/>
          <w:bottom w:w="0" w:type="dxa"/>
          <w:right w:w="108" w:type="dxa"/>
        </w:tblCellMar>
      </w:tblPr>
      <w:tblGrid>
        <w:gridCol w:w="9627"/>
      </w:tblGrid>
      <w:tr w14:paraId="5B9783E1">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2521" w:hRule="atLeast"/>
          <w:jc w:val="center"/>
        </w:trPr>
        <w:tc>
          <w:tcPr>
            <w:tcW w:w="9627" w:type="dxa"/>
            <w:tcBorders>
              <w:tl2br w:val="nil"/>
              <w:tr2bl w:val="nil"/>
            </w:tcBorders>
            <w:noWrap w:val="0"/>
            <w:vAlign w:val="center"/>
          </w:tcPr>
          <w:p w14:paraId="709E7A59">
            <w:pPr>
              <w:bidi w:val="0"/>
              <w:rPr>
                <w:rFonts w:hint="eastAsia"/>
                <w:color w:val="auto"/>
                <w:sz w:val="24"/>
                <w:szCs w:val="24"/>
                <w:lang w:eastAsia="zh-CN"/>
              </w:rPr>
            </w:pPr>
            <w:r>
              <w:rPr>
                <w:rFonts w:hint="eastAsia"/>
                <w:color w:val="auto"/>
                <w:sz w:val="24"/>
                <w:szCs w:val="24"/>
                <w:lang w:eastAsia="zh-CN"/>
              </w:rPr>
              <w:t>拟建项目的建设符合产业政策和规划选址要求；具有良好的经济效益、社会效益；在落实各项污染治理、风险防范和环境管理措施的基础上，污染物能实现达标排放；总量满足控制要求。</w:t>
            </w:r>
          </w:p>
          <w:p w14:paraId="44BFDBA5">
            <w:pPr>
              <w:bidi w:val="0"/>
              <w:rPr>
                <w:color w:val="auto"/>
              </w:rPr>
            </w:pPr>
            <w:r>
              <w:rPr>
                <w:rFonts w:hint="eastAsia"/>
                <w:color w:val="auto"/>
                <w:sz w:val="24"/>
                <w:szCs w:val="24"/>
                <w:lang w:eastAsia="zh-CN"/>
              </w:rPr>
              <w:t>综上所述，在确保各项污染治理设施正常运行的状态下，项目的建设不会引起区域环境质量的改变，从环境保护角度分析，拟建项目的建设是可行的。</w:t>
            </w:r>
          </w:p>
        </w:tc>
      </w:tr>
    </w:tbl>
    <w:p w14:paraId="0539359C">
      <w:pPr>
        <w:rPr>
          <w:rFonts w:ascii="宋体"/>
          <w:color w:val="auto"/>
        </w:rPr>
        <w:sectPr>
          <w:pgSz w:w="11905" w:h="16838"/>
          <w:pgMar w:top="1701" w:right="1531" w:bottom="1701" w:left="1531" w:header="1134" w:footer="1020" w:gutter="0"/>
          <w:pgBorders>
            <w:top w:val="none" w:sz="0" w:space="0"/>
            <w:left w:val="none" w:sz="0" w:space="0"/>
            <w:bottom w:val="none" w:sz="0" w:space="0"/>
            <w:right w:val="none" w:sz="0" w:space="0"/>
          </w:pgBorders>
          <w:pgNumType w:fmt="decimal"/>
          <w:cols w:space="720" w:num="1"/>
          <w:rtlGutter w:val="0"/>
          <w:docGrid w:linePitch="312" w:charSpace="0"/>
        </w:sectPr>
      </w:pPr>
    </w:p>
    <w:p w14:paraId="096820B4">
      <w:pPr>
        <w:pStyle w:val="7"/>
        <w:bidi w:val="0"/>
        <w:rPr>
          <w:color w:val="auto"/>
        </w:rPr>
      </w:pPr>
      <w:bookmarkStart w:id="12" w:name="_Toc27693"/>
      <w:r>
        <w:rPr>
          <w:rFonts w:hint="eastAsia"/>
          <w:color w:val="auto"/>
        </w:rPr>
        <w:t>附表</w:t>
      </w:r>
    </w:p>
    <w:p w14:paraId="4DDC77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rPr>
        <w:t>建设项目污染物排放量汇总表</w:t>
      </w:r>
    </w:p>
    <w:tbl>
      <w:tblPr>
        <w:tblStyle w:val="31"/>
        <w:tblW w:w="14616" w:type="dxa"/>
        <w:tblInd w:w="9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1520"/>
        <w:gridCol w:w="1056"/>
        <w:gridCol w:w="4"/>
        <w:gridCol w:w="1528"/>
        <w:gridCol w:w="1081"/>
        <w:gridCol w:w="1669"/>
        <w:gridCol w:w="1581"/>
        <w:gridCol w:w="1459"/>
        <w:gridCol w:w="2257"/>
        <w:gridCol w:w="1198"/>
      </w:tblGrid>
      <w:tr w14:paraId="4AAB2D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90" w:hRule="atLeast"/>
        </w:trPr>
        <w:tc>
          <w:tcPr>
            <w:tcW w:w="1263" w:type="dxa"/>
            <w:tcBorders>
              <w:tl2br w:val="single" w:color="auto" w:sz="4" w:space="0"/>
            </w:tcBorders>
            <w:noWrap w:val="0"/>
            <w:tcMar>
              <w:left w:w="28" w:type="dxa"/>
              <w:right w:w="28" w:type="dxa"/>
            </w:tcMar>
            <w:vAlign w:val="center"/>
          </w:tcPr>
          <w:p w14:paraId="61B4C44D">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 xml:space="preserve">      </w:t>
            </w:r>
            <w:r>
              <w:rPr>
                <w:rFonts w:hint="default" w:ascii="Times New Roman" w:hAnsi="Times New Roman" w:cs="Times New Roman"/>
                <w:b/>
                <w:bCs/>
                <w:color w:val="auto"/>
                <w:sz w:val="21"/>
                <w:szCs w:val="21"/>
              </w:rPr>
              <w:t>项目</w:t>
            </w:r>
          </w:p>
          <w:p w14:paraId="55F2AF22">
            <w:pPr>
              <w:pStyle w:val="11"/>
              <w:keepNext w:val="0"/>
              <w:keepLines w:val="0"/>
              <w:pageBreakBefore w:val="0"/>
              <w:widowControl/>
              <w:kinsoku/>
              <w:wordWrap/>
              <w:overflowPunct/>
              <w:topLinePunct w:val="0"/>
              <w:autoSpaceDE/>
              <w:autoSpaceDN/>
              <w:bidi w:val="0"/>
              <w:adjustRightInd w:val="0"/>
              <w:snapToGrid w:val="0"/>
              <w:spacing w:line="240" w:lineRule="auto"/>
              <w:ind w:right="0"/>
              <w:jc w:val="both"/>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分类</w:t>
            </w:r>
          </w:p>
        </w:tc>
        <w:tc>
          <w:tcPr>
            <w:tcW w:w="2580" w:type="dxa"/>
            <w:gridSpan w:val="3"/>
            <w:noWrap w:val="0"/>
            <w:tcMar>
              <w:left w:w="28" w:type="dxa"/>
              <w:right w:w="28" w:type="dxa"/>
            </w:tcMar>
            <w:vAlign w:val="center"/>
          </w:tcPr>
          <w:p w14:paraId="714D0B60">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污染物名称</w:t>
            </w:r>
          </w:p>
        </w:tc>
        <w:tc>
          <w:tcPr>
            <w:tcW w:w="1528" w:type="dxa"/>
            <w:noWrap w:val="0"/>
            <w:tcMar>
              <w:left w:w="28" w:type="dxa"/>
              <w:right w:w="28" w:type="dxa"/>
            </w:tcMar>
            <w:vAlign w:val="center"/>
          </w:tcPr>
          <w:p w14:paraId="30DD2771">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现有工程排放量（固体废物产生量）</w:t>
            </w:r>
            <w:r>
              <w:rPr>
                <w:rFonts w:hint="default" w:ascii="Times New Roman" w:hAnsi="Times New Roman" w:cs="Times New Roman"/>
                <w:b/>
                <w:bCs/>
                <w:color w:val="auto"/>
                <w:sz w:val="21"/>
                <w:szCs w:val="21"/>
              </w:rPr>
              <w:fldChar w:fldCharType="begin"/>
            </w:r>
            <w:r>
              <w:rPr>
                <w:rFonts w:hint="default" w:ascii="Times New Roman" w:hAnsi="Times New Roman" w:cs="Times New Roman"/>
                <w:b/>
                <w:bCs/>
                <w:color w:val="auto"/>
                <w:sz w:val="21"/>
                <w:szCs w:val="21"/>
              </w:rPr>
              <w:instrText xml:space="preserve"> = 1 \* GB3 \* MERGEFORMAT </w:instrText>
            </w:r>
            <w:r>
              <w:rPr>
                <w:rFonts w:hint="default" w:ascii="Times New Roman" w:hAnsi="Times New Roman" w:cs="Times New Roman"/>
                <w:b/>
                <w:bCs/>
                <w:color w:val="auto"/>
                <w:sz w:val="21"/>
                <w:szCs w:val="21"/>
              </w:rPr>
              <w:fldChar w:fldCharType="separate"/>
            </w:r>
            <w:r>
              <w:rPr>
                <w:rFonts w:hint="default" w:ascii="Times New Roman" w:hAnsi="Times New Roman" w:cs="Times New Roman"/>
                <w:b/>
                <w:bCs/>
                <w:color w:val="auto"/>
                <w:sz w:val="21"/>
                <w:szCs w:val="21"/>
              </w:rPr>
              <w:t>①</w:t>
            </w:r>
            <w:r>
              <w:rPr>
                <w:rFonts w:hint="default" w:ascii="Times New Roman" w:hAnsi="Times New Roman" w:cs="Times New Roman"/>
                <w:b/>
                <w:bCs/>
                <w:color w:val="auto"/>
                <w:sz w:val="21"/>
                <w:szCs w:val="21"/>
              </w:rPr>
              <w:fldChar w:fldCharType="end"/>
            </w:r>
          </w:p>
        </w:tc>
        <w:tc>
          <w:tcPr>
            <w:tcW w:w="1081" w:type="dxa"/>
            <w:noWrap w:val="0"/>
            <w:tcMar>
              <w:left w:w="28" w:type="dxa"/>
              <w:right w:w="28" w:type="dxa"/>
            </w:tcMar>
            <w:vAlign w:val="center"/>
          </w:tcPr>
          <w:p w14:paraId="40C8E7FA">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现有工程许可排放量</w:t>
            </w:r>
            <w:r>
              <w:rPr>
                <w:rFonts w:hint="default" w:ascii="Times New Roman" w:hAnsi="Times New Roman" w:cs="Times New Roman"/>
                <w:b/>
                <w:bCs/>
                <w:color w:val="auto"/>
                <w:sz w:val="21"/>
                <w:szCs w:val="21"/>
              </w:rPr>
              <w:fldChar w:fldCharType="begin"/>
            </w:r>
            <w:r>
              <w:rPr>
                <w:rFonts w:hint="default" w:ascii="Times New Roman" w:hAnsi="Times New Roman" w:cs="Times New Roman"/>
                <w:b/>
                <w:bCs/>
                <w:color w:val="auto"/>
                <w:sz w:val="21"/>
                <w:szCs w:val="21"/>
              </w:rPr>
              <w:instrText xml:space="preserve"> = 2 \* GB3 \* MERGEFORMAT </w:instrText>
            </w:r>
            <w:r>
              <w:rPr>
                <w:rFonts w:hint="default" w:ascii="Times New Roman" w:hAnsi="Times New Roman" w:cs="Times New Roman"/>
                <w:b/>
                <w:bCs/>
                <w:color w:val="auto"/>
                <w:sz w:val="21"/>
                <w:szCs w:val="21"/>
              </w:rPr>
              <w:fldChar w:fldCharType="separate"/>
            </w:r>
            <w:r>
              <w:rPr>
                <w:rFonts w:hint="default" w:ascii="Times New Roman" w:hAnsi="Times New Roman" w:cs="Times New Roman"/>
                <w:b/>
                <w:bCs/>
                <w:color w:val="auto"/>
                <w:sz w:val="21"/>
                <w:szCs w:val="21"/>
              </w:rPr>
              <w:t>②</w:t>
            </w:r>
            <w:r>
              <w:rPr>
                <w:rFonts w:hint="default" w:ascii="Times New Roman" w:hAnsi="Times New Roman" w:cs="Times New Roman"/>
                <w:b/>
                <w:bCs/>
                <w:color w:val="auto"/>
                <w:sz w:val="21"/>
                <w:szCs w:val="21"/>
              </w:rPr>
              <w:fldChar w:fldCharType="end"/>
            </w:r>
          </w:p>
        </w:tc>
        <w:tc>
          <w:tcPr>
            <w:tcW w:w="1669" w:type="dxa"/>
            <w:noWrap w:val="0"/>
            <w:tcMar>
              <w:left w:w="28" w:type="dxa"/>
              <w:right w:w="28" w:type="dxa"/>
            </w:tcMar>
            <w:vAlign w:val="center"/>
          </w:tcPr>
          <w:p w14:paraId="6FED2C74">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在建工程</w:t>
            </w:r>
          </w:p>
          <w:p w14:paraId="641CB7CB">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排放量（固体废物产生量）</w:t>
            </w:r>
            <w:r>
              <w:rPr>
                <w:rFonts w:hint="default" w:ascii="Times New Roman" w:hAnsi="Times New Roman" w:cs="Times New Roman"/>
                <w:b/>
                <w:bCs/>
                <w:color w:val="auto"/>
                <w:sz w:val="21"/>
                <w:szCs w:val="21"/>
              </w:rPr>
              <w:fldChar w:fldCharType="begin"/>
            </w:r>
            <w:r>
              <w:rPr>
                <w:rFonts w:hint="default" w:ascii="Times New Roman" w:hAnsi="Times New Roman" w:cs="Times New Roman"/>
                <w:b/>
                <w:bCs/>
                <w:color w:val="auto"/>
                <w:sz w:val="21"/>
                <w:szCs w:val="21"/>
              </w:rPr>
              <w:instrText xml:space="preserve"> = 3 \* GB3 \* MERGEFORMAT </w:instrText>
            </w:r>
            <w:r>
              <w:rPr>
                <w:rFonts w:hint="default" w:ascii="Times New Roman" w:hAnsi="Times New Roman" w:cs="Times New Roman"/>
                <w:b/>
                <w:bCs/>
                <w:color w:val="auto"/>
                <w:sz w:val="21"/>
                <w:szCs w:val="21"/>
              </w:rPr>
              <w:fldChar w:fldCharType="separate"/>
            </w:r>
            <w:r>
              <w:rPr>
                <w:rFonts w:hint="default" w:ascii="Times New Roman" w:hAnsi="Times New Roman" w:cs="Times New Roman"/>
                <w:b/>
                <w:bCs/>
                <w:color w:val="auto"/>
                <w:sz w:val="21"/>
                <w:szCs w:val="21"/>
              </w:rPr>
              <w:t>③</w:t>
            </w:r>
            <w:r>
              <w:rPr>
                <w:rFonts w:hint="default" w:ascii="Times New Roman" w:hAnsi="Times New Roman" w:cs="Times New Roman"/>
                <w:b/>
                <w:bCs/>
                <w:color w:val="auto"/>
                <w:sz w:val="21"/>
                <w:szCs w:val="21"/>
              </w:rPr>
              <w:fldChar w:fldCharType="end"/>
            </w:r>
          </w:p>
        </w:tc>
        <w:tc>
          <w:tcPr>
            <w:tcW w:w="1581" w:type="dxa"/>
            <w:noWrap w:val="0"/>
            <w:tcMar>
              <w:left w:w="28" w:type="dxa"/>
              <w:right w:w="28" w:type="dxa"/>
            </w:tcMar>
            <w:vAlign w:val="center"/>
          </w:tcPr>
          <w:p w14:paraId="1D4BCBD0">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b/>
                <w:bCs/>
                <w:color w:val="auto"/>
                <w:sz w:val="21"/>
                <w:szCs w:val="21"/>
              </w:rPr>
            </w:pPr>
            <w:r>
              <w:rPr>
                <w:rFonts w:hint="eastAsia" w:cs="Times New Roman"/>
                <w:b/>
                <w:bCs/>
                <w:color w:val="auto"/>
                <w:sz w:val="21"/>
                <w:szCs w:val="21"/>
                <w:lang w:eastAsia="zh-CN"/>
              </w:rPr>
              <w:t>本项目</w:t>
            </w:r>
            <w:r>
              <w:rPr>
                <w:rFonts w:hint="default" w:ascii="Times New Roman" w:hAnsi="Times New Roman" w:cs="Times New Roman"/>
                <w:b/>
                <w:bCs/>
                <w:color w:val="auto"/>
                <w:sz w:val="21"/>
                <w:szCs w:val="21"/>
              </w:rPr>
              <w:t>排放量（固体废物产生量）</w:t>
            </w:r>
            <w:r>
              <w:rPr>
                <w:rFonts w:hint="default" w:ascii="Times New Roman" w:hAnsi="Times New Roman" w:cs="Times New Roman"/>
                <w:b/>
                <w:bCs/>
                <w:color w:val="auto"/>
                <w:sz w:val="21"/>
                <w:szCs w:val="21"/>
              </w:rPr>
              <w:fldChar w:fldCharType="begin"/>
            </w:r>
            <w:r>
              <w:rPr>
                <w:rFonts w:hint="default" w:ascii="Times New Roman" w:hAnsi="Times New Roman" w:cs="Times New Roman"/>
                <w:b/>
                <w:bCs/>
                <w:color w:val="auto"/>
                <w:sz w:val="21"/>
                <w:szCs w:val="21"/>
              </w:rPr>
              <w:instrText xml:space="preserve"> = 4 \* GB3 \* MERGEFORMAT </w:instrText>
            </w:r>
            <w:r>
              <w:rPr>
                <w:rFonts w:hint="default" w:ascii="Times New Roman" w:hAnsi="Times New Roman" w:cs="Times New Roman"/>
                <w:b/>
                <w:bCs/>
                <w:color w:val="auto"/>
                <w:sz w:val="21"/>
                <w:szCs w:val="21"/>
              </w:rPr>
              <w:fldChar w:fldCharType="separate"/>
            </w:r>
            <w:r>
              <w:rPr>
                <w:rFonts w:hint="default" w:ascii="Times New Roman" w:hAnsi="Times New Roman" w:cs="Times New Roman"/>
                <w:b/>
                <w:bCs/>
                <w:color w:val="auto"/>
                <w:sz w:val="21"/>
                <w:szCs w:val="21"/>
              </w:rPr>
              <w:t>④</w:t>
            </w:r>
            <w:r>
              <w:rPr>
                <w:rFonts w:hint="default" w:ascii="Times New Roman" w:hAnsi="Times New Roman" w:cs="Times New Roman"/>
                <w:b/>
                <w:bCs/>
                <w:color w:val="auto"/>
                <w:sz w:val="21"/>
                <w:szCs w:val="21"/>
              </w:rPr>
              <w:fldChar w:fldCharType="end"/>
            </w:r>
          </w:p>
        </w:tc>
        <w:tc>
          <w:tcPr>
            <w:tcW w:w="1459" w:type="dxa"/>
            <w:noWrap w:val="0"/>
            <w:tcMar>
              <w:left w:w="28" w:type="dxa"/>
              <w:right w:w="28" w:type="dxa"/>
            </w:tcMar>
            <w:vAlign w:val="center"/>
          </w:tcPr>
          <w:p w14:paraId="19FB8EC3">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以新带老削减量（新建项目不填）</w:t>
            </w:r>
            <w:r>
              <w:rPr>
                <w:rFonts w:hint="default" w:ascii="Times New Roman" w:hAnsi="Times New Roman" w:cs="Times New Roman"/>
                <w:b/>
                <w:bCs/>
                <w:color w:val="auto"/>
                <w:sz w:val="21"/>
                <w:szCs w:val="21"/>
              </w:rPr>
              <w:fldChar w:fldCharType="begin"/>
            </w:r>
            <w:r>
              <w:rPr>
                <w:rFonts w:hint="default" w:ascii="Times New Roman" w:hAnsi="Times New Roman" w:cs="Times New Roman"/>
                <w:b/>
                <w:bCs/>
                <w:color w:val="auto"/>
                <w:sz w:val="21"/>
                <w:szCs w:val="21"/>
              </w:rPr>
              <w:instrText xml:space="preserve"> = 5 \* GB3 \* MERGEFORMAT </w:instrText>
            </w:r>
            <w:r>
              <w:rPr>
                <w:rFonts w:hint="default" w:ascii="Times New Roman" w:hAnsi="Times New Roman" w:cs="Times New Roman"/>
                <w:b/>
                <w:bCs/>
                <w:color w:val="auto"/>
                <w:sz w:val="21"/>
                <w:szCs w:val="21"/>
              </w:rPr>
              <w:fldChar w:fldCharType="separate"/>
            </w:r>
            <w:r>
              <w:rPr>
                <w:rFonts w:hint="default" w:ascii="Times New Roman" w:hAnsi="Times New Roman" w:cs="Times New Roman"/>
                <w:b/>
                <w:bCs/>
                <w:color w:val="auto"/>
                <w:sz w:val="21"/>
                <w:szCs w:val="21"/>
              </w:rPr>
              <w:t>⑤</w:t>
            </w:r>
            <w:r>
              <w:rPr>
                <w:rFonts w:hint="default" w:ascii="Times New Roman" w:hAnsi="Times New Roman" w:cs="Times New Roman"/>
                <w:b/>
                <w:bCs/>
                <w:color w:val="auto"/>
                <w:sz w:val="21"/>
                <w:szCs w:val="21"/>
              </w:rPr>
              <w:fldChar w:fldCharType="end"/>
            </w:r>
          </w:p>
        </w:tc>
        <w:tc>
          <w:tcPr>
            <w:tcW w:w="2257" w:type="dxa"/>
            <w:noWrap w:val="0"/>
            <w:tcMar>
              <w:left w:w="28" w:type="dxa"/>
              <w:right w:w="28" w:type="dxa"/>
            </w:tcMar>
            <w:vAlign w:val="center"/>
          </w:tcPr>
          <w:p w14:paraId="5908432C">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b/>
                <w:bCs/>
                <w:color w:val="auto"/>
                <w:sz w:val="21"/>
                <w:szCs w:val="21"/>
              </w:rPr>
            </w:pPr>
            <w:r>
              <w:rPr>
                <w:rFonts w:hint="eastAsia" w:cs="Times New Roman"/>
                <w:b/>
                <w:bCs/>
                <w:color w:val="auto"/>
                <w:sz w:val="21"/>
                <w:szCs w:val="21"/>
                <w:lang w:eastAsia="zh-CN"/>
              </w:rPr>
              <w:t>本项目</w:t>
            </w:r>
            <w:r>
              <w:rPr>
                <w:rFonts w:hint="default" w:ascii="Times New Roman" w:hAnsi="Times New Roman" w:cs="Times New Roman"/>
                <w:b/>
                <w:bCs/>
                <w:color w:val="auto"/>
                <w:sz w:val="21"/>
                <w:szCs w:val="21"/>
              </w:rPr>
              <w:t>建成后全厂排放量（固体废物产生量）</w:t>
            </w:r>
            <w:r>
              <w:rPr>
                <w:rFonts w:hint="default" w:ascii="Times New Roman" w:hAnsi="Times New Roman" w:cs="Times New Roman"/>
                <w:b/>
                <w:bCs/>
                <w:color w:val="auto"/>
                <w:sz w:val="21"/>
                <w:szCs w:val="21"/>
              </w:rPr>
              <w:fldChar w:fldCharType="begin"/>
            </w:r>
            <w:r>
              <w:rPr>
                <w:rFonts w:hint="default" w:ascii="Times New Roman" w:hAnsi="Times New Roman" w:cs="Times New Roman"/>
                <w:b/>
                <w:bCs/>
                <w:color w:val="auto"/>
                <w:sz w:val="21"/>
                <w:szCs w:val="21"/>
              </w:rPr>
              <w:instrText xml:space="preserve"> = 6 \* GB3 \* MERGEFORMAT </w:instrText>
            </w:r>
            <w:r>
              <w:rPr>
                <w:rFonts w:hint="default" w:ascii="Times New Roman" w:hAnsi="Times New Roman" w:cs="Times New Roman"/>
                <w:b/>
                <w:bCs/>
                <w:color w:val="auto"/>
                <w:sz w:val="21"/>
                <w:szCs w:val="21"/>
              </w:rPr>
              <w:fldChar w:fldCharType="separate"/>
            </w:r>
            <w:r>
              <w:rPr>
                <w:rFonts w:hint="default" w:ascii="Times New Roman" w:hAnsi="Times New Roman" w:cs="Times New Roman"/>
                <w:b/>
                <w:bCs/>
                <w:color w:val="auto"/>
                <w:sz w:val="21"/>
                <w:szCs w:val="21"/>
              </w:rPr>
              <w:t>⑥</w:t>
            </w:r>
            <w:r>
              <w:rPr>
                <w:rFonts w:hint="default" w:ascii="Times New Roman" w:hAnsi="Times New Roman" w:cs="Times New Roman"/>
                <w:b/>
                <w:bCs/>
                <w:color w:val="auto"/>
                <w:sz w:val="21"/>
                <w:szCs w:val="21"/>
              </w:rPr>
              <w:fldChar w:fldCharType="end"/>
            </w:r>
          </w:p>
        </w:tc>
        <w:tc>
          <w:tcPr>
            <w:tcW w:w="1198" w:type="dxa"/>
            <w:noWrap w:val="0"/>
            <w:tcMar>
              <w:left w:w="28" w:type="dxa"/>
              <w:right w:w="28" w:type="dxa"/>
            </w:tcMar>
            <w:vAlign w:val="center"/>
          </w:tcPr>
          <w:p w14:paraId="2DA0E74F">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变化量</w:t>
            </w:r>
            <w:r>
              <w:rPr>
                <w:rFonts w:hint="default" w:ascii="Times New Roman" w:hAnsi="Times New Roman" w:cs="Times New Roman"/>
                <w:b/>
                <w:bCs/>
                <w:color w:val="auto"/>
                <w:sz w:val="21"/>
                <w:szCs w:val="21"/>
              </w:rPr>
              <w:fldChar w:fldCharType="begin"/>
            </w:r>
            <w:r>
              <w:rPr>
                <w:rFonts w:hint="default" w:ascii="Times New Roman" w:hAnsi="Times New Roman" w:cs="Times New Roman"/>
                <w:b/>
                <w:bCs/>
                <w:color w:val="auto"/>
                <w:sz w:val="21"/>
                <w:szCs w:val="21"/>
              </w:rPr>
              <w:instrText xml:space="preserve"> = 7 \* GB3 \* MERGEFORMAT </w:instrText>
            </w:r>
            <w:r>
              <w:rPr>
                <w:rFonts w:hint="default" w:ascii="Times New Roman" w:hAnsi="Times New Roman" w:cs="Times New Roman"/>
                <w:b/>
                <w:bCs/>
                <w:color w:val="auto"/>
                <w:sz w:val="21"/>
                <w:szCs w:val="21"/>
              </w:rPr>
              <w:fldChar w:fldCharType="separate"/>
            </w:r>
            <w:r>
              <w:rPr>
                <w:rFonts w:hint="default" w:ascii="Times New Roman" w:hAnsi="Times New Roman" w:cs="Times New Roman"/>
                <w:b/>
                <w:bCs/>
                <w:color w:val="auto"/>
                <w:sz w:val="21"/>
                <w:szCs w:val="21"/>
              </w:rPr>
              <w:t>⑦</w:t>
            </w:r>
            <w:r>
              <w:rPr>
                <w:rFonts w:hint="default" w:ascii="Times New Roman" w:hAnsi="Times New Roman" w:cs="Times New Roman"/>
                <w:b/>
                <w:bCs/>
                <w:color w:val="auto"/>
                <w:sz w:val="21"/>
                <w:szCs w:val="21"/>
              </w:rPr>
              <w:fldChar w:fldCharType="end"/>
            </w:r>
          </w:p>
        </w:tc>
      </w:tr>
      <w:tr w14:paraId="565B3B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restart"/>
            <w:noWrap w:val="0"/>
            <w:vAlign w:val="center"/>
          </w:tcPr>
          <w:p w14:paraId="5E9C155F">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w:t>
            </w:r>
          </w:p>
        </w:tc>
        <w:tc>
          <w:tcPr>
            <w:tcW w:w="1520" w:type="dxa"/>
            <w:vMerge w:val="restart"/>
            <w:noWrap w:val="0"/>
            <w:vAlign w:val="center"/>
          </w:tcPr>
          <w:p w14:paraId="70EA51B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b w:val="0"/>
                <w:bCs/>
                <w:color w:val="auto"/>
                <w:sz w:val="21"/>
                <w:szCs w:val="21"/>
                <w:lang w:val="en-US" w:eastAsia="zh-CN"/>
              </w:rPr>
              <w:t>颗粒物</w:t>
            </w:r>
          </w:p>
        </w:tc>
        <w:tc>
          <w:tcPr>
            <w:tcW w:w="1060" w:type="dxa"/>
            <w:gridSpan w:val="2"/>
            <w:noWrap w:val="0"/>
            <w:vAlign w:val="center"/>
          </w:tcPr>
          <w:p w14:paraId="747E2CF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sz w:val="21"/>
                <w:szCs w:val="21"/>
                <w:lang w:eastAsia="zh-CN"/>
              </w:rPr>
            </w:pPr>
            <w:r>
              <w:rPr>
                <w:rFonts w:hint="default" w:ascii="Times New Roman" w:hAnsi="Times New Roman" w:cs="Times New Roman"/>
                <w:b w:val="0"/>
                <w:bCs/>
                <w:color w:val="auto"/>
                <w:sz w:val="21"/>
                <w:szCs w:val="21"/>
                <w:lang w:val="en-US" w:eastAsia="zh-CN"/>
              </w:rPr>
              <w:t>有组织</w:t>
            </w:r>
          </w:p>
        </w:tc>
        <w:tc>
          <w:tcPr>
            <w:tcW w:w="1528" w:type="dxa"/>
            <w:noWrap w:val="0"/>
            <w:vAlign w:val="center"/>
          </w:tcPr>
          <w:p w14:paraId="7C10EF56">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3A6FDE7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70FB17E0">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3AC4A25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0.272</w:t>
            </w:r>
          </w:p>
        </w:tc>
        <w:tc>
          <w:tcPr>
            <w:tcW w:w="1459" w:type="dxa"/>
            <w:noWrap w:val="0"/>
            <w:vAlign w:val="center"/>
          </w:tcPr>
          <w:p w14:paraId="1F6D948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59E7922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0.272</w:t>
            </w:r>
          </w:p>
        </w:tc>
        <w:tc>
          <w:tcPr>
            <w:tcW w:w="1198" w:type="dxa"/>
            <w:noWrap w:val="0"/>
            <w:vAlign w:val="center"/>
          </w:tcPr>
          <w:p w14:paraId="36B257D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+0.272</w:t>
            </w:r>
          </w:p>
        </w:tc>
      </w:tr>
      <w:tr w14:paraId="41D4B5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2454325D">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1520" w:type="dxa"/>
            <w:vMerge w:val="continue"/>
            <w:noWrap w:val="0"/>
            <w:vAlign w:val="center"/>
          </w:tcPr>
          <w:p w14:paraId="2782B64A">
            <w:pPr>
              <w:pStyle w:val="93"/>
              <w:keepNext w:val="0"/>
              <w:keepLines w:val="0"/>
              <w:pageBreakBefore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cs="Times New Roman"/>
                <w:color w:val="auto"/>
                <w:sz w:val="21"/>
                <w:szCs w:val="21"/>
                <w:lang w:eastAsia="zh-CN"/>
              </w:rPr>
            </w:pPr>
          </w:p>
        </w:tc>
        <w:tc>
          <w:tcPr>
            <w:tcW w:w="1060" w:type="dxa"/>
            <w:gridSpan w:val="2"/>
            <w:noWrap w:val="0"/>
            <w:vAlign w:val="center"/>
          </w:tcPr>
          <w:p w14:paraId="1715E38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sz w:val="21"/>
                <w:szCs w:val="21"/>
                <w:lang w:eastAsia="zh-CN"/>
              </w:rPr>
            </w:pPr>
            <w:r>
              <w:rPr>
                <w:rFonts w:hint="default" w:ascii="Times New Roman" w:hAnsi="Times New Roman" w:cs="Times New Roman"/>
                <w:b w:val="0"/>
                <w:bCs/>
                <w:color w:val="auto"/>
                <w:sz w:val="21"/>
                <w:szCs w:val="21"/>
                <w:lang w:val="en-US" w:eastAsia="zh-CN"/>
              </w:rPr>
              <w:t>无组织</w:t>
            </w:r>
          </w:p>
        </w:tc>
        <w:tc>
          <w:tcPr>
            <w:tcW w:w="1528" w:type="dxa"/>
            <w:noWrap w:val="0"/>
            <w:vAlign w:val="center"/>
          </w:tcPr>
          <w:p w14:paraId="497D64D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01F5EB0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3473E644">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01C742A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2.8271</w:t>
            </w:r>
          </w:p>
        </w:tc>
        <w:tc>
          <w:tcPr>
            <w:tcW w:w="1459" w:type="dxa"/>
            <w:noWrap w:val="0"/>
            <w:vAlign w:val="center"/>
          </w:tcPr>
          <w:p w14:paraId="53433336">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4FD2B4B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2.8271</w:t>
            </w:r>
          </w:p>
        </w:tc>
        <w:tc>
          <w:tcPr>
            <w:tcW w:w="1198" w:type="dxa"/>
            <w:noWrap w:val="0"/>
            <w:vAlign w:val="center"/>
          </w:tcPr>
          <w:p w14:paraId="5A6F2B1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r>
              <w:rPr>
                <w:rFonts w:hint="default" w:ascii="Times New Roman" w:hAnsi="Times New Roman" w:cs="Times New Roman"/>
                <w:b w:val="0"/>
                <w:bCs/>
                <w:color w:val="auto"/>
                <w:sz w:val="21"/>
                <w:szCs w:val="21"/>
                <w:lang w:val="en-US" w:eastAsia="zh-CN"/>
              </w:rPr>
              <w:t>2.8271</w:t>
            </w:r>
          </w:p>
        </w:tc>
      </w:tr>
      <w:tr w14:paraId="33F72D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135CD3AB">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1520" w:type="dxa"/>
            <w:noWrap w:val="0"/>
            <w:vAlign w:val="center"/>
          </w:tcPr>
          <w:p w14:paraId="7F85222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sz w:val="21"/>
                <w:szCs w:val="21"/>
                <w:lang w:eastAsia="zh-CN"/>
              </w:rPr>
            </w:pPr>
            <w:r>
              <w:rPr>
                <w:rFonts w:hint="eastAsia" w:ascii="Times New Roman" w:hAnsi="Times New Roman" w:cs="Times New Roman"/>
                <w:b w:val="0"/>
                <w:bCs/>
                <w:color w:val="auto"/>
                <w:sz w:val="21"/>
                <w:szCs w:val="21"/>
                <w:lang w:val="en-US" w:eastAsia="zh-CN"/>
              </w:rPr>
              <w:t>锡及其化合物</w:t>
            </w:r>
          </w:p>
        </w:tc>
        <w:tc>
          <w:tcPr>
            <w:tcW w:w="1060" w:type="dxa"/>
            <w:gridSpan w:val="2"/>
            <w:noWrap w:val="0"/>
            <w:vAlign w:val="center"/>
          </w:tcPr>
          <w:p w14:paraId="54ED87B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无组织</w:t>
            </w:r>
          </w:p>
        </w:tc>
        <w:tc>
          <w:tcPr>
            <w:tcW w:w="1528" w:type="dxa"/>
            <w:noWrap w:val="0"/>
            <w:vAlign w:val="center"/>
          </w:tcPr>
          <w:p w14:paraId="2DD542FA">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615C4095">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037CB726">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7EAE5695">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b w:val="0"/>
                <w:bCs/>
                <w:color w:val="auto"/>
                <w:sz w:val="21"/>
                <w:szCs w:val="21"/>
                <w:lang w:val="en-US" w:eastAsia="zh-CN"/>
              </w:rPr>
              <w:t>0.1139</w:t>
            </w:r>
          </w:p>
        </w:tc>
        <w:tc>
          <w:tcPr>
            <w:tcW w:w="1459" w:type="dxa"/>
            <w:noWrap w:val="0"/>
            <w:vAlign w:val="center"/>
          </w:tcPr>
          <w:p w14:paraId="310F0655">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color w:val="auto"/>
                <w:sz w:val="21"/>
                <w:szCs w:val="21"/>
                <w:lang w:val="en-US" w:eastAsia="zh-CN"/>
              </w:rPr>
              <w:t>/</w:t>
            </w:r>
          </w:p>
        </w:tc>
        <w:tc>
          <w:tcPr>
            <w:tcW w:w="2257" w:type="dxa"/>
            <w:noWrap w:val="0"/>
            <w:vAlign w:val="center"/>
          </w:tcPr>
          <w:p w14:paraId="3F97FAAE">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b w:val="0"/>
                <w:bCs/>
                <w:color w:val="auto"/>
                <w:sz w:val="21"/>
                <w:szCs w:val="21"/>
                <w:lang w:val="en-US" w:eastAsia="zh-CN"/>
              </w:rPr>
              <w:t>0.1139</w:t>
            </w:r>
          </w:p>
        </w:tc>
        <w:tc>
          <w:tcPr>
            <w:tcW w:w="1198" w:type="dxa"/>
            <w:noWrap w:val="0"/>
            <w:vAlign w:val="center"/>
          </w:tcPr>
          <w:p w14:paraId="7239E154">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b w:val="0"/>
                <w:bCs/>
                <w:color w:val="auto"/>
                <w:sz w:val="21"/>
                <w:szCs w:val="21"/>
                <w:lang w:val="en-US" w:eastAsia="zh-CN"/>
              </w:rPr>
              <w:t>+0.1139</w:t>
            </w:r>
          </w:p>
        </w:tc>
      </w:tr>
      <w:tr w14:paraId="3CA35B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721C31F4">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1520" w:type="dxa"/>
            <w:noWrap w:val="0"/>
            <w:vAlign w:val="center"/>
          </w:tcPr>
          <w:p w14:paraId="5D47D88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sz w:val="21"/>
                <w:szCs w:val="21"/>
                <w:lang w:eastAsia="zh-CN"/>
              </w:rPr>
            </w:pPr>
            <w:r>
              <w:rPr>
                <w:rFonts w:hint="eastAsia" w:ascii="Times New Roman" w:hAnsi="Times New Roman" w:cs="Times New Roman"/>
                <w:b w:val="0"/>
                <w:bCs/>
                <w:color w:val="auto"/>
                <w:sz w:val="21"/>
                <w:szCs w:val="21"/>
                <w:lang w:val="en-US" w:eastAsia="zh-CN"/>
              </w:rPr>
              <w:t>铜及其化合物</w:t>
            </w:r>
          </w:p>
        </w:tc>
        <w:tc>
          <w:tcPr>
            <w:tcW w:w="1060" w:type="dxa"/>
            <w:gridSpan w:val="2"/>
            <w:noWrap w:val="0"/>
            <w:vAlign w:val="center"/>
          </w:tcPr>
          <w:p w14:paraId="74B2520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无组织</w:t>
            </w:r>
          </w:p>
        </w:tc>
        <w:tc>
          <w:tcPr>
            <w:tcW w:w="1528" w:type="dxa"/>
            <w:noWrap w:val="0"/>
            <w:vAlign w:val="center"/>
          </w:tcPr>
          <w:p w14:paraId="12E5D460">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00814FE4">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4A62C76B">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32F75612">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b w:val="0"/>
                <w:bCs/>
                <w:color w:val="auto"/>
                <w:sz w:val="21"/>
                <w:szCs w:val="21"/>
                <w:lang w:val="en-US" w:eastAsia="zh-CN"/>
              </w:rPr>
              <w:t>0.0008</w:t>
            </w:r>
          </w:p>
        </w:tc>
        <w:tc>
          <w:tcPr>
            <w:tcW w:w="1459" w:type="dxa"/>
            <w:noWrap w:val="0"/>
            <w:vAlign w:val="center"/>
          </w:tcPr>
          <w:p w14:paraId="44F6CEEC">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color w:val="auto"/>
                <w:sz w:val="21"/>
                <w:szCs w:val="21"/>
                <w:lang w:val="en-US" w:eastAsia="zh-CN"/>
              </w:rPr>
              <w:t>/</w:t>
            </w:r>
          </w:p>
        </w:tc>
        <w:tc>
          <w:tcPr>
            <w:tcW w:w="2257" w:type="dxa"/>
            <w:noWrap w:val="0"/>
            <w:vAlign w:val="center"/>
          </w:tcPr>
          <w:p w14:paraId="2BDB8451">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b w:val="0"/>
                <w:bCs/>
                <w:color w:val="auto"/>
                <w:sz w:val="21"/>
                <w:szCs w:val="21"/>
                <w:lang w:val="en-US" w:eastAsia="zh-CN"/>
              </w:rPr>
              <w:t>0.0008</w:t>
            </w:r>
          </w:p>
        </w:tc>
        <w:tc>
          <w:tcPr>
            <w:tcW w:w="1198" w:type="dxa"/>
            <w:noWrap w:val="0"/>
            <w:vAlign w:val="center"/>
          </w:tcPr>
          <w:p w14:paraId="4FE6FAA0">
            <w:pPr>
              <w:pStyle w:val="38"/>
              <w:keepNext/>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ascii="Times New Roman" w:hAnsi="Times New Roman" w:cs="Times New Roman"/>
                <w:b w:val="0"/>
                <w:bCs/>
                <w:color w:val="auto"/>
                <w:sz w:val="21"/>
                <w:szCs w:val="21"/>
                <w:lang w:val="en-US" w:eastAsia="zh-CN"/>
              </w:rPr>
            </w:pPr>
            <w:r>
              <w:rPr>
                <w:rFonts w:hint="eastAsia"/>
                <w:b w:val="0"/>
                <w:bCs/>
                <w:color w:val="auto"/>
                <w:sz w:val="21"/>
                <w:szCs w:val="21"/>
                <w:lang w:val="en-US" w:eastAsia="zh-CN"/>
              </w:rPr>
              <w:t>+0.0008</w:t>
            </w:r>
          </w:p>
        </w:tc>
      </w:tr>
      <w:tr w14:paraId="208CE8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40CD73B0">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1520" w:type="dxa"/>
            <w:vMerge w:val="restart"/>
            <w:noWrap w:val="0"/>
            <w:vAlign w:val="center"/>
          </w:tcPr>
          <w:p w14:paraId="652FEC1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NMHC</w:t>
            </w:r>
          </w:p>
        </w:tc>
        <w:tc>
          <w:tcPr>
            <w:tcW w:w="1060" w:type="dxa"/>
            <w:gridSpan w:val="2"/>
            <w:noWrap w:val="0"/>
            <w:vAlign w:val="center"/>
          </w:tcPr>
          <w:p w14:paraId="61B1D89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有组织</w:t>
            </w:r>
          </w:p>
        </w:tc>
        <w:tc>
          <w:tcPr>
            <w:tcW w:w="1528" w:type="dxa"/>
            <w:noWrap w:val="0"/>
            <w:vAlign w:val="center"/>
          </w:tcPr>
          <w:p w14:paraId="117A2BA2">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5684DEE2">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shd w:val="clear" w:color="auto" w:fill="auto"/>
            <w:noWrap w:val="0"/>
            <w:vAlign w:val="center"/>
          </w:tcPr>
          <w:p w14:paraId="17976D1C">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sz w:val="21"/>
                <w:szCs w:val="21"/>
                <w:lang w:val="en-US" w:eastAsia="zh-CN"/>
              </w:rPr>
              <w:t>/</w:t>
            </w:r>
          </w:p>
        </w:tc>
        <w:tc>
          <w:tcPr>
            <w:tcW w:w="1581" w:type="dxa"/>
            <w:shd w:val="clear" w:color="auto" w:fill="auto"/>
            <w:noWrap w:val="0"/>
            <w:vAlign w:val="center"/>
          </w:tcPr>
          <w:p w14:paraId="2CDEA33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cs="Times New Roman"/>
                <w:b w:val="0"/>
                <w:bCs/>
                <w:color w:val="auto"/>
                <w:sz w:val="21"/>
                <w:szCs w:val="21"/>
                <w:lang w:val="en-US" w:eastAsia="zh-CN"/>
              </w:rPr>
              <w:t>0.06</w:t>
            </w:r>
            <w:r>
              <w:rPr>
                <w:rFonts w:hint="eastAsia" w:ascii="Times New Roman" w:hAnsi="Times New Roman" w:cs="Times New Roman"/>
                <w:b w:val="0"/>
                <w:bCs/>
                <w:color w:val="auto"/>
                <w:sz w:val="21"/>
                <w:szCs w:val="21"/>
                <w:lang w:val="en-US" w:eastAsia="zh-CN"/>
              </w:rPr>
              <w:t>67</w:t>
            </w:r>
          </w:p>
        </w:tc>
        <w:tc>
          <w:tcPr>
            <w:tcW w:w="1459" w:type="dxa"/>
            <w:shd w:val="clear" w:color="auto" w:fill="auto"/>
            <w:noWrap w:val="0"/>
            <w:vAlign w:val="center"/>
          </w:tcPr>
          <w:p w14:paraId="71EBE3BD">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2FBCFC6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0.06</w:t>
            </w:r>
            <w:r>
              <w:rPr>
                <w:rFonts w:hint="eastAsia" w:ascii="Times New Roman" w:hAnsi="Times New Roman" w:cs="Times New Roman"/>
                <w:b w:val="0"/>
                <w:bCs/>
                <w:color w:val="auto"/>
                <w:sz w:val="21"/>
                <w:szCs w:val="21"/>
                <w:lang w:val="en-US" w:eastAsia="zh-CN"/>
              </w:rPr>
              <w:t>67</w:t>
            </w:r>
          </w:p>
        </w:tc>
        <w:tc>
          <w:tcPr>
            <w:tcW w:w="1198" w:type="dxa"/>
            <w:noWrap w:val="0"/>
            <w:vAlign w:val="center"/>
          </w:tcPr>
          <w:p w14:paraId="14D4D6B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r>
              <w:rPr>
                <w:rFonts w:hint="default" w:ascii="Times New Roman" w:hAnsi="Times New Roman" w:cs="Times New Roman"/>
                <w:b w:val="0"/>
                <w:bCs/>
                <w:color w:val="auto"/>
                <w:sz w:val="21"/>
                <w:szCs w:val="21"/>
                <w:lang w:val="en-US" w:eastAsia="zh-CN"/>
              </w:rPr>
              <w:t>0.06</w:t>
            </w:r>
            <w:r>
              <w:rPr>
                <w:rFonts w:hint="eastAsia" w:ascii="Times New Roman" w:hAnsi="Times New Roman" w:cs="Times New Roman"/>
                <w:b w:val="0"/>
                <w:bCs/>
                <w:color w:val="auto"/>
                <w:sz w:val="21"/>
                <w:szCs w:val="21"/>
                <w:lang w:val="en-US" w:eastAsia="zh-CN"/>
              </w:rPr>
              <w:t>67</w:t>
            </w:r>
          </w:p>
        </w:tc>
      </w:tr>
      <w:tr w14:paraId="582646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21DF4301">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1520" w:type="dxa"/>
            <w:vMerge w:val="continue"/>
            <w:noWrap w:val="0"/>
            <w:vAlign w:val="center"/>
          </w:tcPr>
          <w:p w14:paraId="37C571A3">
            <w:pPr>
              <w:pStyle w:val="93"/>
              <w:keepNext w:val="0"/>
              <w:keepLines w:val="0"/>
              <w:pageBreakBefore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cs="Times New Roman"/>
                <w:color w:val="auto"/>
                <w:sz w:val="21"/>
                <w:szCs w:val="21"/>
              </w:rPr>
            </w:pPr>
          </w:p>
        </w:tc>
        <w:tc>
          <w:tcPr>
            <w:tcW w:w="1060" w:type="dxa"/>
            <w:gridSpan w:val="2"/>
            <w:noWrap w:val="0"/>
            <w:vAlign w:val="center"/>
          </w:tcPr>
          <w:p w14:paraId="7E56AC2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无组织</w:t>
            </w:r>
          </w:p>
        </w:tc>
        <w:tc>
          <w:tcPr>
            <w:tcW w:w="1528" w:type="dxa"/>
            <w:noWrap w:val="0"/>
            <w:vAlign w:val="center"/>
          </w:tcPr>
          <w:p w14:paraId="76D53219">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4A15FF2C">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3E071A99">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01F1554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0.0067</w:t>
            </w:r>
          </w:p>
        </w:tc>
        <w:tc>
          <w:tcPr>
            <w:tcW w:w="1459" w:type="dxa"/>
            <w:noWrap w:val="0"/>
            <w:vAlign w:val="center"/>
          </w:tcPr>
          <w:p w14:paraId="5661B8A6">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21A58EB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0.0067</w:t>
            </w:r>
          </w:p>
        </w:tc>
        <w:tc>
          <w:tcPr>
            <w:tcW w:w="1198" w:type="dxa"/>
            <w:noWrap w:val="0"/>
            <w:vAlign w:val="center"/>
          </w:tcPr>
          <w:p w14:paraId="74FED9C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r>
              <w:rPr>
                <w:rFonts w:hint="default" w:ascii="Times New Roman" w:hAnsi="Times New Roman" w:cs="Times New Roman"/>
                <w:b w:val="0"/>
                <w:bCs/>
                <w:color w:val="auto"/>
                <w:sz w:val="21"/>
                <w:szCs w:val="21"/>
                <w:lang w:val="en-US" w:eastAsia="zh-CN"/>
              </w:rPr>
              <w:t>0.0067</w:t>
            </w:r>
          </w:p>
        </w:tc>
      </w:tr>
      <w:tr w14:paraId="7F8A76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restart"/>
            <w:noWrap w:val="0"/>
            <w:vAlign w:val="center"/>
          </w:tcPr>
          <w:p w14:paraId="23445B7C">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废水</w:t>
            </w:r>
          </w:p>
        </w:tc>
        <w:tc>
          <w:tcPr>
            <w:tcW w:w="2580" w:type="dxa"/>
            <w:gridSpan w:val="3"/>
            <w:noWrap w:val="0"/>
            <w:vAlign w:val="center"/>
          </w:tcPr>
          <w:p w14:paraId="4600C31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b w:val="0"/>
                <w:bCs/>
                <w:color w:val="auto"/>
                <w:sz w:val="21"/>
                <w:szCs w:val="21"/>
              </w:rPr>
              <w:t>废水量</w:t>
            </w:r>
          </w:p>
        </w:tc>
        <w:tc>
          <w:tcPr>
            <w:tcW w:w="1528" w:type="dxa"/>
            <w:noWrap w:val="0"/>
            <w:vAlign w:val="center"/>
          </w:tcPr>
          <w:p w14:paraId="64209476">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75044A4D">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51B662AE">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5DF2CC3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kern w:val="0"/>
                <w:sz w:val="21"/>
                <w:szCs w:val="21"/>
                <w:lang w:val="en-US" w:eastAsia="zh-CN"/>
              </w:rPr>
            </w:pPr>
            <w:r>
              <w:rPr>
                <w:rFonts w:hint="default" w:ascii="Times New Roman" w:hAnsi="Times New Roman" w:cs="Times New Roman"/>
                <w:b w:val="0"/>
                <w:bCs/>
                <w:color w:val="auto"/>
                <w:sz w:val="21"/>
                <w:szCs w:val="21"/>
                <w:lang w:val="en-US" w:eastAsia="zh-CN"/>
              </w:rPr>
              <w:t>1195.398</w:t>
            </w:r>
          </w:p>
        </w:tc>
        <w:tc>
          <w:tcPr>
            <w:tcW w:w="1459" w:type="dxa"/>
            <w:noWrap w:val="0"/>
            <w:vAlign w:val="center"/>
          </w:tcPr>
          <w:p w14:paraId="40BC5F92">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77281D5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kern w:val="0"/>
                <w:sz w:val="21"/>
                <w:szCs w:val="21"/>
                <w:lang w:val="en-US" w:eastAsia="zh-CN"/>
              </w:rPr>
            </w:pPr>
            <w:r>
              <w:rPr>
                <w:rFonts w:hint="default" w:ascii="Times New Roman" w:hAnsi="Times New Roman" w:cs="Times New Roman"/>
                <w:b w:val="0"/>
                <w:bCs/>
                <w:color w:val="auto"/>
                <w:sz w:val="21"/>
                <w:szCs w:val="21"/>
                <w:lang w:val="en-US" w:eastAsia="zh-CN"/>
              </w:rPr>
              <w:t>1195.398</w:t>
            </w:r>
          </w:p>
        </w:tc>
        <w:tc>
          <w:tcPr>
            <w:tcW w:w="1198" w:type="dxa"/>
            <w:noWrap w:val="0"/>
            <w:vAlign w:val="center"/>
          </w:tcPr>
          <w:p w14:paraId="1E320AE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kern w:val="0"/>
                <w:sz w:val="21"/>
                <w:szCs w:val="21"/>
                <w:lang w:val="en-US" w:eastAsia="zh-CN"/>
              </w:rPr>
            </w:pPr>
            <w:r>
              <w:rPr>
                <w:rFonts w:hint="eastAsia" w:ascii="Times New Roman" w:hAnsi="Times New Roman" w:cs="Times New Roman"/>
                <w:b w:val="0"/>
                <w:bCs/>
                <w:color w:val="auto"/>
                <w:sz w:val="21"/>
                <w:szCs w:val="21"/>
                <w:lang w:val="en-US" w:eastAsia="zh-CN"/>
              </w:rPr>
              <w:t>+</w:t>
            </w:r>
            <w:r>
              <w:rPr>
                <w:rFonts w:hint="default" w:ascii="Times New Roman" w:hAnsi="Times New Roman" w:cs="Times New Roman"/>
                <w:b w:val="0"/>
                <w:bCs/>
                <w:color w:val="auto"/>
                <w:sz w:val="21"/>
                <w:szCs w:val="21"/>
                <w:lang w:val="en-US" w:eastAsia="zh-CN"/>
              </w:rPr>
              <w:t>1195.398</w:t>
            </w:r>
          </w:p>
        </w:tc>
      </w:tr>
      <w:tr w14:paraId="29D7E9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7A835E8A">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3D9B65C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b w:val="0"/>
                <w:bCs/>
                <w:color w:val="auto"/>
                <w:sz w:val="21"/>
                <w:szCs w:val="21"/>
                <w:lang w:val="en-US" w:eastAsia="zh-CN"/>
              </w:rPr>
              <w:t>pH值（无量纲）</w:t>
            </w:r>
          </w:p>
        </w:tc>
        <w:tc>
          <w:tcPr>
            <w:tcW w:w="1528" w:type="dxa"/>
            <w:noWrap w:val="0"/>
            <w:vAlign w:val="center"/>
          </w:tcPr>
          <w:p w14:paraId="0A3ECD5C">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081" w:type="dxa"/>
            <w:noWrap w:val="0"/>
            <w:vAlign w:val="center"/>
          </w:tcPr>
          <w:p w14:paraId="27E6CE4E">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color w:val="auto"/>
                <w:sz w:val="21"/>
                <w:szCs w:val="21"/>
                <w:lang w:val="en-US" w:eastAsia="zh-CN"/>
              </w:rPr>
              <w:t>/</w:t>
            </w:r>
          </w:p>
        </w:tc>
        <w:tc>
          <w:tcPr>
            <w:tcW w:w="1669" w:type="dxa"/>
            <w:noWrap w:val="0"/>
            <w:vAlign w:val="center"/>
          </w:tcPr>
          <w:p w14:paraId="7486100D">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024026A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kern w:val="0"/>
                <w:sz w:val="21"/>
                <w:szCs w:val="21"/>
                <w:lang w:val="en-US" w:eastAsia="zh-CN"/>
              </w:rPr>
              <w:t>6~9</w:t>
            </w:r>
          </w:p>
        </w:tc>
        <w:tc>
          <w:tcPr>
            <w:tcW w:w="1459" w:type="dxa"/>
            <w:noWrap w:val="0"/>
            <w:vAlign w:val="center"/>
          </w:tcPr>
          <w:p w14:paraId="0CA77A0F">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56E6C55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kern w:val="0"/>
                <w:sz w:val="21"/>
                <w:szCs w:val="21"/>
                <w:lang w:val="en-US" w:eastAsia="zh-CN"/>
              </w:rPr>
              <w:t>6~9</w:t>
            </w:r>
          </w:p>
        </w:tc>
        <w:tc>
          <w:tcPr>
            <w:tcW w:w="1198" w:type="dxa"/>
            <w:noWrap w:val="0"/>
            <w:vAlign w:val="center"/>
          </w:tcPr>
          <w:p w14:paraId="2106204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kern w:val="0"/>
                <w:sz w:val="21"/>
                <w:szCs w:val="21"/>
                <w:lang w:val="en-US" w:eastAsia="zh-CN"/>
              </w:rPr>
              <w:t>+</w:t>
            </w:r>
            <w:r>
              <w:rPr>
                <w:rFonts w:hint="default" w:ascii="Times New Roman" w:hAnsi="Times New Roman" w:cs="Times New Roman"/>
                <w:b w:val="0"/>
                <w:bCs/>
                <w:color w:val="auto"/>
                <w:kern w:val="0"/>
                <w:sz w:val="21"/>
                <w:szCs w:val="21"/>
                <w:lang w:val="en-US" w:eastAsia="zh-CN"/>
              </w:rPr>
              <w:t>6~9</w:t>
            </w:r>
          </w:p>
        </w:tc>
      </w:tr>
      <w:tr w14:paraId="413E28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677EC21E">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647D106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COD</w:t>
            </w:r>
          </w:p>
        </w:tc>
        <w:tc>
          <w:tcPr>
            <w:tcW w:w="1528" w:type="dxa"/>
            <w:noWrap w:val="0"/>
            <w:vAlign w:val="center"/>
          </w:tcPr>
          <w:p w14:paraId="01F3CC9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081" w:type="dxa"/>
            <w:noWrap w:val="0"/>
            <w:vAlign w:val="center"/>
          </w:tcPr>
          <w:p w14:paraId="1AC6B1C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color w:val="auto"/>
                <w:sz w:val="21"/>
                <w:szCs w:val="21"/>
                <w:lang w:val="en-US" w:eastAsia="zh-CN"/>
              </w:rPr>
              <w:t>/</w:t>
            </w:r>
          </w:p>
        </w:tc>
        <w:tc>
          <w:tcPr>
            <w:tcW w:w="1669" w:type="dxa"/>
            <w:noWrap w:val="0"/>
            <w:vAlign w:val="center"/>
          </w:tcPr>
          <w:p w14:paraId="3918C41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3FD2546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lang w:val="en-US" w:eastAsia="zh-CN"/>
              </w:rPr>
              <w:t>0.296</w:t>
            </w:r>
          </w:p>
        </w:tc>
        <w:tc>
          <w:tcPr>
            <w:tcW w:w="1459" w:type="dxa"/>
            <w:noWrap w:val="0"/>
            <w:vAlign w:val="center"/>
          </w:tcPr>
          <w:p w14:paraId="6A4D70FA">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78F88F4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lang w:val="en-US" w:eastAsia="zh-CN"/>
              </w:rPr>
              <w:t>0.296</w:t>
            </w:r>
          </w:p>
        </w:tc>
        <w:tc>
          <w:tcPr>
            <w:tcW w:w="1198" w:type="dxa"/>
            <w:noWrap w:val="0"/>
            <w:vAlign w:val="center"/>
          </w:tcPr>
          <w:p w14:paraId="7B27C8C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lang w:val="en-US" w:eastAsia="zh-CN"/>
              </w:rPr>
              <w:t>+0.296</w:t>
            </w:r>
          </w:p>
        </w:tc>
      </w:tr>
      <w:tr w14:paraId="344B89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0F9D490F">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59588C5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BOD</w:t>
            </w:r>
            <w:r>
              <w:rPr>
                <w:rFonts w:hint="default" w:ascii="Times New Roman" w:hAnsi="Times New Roman" w:cs="Times New Roman"/>
                <w:color w:val="auto"/>
                <w:sz w:val="21"/>
                <w:szCs w:val="21"/>
                <w:vertAlign w:val="subscript"/>
              </w:rPr>
              <w:t>5</w:t>
            </w:r>
          </w:p>
        </w:tc>
        <w:tc>
          <w:tcPr>
            <w:tcW w:w="1528" w:type="dxa"/>
            <w:noWrap w:val="0"/>
            <w:vAlign w:val="center"/>
          </w:tcPr>
          <w:p w14:paraId="1AAFD9FC">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081" w:type="dxa"/>
            <w:noWrap w:val="0"/>
            <w:vAlign w:val="center"/>
          </w:tcPr>
          <w:p w14:paraId="6B134B45">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color w:val="auto"/>
                <w:sz w:val="21"/>
                <w:szCs w:val="21"/>
                <w:lang w:val="en-US" w:eastAsia="zh-CN"/>
              </w:rPr>
              <w:t>/</w:t>
            </w:r>
          </w:p>
        </w:tc>
        <w:tc>
          <w:tcPr>
            <w:tcW w:w="1669" w:type="dxa"/>
            <w:noWrap w:val="0"/>
            <w:vAlign w:val="center"/>
          </w:tcPr>
          <w:p w14:paraId="0AFA0252">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7A7969C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rPr>
            </w:pPr>
            <w:r>
              <w:rPr>
                <w:rFonts w:hint="eastAsia" w:ascii="Times New Roman" w:hAnsi="Times New Roman" w:cs="Times New Roman"/>
                <w:b w:val="0"/>
                <w:bCs/>
                <w:color w:val="auto"/>
                <w:lang w:val="en-US" w:eastAsia="zh-CN"/>
              </w:rPr>
              <w:t>0.1608</w:t>
            </w:r>
          </w:p>
        </w:tc>
        <w:tc>
          <w:tcPr>
            <w:tcW w:w="1459" w:type="dxa"/>
            <w:noWrap w:val="0"/>
            <w:vAlign w:val="center"/>
          </w:tcPr>
          <w:p w14:paraId="26A5F425">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5B580E3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lang w:val="en-US" w:eastAsia="zh-CN"/>
              </w:rPr>
              <w:t>0.1608</w:t>
            </w:r>
          </w:p>
        </w:tc>
        <w:tc>
          <w:tcPr>
            <w:tcW w:w="1198" w:type="dxa"/>
            <w:noWrap w:val="0"/>
            <w:vAlign w:val="center"/>
          </w:tcPr>
          <w:p w14:paraId="11DA4D3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rPr>
            </w:pPr>
            <w:r>
              <w:rPr>
                <w:rFonts w:hint="eastAsia" w:ascii="Times New Roman" w:hAnsi="Times New Roman" w:cs="Times New Roman"/>
                <w:b w:val="0"/>
                <w:bCs/>
                <w:color w:val="auto"/>
                <w:lang w:val="en-US" w:eastAsia="zh-CN"/>
              </w:rPr>
              <w:t>+0.1608</w:t>
            </w:r>
          </w:p>
        </w:tc>
      </w:tr>
      <w:tr w14:paraId="233F83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292877B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331DF40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color w:val="auto"/>
                <w:kern w:val="0"/>
                <w:sz w:val="21"/>
                <w:szCs w:val="21"/>
              </w:rPr>
            </w:pPr>
            <w:r>
              <w:rPr>
                <w:rFonts w:hint="default" w:ascii="Times New Roman" w:hAnsi="Times New Roman" w:cs="Times New Roman"/>
                <w:color w:val="auto"/>
                <w:sz w:val="21"/>
                <w:szCs w:val="21"/>
              </w:rPr>
              <w:t>SS</w:t>
            </w:r>
          </w:p>
        </w:tc>
        <w:tc>
          <w:tcPr>
            <w:tcW w:w="1528" w:type="dxa"/>
            <w:noWrap w:val="0"/>
            <w:vAlign w:val="center"/>
          </w:tcPr>
          <w:p w14:paraId="22446BBB">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sz w:val="21"/>
                <w:szCs w:val="21"/>
                <w:lang w:val="en-US" w:eastAsia="zh-CN"/>
              </w:rPr>
              <w:t>/</w:t>
            </w:r>
          </w:p>
        </w:tc>
        <w:tc>
          <w:tcPr>
            <w:tcW w:w="1081" w:type="dxa"/>
            <w:noWrap w:val="0"/>
            <w:vAlign w:val="center"/>
          </w:tcPr>
          <w:p w14:paraId="537F89D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sz w:val="21"/>
                <w:szCs w:val="21"/>
                <w:lang w:val="en-US" w:eastAsia="zh-CN"/>
              </w:rPr>
              <w:t>/</w:t>
            </w:r>
          </w:p>
        </w:tc>
        <w:tc>
          <w:tcPr>
            <w:tcW w:w="1669" w:type="dxa"/>
            <w:noWrap w:val="0"/>
            <w:vAlign w:val="center"/>
          </w:tcPr>
          <w:p w14:paraId="5F670644">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sz w:val="21"/>
                <w:szCs w:val="21"/>
                <w:lang w:val="en-US" w:eastAsia="zh-CN"/>
              </w:rPr>
              <w:t>/</w:t>
            </w:r>
          </w:p>
        </w:tc>
        <w:tc>
          <w:tcPr>
            <w:tcW w:w="1581" w:type="dxa"/>
            <w:noWrap w:val="0"/>
            <w:vAlign w:val="center"/>
          </w:tcPr>
          <w:p w14:paraId="7B34870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kern w:val="0"/>
                <w:sz w:val="21"/>
                <w:szCs w:val="21"/>
                <w:lang w:val="en-US" w:eastAsia="zh-CN"/>
              </w:rPr>
            </w:pPr>
            <w:r>
              <w:rPr>
                <w:rFonts w:hint="eastAsia" w:ascii="Times New Roman" w:hAnsi="Times New Roman" w:cs="Times New Roman"/>
                <w:b w:val="0"/>
                <w:bCs/>
                <w:color w:val="auto"/>
                <w:lang w:val="en-US" w:eastAsia="zh-CN"/>
              </w:rPr>
              <w:t>0.1565</w:t>
            </w:r>
          </w:p>
        </w:tc>
        <w:tc>
          <w:tcPr>
            <w:tcW w:w="1459" w:type="dxa"/>
            <w:noWrap w:val="0"/>
            <w:vAlign w:val="center"/>
          </w:tcPr>
          <w:p w14:paraId="7B08E081">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kern w:val="0"/>
                <w:sz w:val="21"/>
                <w:szCs w:val="21"/>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65BC463F">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kern w:val="0"/>
                <w:sz w:val="21"/>
                <w:szCs w:val="21"/>
              </w:rPr>
            </w:pPr>
            <w:r>
              <w:rPr>
                <w:rFonts w:hint="eastAsia" w:ascii="Times New Roman" w:hAnsi="Times New Roman" w:cs="Times New Roman"/>
                <w:b w:val="0"/>
                <w:bCs/>
                <w:color w:val="auto"/>
                <w:lang w:val="en-US" w:eastAsia="zh-CN"/>
              </w:rPr>
              <w:t>0.1565</w:t>
            </w:r>
          </w:p>
        </w:tc>
        <w:tc>
          <w:tcPr>
            <w:tcW w:w="1198" w:type="dxa"/>
            <w:noWrap w:val="0"/>
            <w:vAlign w:val="center"/>
          </w:tcPr>
          <w:p w14:paraId="17F50D8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kern w:val="0"/>
                <w:sz w:val="21"/>
                <w:szCs w:val="21"/>
              </w:rPr>
            </w:pPr>
            <w:r>
              <w:rPr>
                <w:rFonts w:hint="eastAsia" w:ascii="Times New Roman" w:hAnsi="Times New Roman" w:cs="Times New Roman"/>
                <w:b w:val="0"/>
                <w:bCs/>
                <w:color w:val="auto"/>
                <w:lang w:val="en-US" w:eastAsia="zh-CN"/>
              </w:rPr>
              <w:t>+0.1565</w:t>
            </w:r>
          </w:p>
        </w:tc>
      </w:tr>
      <w:tr w14:paraId="5232CE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301698A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2580" w:type="dxa"/>
            <w:gridSpan w:val="3"/>
            <w:noWrap w:val="0"/>
            <w:vAlign w:val="center"/>
          </w:tcPr>
          <w:p w14:paraId="04BBFC1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Times New Roman" w:hAnsi="Times New Roman" w:cs="Times New Roman"/>
                <w:color w:val="auto"/>
                <w:kern w:val="0"/>
                <w:sz w:val="21"/>
                <w:szCs w:val="21"/>
              </w:rPr>
            </w:pPr>
            <w:r>
              <w:rPr>
                <w:rFonts w:hint="default" w:ascii="Times New Roman" w:hAnsi="Times New Roman" w:cs="Times New Roman"/>
                <w:bCs/>
                <w:color w:val="auto"/>
                <w:kern w:val="0"/>
                <w:sz w:val="21"/>
                <w:szCs w:val="21"/>
              </w:rPr>
              <w:t>NH</w:t>
            </w:r>
            <w:r>
              <w:rPr>
                <w:rFonts w:hint="default" w:ascii="Times New Roman" w:hAnsi="Times New Roman" w:cs="Times New Roman"/>
                <w:bCs/>
                <w:color w:val="auto"/>
                <w:kern w:val="0"/>
                <w:sz w:val="21"/>
                <w:szCs w:val="21"/>
                <w:vertAlign w:val="subscript"/>
              </w:rPr>
              <w:t>3</w:t>
            </w:r>
            <w:r>
              <w:rPr>
                <w:rFonts w:hint="default" w:ascii="Times New Roman" w:hAnsi="Times New Roman" w:cs="Times New Roman"/>
                <w:bCs/>
                <w:color w:val="auto"/>
                <w:kern w:val="0"/>
                <w:sz w:val="21"/>
                <w:szCs w:val="21"/>
              </w:rPr>
              <w:t>-N</w:t>
            </w:r>
          </w:p>
        </w:tc>
        <w:tc>
          <w:tcPr>
            <w:tcW w:w="1528" w:type="dxa"/>
            <w:noWrap w:val="0"/>
            <w:vAlign w:val="center"/>
          </w:tcPr>
          <w:p w14:paraId="1B22B14F">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sz w:val="21"/>
                <w:szCs w:val="21"/>
                <w:lang w:val="en-US" w:eastAsia="zh-CN"/>
              </w:rPr>
              <w:t>/</w:t>
            </w:r>
          </w:p>
        </w:tc>
        <w:tc>
          <w:tcPr>
            <w:tcW w:w="1081" w:type="dxa"/>
            <w:noWrap w:val="0"/>
            <w:vAlign w:val="center"/>
          </w:tcPr>
          <w:p w14:paraId="4112A006">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sz w:val="21"/>
                <w:szCs w:val="21"/>
                <w:lang w:val="en-US" w:eastAsia="zh-CN"/>
              </w:rPr>
              <w:t>/</w:t>
            </w:r>
          </w:p>
        </w:tc>
        <w:tc>
          <w:tcPr>
            <w:tcW w:w="1669" w:type="dxa"/>
            <w:noWrap w:val="0"/>
            <w:vAlign w:val="center"/>
          </w:tcPr>
          <w:p w14:paraId="5A104FE3">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sz w:val="21"/>
                <w:szCs w:val="21"/>
                <w:lang w:val="en-US" w:eastAsia="zh-CN"/>
              </w:rPr>
              <w:t>/</w:t>
            </w:r>
          </w:p>
        </w:tc>
        <w:tc>
          <w:tcPr>
            <w:tcW w:w="1581" w:type="dxa"/>
            <w:noWrap w:val="0"/>
            <w:vAlign w:val="center"/>
          </w:tcPr>
          <w:p w14:paraId="4D338ED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kern w:val="0"/>
                <w:sz w:val="21"/>
                <w:szCs w:val="21"/>
                <w:lang w:val="en-US" w:eastAsia="zh-CN"/>
              </w:rPr>
            </w:pPr>
            <w:r>
              <w:rPr>
                <w:rFonts w:hint="eastAsia" w:ascii="Times New Roman" w:hAnsi="Times New Roman" w:cs="Times New Roman"/>
                <w:b w:val="0"/>
                <w:bCs/>
                <w:color w:val="auto"/>
                <w:lang w:val="en-US" w:eastAsia="zh-CN"/>
              </w:rPr>
              <w:t>0.0246</w:t>
            </w:r>
          </w:p>
        </w:tc>
        <w:tc>
          <w:tcPr>
            <w:tcW w:w="1459" w:type="dxa"/>
            <w:noWrap w:val="0"/>
            <w:vAlign w:val="center"/>
          </w:tcPr>
          <w:p w14:paraId="42C36382">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kern w:val="0"/>
                <w:sz w:val="21"/>
                <w:szCs w:val="21"/>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7D06254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kern w:val="0"/>
                <w:sz w:val="21"/>
                <w:szCs w:val="21"/>
                <w:lang w:val="en-US"/>
              </w:rPr>
            </w:pPr>
            <w:r>
              <w:rPr>
                <w:rFonts w:hint="eastAsia" w:ascii="Times New Roman" w:hAnsi="Times New Roman" w:cs="Times New Roman"/>
                <w:b w:val="0"/>
                <w:bCs/>
                <w:color w:val="auto"/>
                <w:lang w:val="en-US" w:eastAsia="zh-CN"/>
              </w:rPr>
              <w:t>0.0246</w:t>
            </w:r>
          </w:p>
        </w:tc>
        <w:tc>
          <w:tcPr>
            <w:tcW w:w="1198" w:type="dxa"/>
            <w:noWrap w:val="0"/>
            <w:vAlign w:val="center"/>
          </w:tcPr>
          <w:p w14:paraId="6D34DDC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kern w:val="0"/>
                <w:sz w:val="21"/>
                <w:szCs w:val="21"/>
                <w:lang w:val="en-US"/>
              </w:rPr>
            </w:pPr>
            <w:r>
              <w:rPr>
                <w:rFonts w:hint="eastAsia" w:ascii="Times New Roman" w:hAnsi="Times New Roman" w:cs="Times New Roman"/>
                <w:b w:val="0"/>
                <w:bCs/>
                <w:color w:val="auto"/>
                <w:lang w:val="en-US" w:eastAsia="zh-CN"/>
              </w:rPr>
              <w:t>+0.0246</w:t>
            </w:r>
          </w:p>
        </w:tc>
      </w:tr>
      <w:tr w14:paraId="100108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restart"/>
            <w:noWrap w:val="0"/>
            <w:vAlign w:val="center"/>
          </w:tcPr>
          <w:p w14:paraId="366EBD0A">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一般工业</w:t>
            </w:r>
          </w:p>
          <w:p w14:paraId="7DCD3D07">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固体废物</w:t>
            </w:r>
          </w:p>
        </w:tc>
        <w:tc>
          <w:tcPr>
            <w:tcW w:w="2580" w:type="dxa"/>
            <w:gridSpan w:val="3"/>
            <w:noWrap w:val="0"/>
            <w:vAlign w:val="center"/>
          </w:tcPr>
          <w:p w14:paraId="1C6D549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contextualSpacing/>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废包材</w:t>
            </w:r>
          </w:p>
        </w:tc>
        <w:tc>
          <w:tcPr>
            <w:tcW w:w="1528" w:type="dxa"/>
            <w:noWrap w:val="0"/>
            <w:vAlign w:val="center"/>
          </w:tcPr>
          <w:p w14:paraId="1CF41F01">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0D4F3700">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10E1091E">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0090A0C6">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b w:val="0"/>
                <w:bCs/>
                <w:color w:val="auto"/>
                <w:sz w:val="21"/>
                <w:szCs w:val="21"/>
                <w:lang w:val="en-US" w:eastAsia="zh-CN"/>
              </w:rPr>
            </w:pPr>
            <w:r>
              <w:rPr>
                <w:rFonts w:hint="eastAsia" w:cs="Times New Roman"/>
                <w:color w:val="auto"/>
                <w:sz w:val="21"/>
                <w:szCs w:val="21"/>
                <w:lang w:val="en-US" w:eastAsia="zh-CN"/>
              </w:rPr>
              <w:t>10.0</w:t>
            </w:r>
          </w:p>
        </w:tc>
        <w:tc>
          <w:tcPr>
            <w:tcW w:w="1459" w:type="dxa"/>
            <w:noWrap w:val="0"/>
            <w:vAlign w:val="center"/>
          </w:tcPr>
          <w:p w14:paraId="31727C8F">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0A298EAB">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b w:val="0"/>
                <w:bCs/>
                <w:color w:val="auto"/>
                <w:sz w:val="21"/>
                <w:szCs w:val="21"/>
                <w:lang w:val="en-US" w:eastAsia="zh-CN"/>
              </w:rPr>
            </w:pPr>
            <w:r>
              <w:rPr>
                <w:rFonts w:hint="eastAsia" w:cs="Times New Roman"/>
                <w:color w:val="auto"/>
                <w:sz w:val="21"/>
                <w:szCs w:val="21"/>
                <w:lang w:val="en-US" w:eastAsia="zh-CN"/>
              </w:rPr>
              <w:t>10.0</w:t>
            </w:r>
          </w:p>
        </w:tc>
        <w:tc>
          <w:tcPr>
            <w:tcW w:w="1198" w:type="dxa"/>
            <w:noWrap w:val="0"/>
            <w:vAlign w:val="center"/>
          </w:tcPr>
          <w:p w14:paraId="25222831">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lang w:val="en-US" w:eastAsia="zh-CN"/>
              </w:rPr>
            </w:pPr>
            <w:r>
              <w:rPr>
                <w:rFonts w:hint="eastAsia" w:cs="Times New Roman"/>
                <w:color w:val="auto"/>
                <w:sz w:val="21"/>
                <w:szCs w:val="21"/>
                <w:lang w:val="en-US" w:eastAsia="zh-CN"/>
              </w:rPr>
              <w:t>+10.0</w:t>
            </w:r>
          </w:p>
        </w:tc>
      </w:tr>
      <w:tr w14:paraId="49767C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263" w:type="dxa"/>
            <w:vMerge w:val="continue"/>
            <w:noWrap w:val="0"/>
            <w:vAlign w:val="center"/>
          </w:tcPr>
          <w:p w14:paraId="54782491">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2017513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contextualSpacing/>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金属碎屑</w:t>
            </w:r>
          </w:p>
        </w:tc>
        <w:tc>
          <w:tcPr>
            <w:tcW w:w="1528" w:type="dxa"/>
            <w:noWrap w:val="0"/>
            <w:vAlign w:val="center"/>
          </w:tcPr>
          <w:p w14:paraId="1928BEE8">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081" w:type="dxa"/>
            <w:noWrap w:val="0"/>
            <w:vAlign w:val="center"/>
          </w:tcPr>
          <w:p w14:paraId="2E7211C4">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color w:val="auto"/>
                <w:sz w:val="21"/>
                <w:szCs w:val="21"/>
                <w:lang w:val="en-US" w:eastAsia="zh-CN"/>
              </w:rPr>
              <w:t>/</w:t>
            </w:r>
          </w:p>
        </w:tc>
        <w:tc>
          <w:tcPr>
            <w:tcW w:w="1669" w:type="dxa"/>
            <w:noWrap w:val="0"/>
            <w:vAlign w:val="center"/>
          </w:tcPr>
          <w:p w14:paraId="6F289E7C">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20666262">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b w:val="0"/>
                <w:bCs/>
                <w:color w:val="auto"/>
                <w:sz w:val="21"/>
                <w:szCs w:val="21"/>
                <w:lang w:eastAsia="zh-CN"/>
              </w:rPr>
            </w:pPr>
            <w:r>
              <w:rPr>
                <w:rFonts w:hint="eastAsia" w:cs="Times New Roman"/>
                <w:color w:val="auto"/>
                <w:sz w:val="21"/>
                <w:szCs w:val="21"/>
                <w:lang w:val="en-US" w:eastAsia="zh-CN"/>
              </w:rPr>
              <w:t>2.102</w:t>
            </w:r>
          </w:p>
        </w:tc>
        <w:tc>
          <w:tcPr>
            <w:tcW w:w="1459" w:type="dxa"/>
            <w:noWrap w:val="0"/>
            <w:vAlign w:val="center"/>
          </w:tcPr>
          <w:p w14:paraId="4423BD4D">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38CB9656">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rPr>
            </w:pPr>
            <w:r>
              <w:rPr>
                <w:rFonts w:hint="eastAsia" w:cs="Times New Roman"/>
                <w:color w:val="auto"/>
                <w:sz w:val="21"/>
                <w:szCs w:val="21"/>
                <w:lang w:val="en-US" w:eastAsia="zh-CN"/>
              </w:rPr>
              <w:t>2.102</w:t>
            </w:r>
          </w:p>
        </w:tc>
        <w:tc>
          <w:tcPr>
            <w:tcW w:w="1198" w:type="dxa"/>
            <w:noWrap w:val="0"/>
            <w:vAlign w:val="center"/>
          </w:tcPr>
          <w:p w14:paraId="5EB74BE9">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rPr>
            </w:pPr>
            <w:r>
              <w:rPr>
                <w:rFonts w:hint="eastAsia" w:cs="Times New Roman"/>
                <w:color w:val="auto"/>
                <w:sz w:val="21"/>
                <w:szCs w:val="21"/>
                <w:lang w:val="en-US" w:eastAsia="zh-CN"/>
              </w:rPr>
              <w:t>+2.102</w:t>
            </w:r>
          </w:p>
        </w:tc>
      </w:tr>
      <w:tr w14:paraId="5BD1EC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2C7ACA44">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76" w:type="dxa"/>
            <w:gridSpan w:val="2"/>
            <w:noWrap w:val="0"/>
            <w:vAlign w:val="center"/>
          </w:tcPr>
          <w:p w14:paraId="596C329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contextualSpacing/>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金属边角料</w:t>
            </w:r>
          </w:p>
        </w:tc>
        <w:tc>
          <w:tcPr>
            <w:tcW w:w="0" w:type="auto"/>
            <w:noWrap w:val="0"/>
            <w:vAlign w:val="center"/>
          </w:tcPr>
          <w:p w14:paraId="1C7FCBEB">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color w:val="auto"/>
              </w:rPr>
            </w:pPr>
          </w:p>
        </w:tc>
        <w:tc>
          <w:tcPr>
            <w:tcW w:w="1528" w:type="dxa"/>
            <w:noWrap w:val="0"/>
            <w:vAlign w:val="center"/>
          </w:tcPr>
          <w:p w14:paraId="7F28B81C">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081" w:type="dxa"/>
            <w:noWrap w:val="0"/>
            <w:vAlign w:val="center"/>
          </w:tcPr>
          <w:p w14:paraId="111D523C">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color w:val="auto"/>
                <w:sz w:val="21"/>
                <w:szCs w:val="21"/>
                <w:lang w:val="en-US" w:eastAsia="zh-CN"/>
              </w:rPr>
              <w:t>/</w:t>
            </w:r>
          </w:p>
        </w:tc>
        <w:tc>
          <w:tcPr>
            <w:tcW w:w="1669" w:type="dxa"/>
            <w:noWrap w:val="0"/>
            <w:vAlign w:val="center"/>
          </w:tcPr>
          <w:p w14:paraId="711892C4">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25EEA09D">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rPr>
            </w:pPr>
            <w:r>
              <w:rPr>
                <w:rFonts w:hint="eastAsia" w:cs="Times New Roman"/>
                <w:color w:val="auto"/>
                <w:sz w:val="21"/>
                <w:szCs w:val="21"/>
                <w:lang w:val="en-US" w:eastAsia="zh-CN"/>
              </w:rPr>
              <w:t>15.0</w:t>
            </w:r>
          </w:p>
        </w:tc>
        <w:tc>
          <w:tcPr>
            <w:tcW w:w="1459" w:type="dxa"/>
            <w:noWrap w:val="0"/>
            <w:vAlign w:val="center"/>
          </w:tcPr>
          <w:p w14:paraId="2165C0D6">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2F28B2A8">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rPr>
            </w:pPr>
            <w:r>
              <w:rPr>
                <w:rFonts w:hint="eastAsia" w:cs="Times New Roman"/>
                <w:color w:val="auto"/>
                <w:sz w:val="21"/>
                <w:szCs w:val="21"/>
                <w:lang w:val="en-US" w:eastAsia="zh-CN"/>
              </w:rPr>
              <w:t>15.0</w:t>
            </w:r>
          </w:p>
        </w:tc>
        <w:tc>
          <w:tcPr>
            <w:tcW w:w="1198" w:type="dxa"/>
            <w:noWrap w:val="0"/>
            <w:vAlign w:val="center"/>
          </w:tcPr>
          <w:p w14:paraId="399769CE">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rPr>
            </w:pPr>
            <w:r>
              <w:rPr>
                <w:rFonts w:hint="eastAsia" w:cs="Times New Roman"/>
                <w:color w:val="auto"/>
                <w:sz w:val="21"/>
                <w:szCs w:val="21"/>
                <w:lang w:val="en-US" w:eastAsia="zh-CN"/>
              </w:rPr>
              <w:t>+15.0</w:t>
            </w:r>
          </w:p>
        </w:tc>
      </w:tr>
      <w:tr w14:paraId="07D2DA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06AB2A34">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0A32FB6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contextualSpacing/>
              <w:jc w:val="center"/>
              <w:textAlignment w:val="auto"/>
              <w:rPr>
                <w:rFonts w:hint="default" w:ascii="Times New Roman" w:hAnsi="Times New Roman" w:cs="Times New Roman"/>
                <w:color w:val="auto"/>
                <w:sz w:val="21"/>
                <w:szCs w:val="21"/>
              </w:rPr>
            </w:pPr>
            <w:r>
              <w:rPr>
                <w:rFonts w:hint="default" w:ascii="Times New Roman" w:hAnsi="Times New Roman" w:eastAsia="宋体" w:cs="Times New Roman"/>
                <w:color w:val="auto"/>
                <w:sz w:val="21"/>
                <w:szCs w:val="21"/>
                <w:lang w:val="en-US" w:eastAsia="zh-CN"/>
              </w:rPr>
              <w:t>过滤金属碎屑</w:t>
            </w:r>
          </w:p>
        </w:tc>
        <w:tc>
          <w:tcPr>
            <w:tcW w:w="1528" w:type="dxa"/>
            <w:noWrap w:val="0"/>
            <w:vAlign w:val="center"/>
          </w:tcPr>
          <w:p w14:paraId="4A711A76">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081" w:type="dxa"/>
            <w:noWrap w:val="0"/>
            <w:vAlign w:val="center"/>
          </w:tcPr>
          <w:p w14:paraId="235EBDEB">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val="0"/>
                <w:color w:val="auto"/>
                <w:sz w:val="21"/>
                <w:szCs w:val="21"/>
              </w:rPr>
            </w:pPr>
            <w:r>
              <w:rPr>
                <w:rFonts w:hint="default" w:ascii="Times New Roman" w:hAnsi="Times New Roman" w:cs="Times New Roman"/>
                <w:color w:val="auto"/>
                <w:sz w:val="21"/>
                <w:szCs w:val="21"/>
                <w:lang w:val="en-US" w:eastAsia="zh-CN"/>
              </w:rPr>
              <w:t>/</w:t>
            </w:r>
          </w:p>
        </w:tc>
        <w:tc>
          <w:tcPr>
            <w:tcW w:w="1669" w:type="dxa"/>
            <w:noWrap w:val="0"/>
            <w:vAlign w:val="center"/>
          </w:tcPr>
          <w:p w14:paraId="47021575">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5876EC3E">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b w:val="0"/>
                <w:bCs/>
                <w:color w:val="auto"/>
                <w:sz w:val="21"/>
                <w:szCs w:val="21"/>
                <w:lang w:eastAsia="zh-CN"/>
              </w:rPr>
            </w:pPr>
            <w:r>
              <w:rPr>
                <w:rFonts w:hint="eastAsia" w:cs="Times New Roman"/>
                <w:color w:val="auto"/>
                <w:sz w:val="21"/>
                <w:szCs w:val="21"/>
                <w:lang w:val="en-US" w:eastAsia="zh-CN"/>
              </w:rPr>
              <w:t>3.0</w:t>
            </w:r>
          </w:p>
        </w:tc>
        <w:tc>
          <w:tcPr>
            <w:tcW w:w="1459" w:type="dxa"/>
            <w:noWrap w:val="0"/>
            <w:vAlign w:val="center"/>
          </w:tcPr>
          <w:p w14:paraId="65BAC26A">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7F60E855">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rPr>
            </w:pPr>
            <w:r>
              <w:rPr>
                <w:rFonts w:hint="eastAsia" w:cs="Times New Roman"/>
                <w:color w:val="auto"/>
                <w:sz w:val="21"/>
                <w:szCs w:val="21"/>
                <w:lang w:val="en-US" w:eastAsia="zh-CN"/>
              </w:rPr>
              <w:t>3.0</w:t>
            </w:r>
          </w:p>
        </w:tc>
        <w:tc>
          <w:tcPr>
            <w:tcW w:w="1198" w:type="dxa"/>
            <w:noWrap w:val="0"/>
            <w:vAlign w:val="center"/>
          </w:tcPr>
          <w:p w14:paraId="5ACD2B6C">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rPr>
            </w:pPr>
            <w:r>
              <w:rPr>
                <w:rFonts w:hint="eastAsia" w:cs="Times New Roman"/>
                <w:color w:val="auto"/>
                <w:sz w:val="21"/>
                <w:szCs w:val="21"/>
                <w:lang w:val="en-US" w:eastAsia="zh-CN"/>
              </w:rPr>
              <w:t>+3.0</w:t>
            </w:r>
          </w:p>
        </w:tc>
      </w:tr>
      <w:tr w14:paraId="1013CC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50887A26">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34EED65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contextualSpacing/>
              <w:jc w:val="center"/>
              <w:textAlignment w:val="auto"/>
              <w:rPr>
                <w:rFonts w:hint="default" w:ascii="Times New Roman" w:hAnsi="Times New Roman" w:cs="Times New Roman"/>
                <w:b w:val="0"/>
                <w:bCs/>
                <w:color w:val="auto"/>
                <w:sz w:val="21"/>
                <w:szCs w:val="21"/>
              </w:rPr>
            </w:pPr>
            <w:r>
              <w:rPr>
                <w:rFonts w:hint="eastAsia" w:cs="Times New Roman"/>
                <w:color w:val="auto"/>
                <w:sz w:val="21"/>
                <w:szCs w:val="21"/>
                <w:lang w:val="en-US" w:eastAsia="zh-CN"/>
              </w:rPr>
              <w:t>焊渣</w:t>
            </w:r>
          </w:p>
        </w:tc>
        <w:tc>
          <w:tcPr>
            <w:tcW w:w="1528" w:type="dxa"/>
            <w:noWrap w:val="0"/>
            <w:vAlign w:val="center"/>
          </w:tcPr>
          <w:p w14:paraId="4A0A511F">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color w:val="auto"/>
                <w:sz w:val="21"/>
                <w:szCs w:val="21"/>
                <w:lang w:val="en-US" w:eastAsia="zh-CN"/>
              </w:rPr>
              <w:t>/</w:t>
            </w:r>
          </w:p>
        </w:tc>
        <w:tc>
          <w:tcPr>
            <w:tcW w:w="1081" w:type="dxa"/>
            <w:noWrap w:val="0"/>
            <w:vAlign w:val="center"/>
          </w:tcPr>
          <w:p w14:paraId="0A35B9E8">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37C81EC8">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5438F7F5">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lang w:val="en-US" w:eastAsia="zh-CN"/>
              </w:rPr>
            </w:pPr>
            <w:r>
              <w:rPr>
                <w:rFonts w:hint="eastAsia" w:cs="Times New Roman"/>
                <w:color w:val="auto"/>
                <w:sz w:val="21"/>
                <w:szCs w:val="21"/>
                <w:lang w:val="en-US" w:eastAsia="zh-CN"/>
              </w:rPr>
              <w:t>3.25</w:t>
            </w:r>
          </w:p>
        </w:tc>
        <w:tc>
          <w:tcPr>
            <w:tcW w:w="1459" w:type="dxa"/>
            <w:noWrap w:val="0"/>
            <w:vAlign w:val="center"/>
          </w:tcPr>
          <w:p w14:paraId="5ECD1E18">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1A078C75">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lang w:val="en-US" w:eastAsia="zh-CN"/>
              </w:rPr>
            </w:pPr>
            <w:r>
              <w:rPr>
                <w:rFonts w:hint="eastAsia" w:cs="Times New Roman"/>
                <w:color w:val="auto"/>
                <w:sz w:val="21"/>
                <w:szCs w:val="21"/>
                <w:lang w:val="en-US" w:eastAsia="zh-CN"/>
              </w:rPr>
              <w:t>3.25</w:t>
            </w:r>
          </w:p>
        </w:tc>
        <w:tc>
          <w:tcPr>
            <w:tcW w:w="1198" w:type="dxa"/>
            <w:noWrap w:val="0"/>
            <w:vAlign w:val="center"/>
          </w:tcPr>
          <w:p w14:paraId="5907A9A9">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lang w:val="en-US" w:eastAsia="zh-CN"/>
              </w:rPr>
            </w:pPr>
            <w:r>
              <w:rPr>
                <w:rFonts w:hint="eastAsia" w:cs="Times New Roman"/>
                <w:color w:val="auto"/>
                <w:sz w:val="21"/>
                <w:szCs w:val="21"/>
                <w:lang w:val="en-US" w:eastAsia="zh-CN"/>
              </w:rPr>
              <w:t>+3.25</w:t>
            </w:r>
          </w:p>
        </w:tc>
      </w:tr>
      <w:tr w14:paraId="53F3EE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37D486D2">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1F5555C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sz w:val="21"/>
                <w:szCs w:val="21"/>
                <w:lang w:val="en-US" w:eastAsia="zh-CN"/>
              </w:rPr>
            </w:pPr>
            <w:r>
              <w:rPr>
                <w:rFonts w:hint="default"/>
                <w:color w:val="auto"/>
                <w:lang w:eastAsia="zh-CN"/>
              </w:rPr>
              <w:t>布袋除尘器收集</w:t>
            </w:r>
            <w:r>
              <w:rPr>
                <w:rFonts w:hint="eastAsia"/>
                <w:color w:val="auto"/>
                <w:lang w:val="en-US" w:eastAsia="zh-CN"/>
              </w:rPr>
              <w:t>激光、锯床切割</w:t>
            </w:r>
            <w:r>
              <w:rPr>
                <w:rFonts w:hint="default"/>
                <w:color w:val="auto"/>
                <w:lang w:val="en-US" w:eastAsia="zh-CN"/>
              </w:rPr>
              <w:t>粉尘</w:t>
            </w:r>
          </w:p>
        </w:tc>
        <w:tc>
          <w:tcPr>
            <w:tcW w:w="1528" w:type="dxa"/>
            <w:noWrap w:val="0"/>
            <w:vAlign w:val="center"/>
          </w:tcPr>
          <w:p w14:paraId="4C43B11B">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32F128BB">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2A461628">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522CCAC3">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lang w:val="en-US" w:eastAsia="zh-CN"/>
              </w:rPr>
            </w:pPr>
            <w:r>
              <w:rPr>
                <w:rFonts w:hint="eastAsia" w:cs="Times New Roman"/>
                <w:color w:val="auto"/>
                <w:sz w:val="21"/>
                <w:szCs w:val="21"/>
                <w:lang w:val="en-US" w:eastAsia="zh-CN"/>
              </w:rPr>
              <w:t>9.13</w:t>
            </w:r>
          </w:p>
        </w:tc>
        <w:tc>
          <w:tcPr>
            <w:tcW w:w="1459" w:type="dxa"/>
            <w:noWrap w:val="0"/>
            <w:vAlign w:val="center"/>
          </w:tcPr>
          <w:p w14:paraId="0B66064A">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6E17E901">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lang w:val="en-US" w:eastAsia="zh-CN"/>
              </w:rPr>
            </w:pPr>
            <w:r>
              <w:rPr>
                <w:rFonts w:hint="eastAsia" w:cs="Times New Roman"/>
                <w:color w:val="auto"/>
                <w:sz w:val="21"/>
                <w:szCs w:val="21"/>
                <w:lang w:val="en-US" w:eastAsia="zh-CN"/>
              </w:rPr>
              <w:t>9.13</w:t>
            </w:r>
          </w:p>
        </w:tc>
        <w:tc>
          <w:tcPr>
            <w:tcW w:w="1198" w:type="dxa"/>
            <w:noWrap w:val="0"/>
            <w:vAlign w:val="center"/>
          </w:tcPr>
          <w:p w14:paraId="0971BD66">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b w:val="0"/>
                <w:bCs/>
                <w:color w:val="auto"/>
                <w:sz w:val="21"/>
                <w:szCs w:val="21"/>
                <w:lang w:val="en-US" w:eastAsia="zh-CN"/>
              </w:rPr>
            </w:pPr>
            <w:r>
              <w:rPr>
                <w:rFonts w:hint="eastAsia" w:cs="Times New Roman"/>
                <w:color w:val="auto"/>
                <w:sz w:val="21"/>
                <w:szCs w:val="21"/>
                <w:lang w:val="en-US" w:eastAsia="zh-CN"/>
              </w:rPr>
              <w:t>+9.13</w:t>
            </w:r>
          </w:p>
        </w:tc>
      </w:tr>
      <w:tr w14:paraId="1A2EAF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70A45A74">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7BF9090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处理激光、锯床切割废气废布袋</w:t>
            </w:r>
          </w:p>
        </w:tc>
        <w:tc>
          <w:tcPr>
            <w:tcW w:w="1528" w:type="dxa"/>
            <w:noWrap w:val="0"/>
            <w:vAlign w:val="center"/>
          </w:tcPr>
          <w:p w14:paraId="08CD8FE6">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w:t>
            </w:r>
          </w:p>
        </w:tc>
        <w:tc>
          <w:tcPr>
            <w:tcW w:w="1081" w:type="dxa"/>
            <w:noWrap w:val="0"/>
            <w:vAlign w:val="center"/>
          </w:tcPr>
          <w:p w14:paraId="10A3625E">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w:t>
            </w:r>
          </w:p>
        </w:tc>
        <w:tc>
          <w:tcPr>
            <w:tcW w:w="1669" w:type="dxa"/>
            <w:noWrap w:val="0"/>
            <w:vAlign w:val="center"/>
          </w:tcPr>
          <w:p w14:paraId="280C8CBC">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w:t>
            </w:r>
          </w:p>
        </w:tc>
        <w:tc>
          <w:tcPr>
            <w:tcW w:w="1581" w:type="dxa"/>
            <w:noWrap w:val="0"/>
            <w:vAlign w:val="center"/>
          </w:tcPr>
          <w:p w14:paraId="6D6596BD">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0.015</w:t>
            </w:r>
          </w:p>
        </w:tc>
        <w:tc>
          <w:tcPr>
            <w:tcW w:w="1459" w:type="dxa"/>
            <w:noWrap w:val="0"/>
            <w:vAlign w:val="center"/>
          </w:tcPr>
          <w:p w14:paraId="7F30A79F">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w:t>
            </w:r>
          </w:p>
        </w:tc>
        <w:tc>
          <w:tcPr>
            <w:tcW w:w="2257" w:type="dxa"/>
            <w:noWrap w:val="0"/>
            <w:vAlign w:val="center"/>
          </w:tcPr>
          <w:p w14:paraId="76AF24C2">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0.015</w:t>
            </w:r>
          </w:p>
        </w:tc>
        <w:tc>
          <w:tcPr>
            <w:tcW w:w="1198" w:type="dxa"/>
            <w:noWrap w:val="0"/>
            <w:vAlign w:val="center"/>
          </w:tcPr>
          <w:p w14:paraId="16CD7DE6">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+0.015</w:t>
            </w:r>
          </w:p>
        </w:tc>
      </w:tr>
      <w:tr w14:paraId="228C04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5E170DBE">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4FE4E50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contextualSpacing/>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废气瓶</w:t>
            </w:r>
          </w:p>
        </w:tc>
        <w:tc>
          <w:tcPr>
            <w:tcW w:w="1528" w:type="dxa"/>
            <w:noWrap w:val="0"/>
            <w:vAlign w:val="center"/>
          </w:tcPr>
          <w:p w14:paraId="1D79ED20">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s="Times New Roman"/>
                <w:color w:val="auto"/>
                <w:sz w:val="21"/>
                <w:szCs w:val="21"/>
                <w:lang w:val="en-US" w:eastAsia="zh-CN"/>
              </w:rPr>
            </w:pPr>
          </w:p>
        </w:tc>
        <w:tc>
          <w:tcPr>
            <w:tcW w:w="1081" w:type="dxa"/>
            <w:noWrap w:val="0"/>
            <w:vAlign w:val="center"/>
          </w:tcPr>
          <w:p w14:paraId="03188468">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s="Times New Roman"/>
                <w:color w:val="auto"/>
                <w:sz w:val="21"/>
                <w:szCs w:val="21"/>
                <w:lang w:val="en-US" w:eastAsia="zh-CN"/>
              </w:rPr>
            </w:pPr>
          </w:p>
        </w:tc>
        <w:tc>
          <w:tcPr>
            <w:tcW w:w="1669" w:type="dxa"/>
            <w:noWrap w:val="0"/>
            <w:vAlign w:val="center"/>
          </w:tcPr>
          <w:p w14:paraId="04B79F93">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s="Times New Roman"/>
                <w:color w:val="auto"/>
                <w:sz w:val="21"/>
                <w:szCs w:val="21"/>
                <w:lang w:val="en-US" w:eastAsia="zh-CN"/>
              </w:rPr>
            </w:pPr>
          </w:p>
        </w:tc>
        <w:tc>
          <w:tcPr>
            <w:tcW w:w="1581" w:type="dxa"/>
            <w:noWrap w:val="0"/>
            <w:vAlign w:val="center"/>
          </w:tcPr>
          <w:p w14:paraId="56608506">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2.4</w:t>
            </w:r>
          </w:p>
        </w:tc>
        <w:tc>
          <w:tcPr>
            <w:tcW w:w="1459" w:type="dxa"/>
            <w:noWrap w:val="0"/>
            <w:vAlign w:val="center"/>
          </w:tcPr>
          <w:p w14:paraId="46CAF5DB">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s="Times New Roman"/>
                <w:b w:val="0"/>
                <w:bCs/>
                <w:color w:val="auto"/>
                <w:sz w:val="21"/>
                <w:szCs w:val="21"/>
                <w:lang w:val="en-US" w:eastAsia="zh-CN"/>
              </w:rPr>
            </w:pPr>
          </w:p>
        </w:tc>
        <w:tc>
          <w:tcPr>
            <w:tcW w:w="2257" w:type="dxa"/>
            <w:noWrap w:val="0"/>
            <w:vAlign w:val="center"/>
          </w:tcPr>
          <w:p w14:paraId="33D1DECB">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2.4</w:t>
            </w:r>
          </w:p>
        </w:tc>
        <w:tc>
          <w:tcPr>
            <w:tcW w:w="1198" w:type="dxa"/>
            <w:noWrap w:val="0"/>
            <w:vAlign w:val="center"/>
          </w:tcPr>
          <w:p w14:paraId="339BB3C0">
            <w:pPr>
              <w:keepNext w:val="0"/>
              <w:keepLines w:val="0"/>
              <w:pageBreakBefore w:val="0"/>
              <w:widowControl w:val="0"/>
              <w:kinsoku/>
              <w:wordWrap/>
              <w:overflowPunct/>
              <w:topLinePunct w:val="0"/>
              <w:autoSpaceDE/>
              <w:autoSpaceDN/>
              <w:bidi w:val="0"/>
              <w:adjustRightInd/>
              <w:snapToGrid/>
              <w:spacing w:line="240" w:lineRule="auto"/>
              <w:ind w:firstLine="0" w:firstLineChars="0"/>
              <w:contextualSpacing/>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+2.4</w:t>
            </w:r>
          </w:p>
        </w:tc>
      </w:tr>
      <w:tr w14:paraId="6A657B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restart"/>
            <w:noWrap w:val="0"/>
            <w:vAlign w:val="center"/>
          </w:tcPr>
          <w:p w14:paraId="7F0FA493">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危险废物</w:t>
            </w:r>
          </w:p>
        </w:tc>
        <w:tc>
          <w:tcPr>
            <w:tcW w:w="2580" w:type="dxa"/>
            <w:gridSpan w:val="3"/>
            <w:noWrap w:val="0"/>
            <w:vAlign w:val="center"/>
          </w:tcPr>
          <w:p w14:paraId="1ECBB239">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eastAsia="zh-CN"/>
              </w:rPr>
            </w:pPr>
            <w:r>
              <w:rPr>
                <w:rFonts w:hint="eastAsia" w:ascii="Times New Roman" w:hAnsi="Times New Roman" w:cs="Times New Roman"/>
                <w:b w:val="0"/>
                <w:bCs/>
                <w:color w:val="auto"/>
                <w:sz w:val="21"/>
                <w:szCs w:val="21"/>
                <w:lang w:val="en-US" w:eastAsia="zh-CN"/>
              </w:rPr>
              <w:t>机加工更换废液</w:t>
            </w:r>
          </w:p>
        </w:tc>
        <w:tc>
          <w:tcPr>
            <w:tcW w:w="1528" w:type="dxa"/>
            <w:noWrap w:val="0"/>
            <w:vAlign w:val="center"/>
          </w:tcPr>
          <w:p w14:paraId="1C9E337D">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p>
        </w:tc>
        <w:tc>
          <w:tcPr>
            <w:tcW w:w="1081" w:type="dxa"/>
            <w:noWrap w:val="0"/>
            <w:vAlign w:val="center"/>
          </w:tcPr>
          <w:p w14:paraId="338AFBAD">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43A465EB">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7D61D8E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lang w:val="en-US" w:eastAsia="zh-CN"/>
              </w:rPr>
              <w:t>0.4</w:t>
            </w:r>
          </w:p>
        </w:tc>
        <w:tc>
          <w:tcPr>
            <w:tcW w:w="1459" w:type="dxa"/>
            <w:noWrap w:val="0"/>
            <w:vAlign w:val="center"/>
          </w:tcPr>
          <w:p w14:paraId="01CF598E">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4900CFB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lang w:val="en-US" w:eastAsia="zh-CN"/>
              </w:rPr>
              <w:t>0.4</w:t>
            </w:r>
          </w:p>
        </w:tc>
        <w:tc>
          <w:tcPr>
            <w:tcW w:w="1198" w:type="dxa"/>
            <w:noWrap w:val="0"/>
            <w:vAlign w:val="center"/>
          </w:tcPr>
          <w:p w14:paraId="06A7903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lang w:val="en-US" w:eastAsia="zh-CN"/>
              </w:rPr>
              <w:t>+0.4</w:t>
            </w:r>
          </w:p>
        </w:tc>
      </w:tr>
      <w:tr w14:paraId="117C59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32C5733D">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293A8929">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b w:val="0"/>
                <w:bCs/>
                <w:color w:val="auto"/>
                <w:sz w:val="21"/>
                <w:szCs w:val="21"/>
                <w:lang w:val="en-US" w:eastAsia="zh-CN"/>
              </w:rPr>
              <w:t>废水性丙烯酸面漆桶</w:t>
            </w:r>
          </w:p>
        </w:tc>
        <w:tc>
          <w:tcPr>
            <w:tcW w:w="1528" w:type="dxa"/>
            <w:noWrap w:val="0"/>
            <w:vAlign w:val="center"/>
          </w:tcPr>
          <w:p w14:paraId="1651FEDD">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3134089C">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7EE0993E">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30144C87">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lang w:val="en-US" w:eastAsia="zh-CN"/>
              </w:rPr>
              <w:t>0.443</w:t>
            </w:r>
          </w:p>
        </w:tc>
        <w:tc>
          <w:tcPr>
            <w:tcW w:w="1459" w:type="dxa"/>
            <w:noWrap w:val="0"/>
            <w:vAlign w:val="center"/>
          </w:tcPr>
          <w:p w14:paraId="7B06F953">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458640AD">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lang w:val="en-US" w:eastAsia="zh-CN"/>
              </w:rPr>
              <w:t>0.443</w:t>
            </w:r>
          </w:p>
        </w:tc>
        <w:tc>
          <w:tcPr>
            <w:tcW w:w="1198" w:type="dxa"/>
            <w:noWrap w:val="0"/>
            <w:vAlign w:val="center"/>
          </w:tcPr>
          <w:p w14:paraId="1E81DC9B">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lang w:val="en-US" w:eastAsia="zh-CN"/>
              </w:rPr>
              <w:t>+0.443</w:t>
            </w:r>
          </w:p>
        </w:tc>
      </w:tr>
      <w:tr w14:paraId="4C5DB8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326BA2DF">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cs="Times New Roman"/>
                <w:color w:val="auto"/>
                <w:sz w:val="21"/>
                <w:szCs w:val="21"/>
                <w:lang w:val="en-US" w:eastAsia="zh-CN"/>
              </w:rPr>
            </w:pPr>
          </w:p>
        </w:tc>
        <w:tc>
          <w:tcPr>
            <w:tcW w:w="2580" w:type="dxa"/>
            <w:gridSpan w:val="3"/>
            <w:noWrap w:val="0"/>
            <w:vAlign w:val="center"/>
          </w:tcPr>
          <w:p w14:paraId="03EBADF5">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cs="Times New Roman"/>
                <w:b w:val="0"/>
                <w:bCs/>
                <w:color w:val="auto"/>
                <w:szCs w:val="21"/>
                <w:lang w:val="en-US" w:eastAsia="zh-CN"/>
              </w:rPr>
              <w:t>漆渣</w:t>
            </w:r>
          </w:p>
        </w:tc>
        <w:tc>
          <w:tcPr>
            <w:tcW w:w="1528" w:type="dxa"/>
            <w:noWrap w:val="0"/>
            <w:vAlign w:val="center"/>
          </w:tcPr>
          <w:p w14:paraId="4D679139">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1081" w:type="dxa"/>
            <w:noWrap w:val="0"/>
            <w:vAlign w:val="center"/>
          </w:tcPr>
          <w:p w14:paraId="290BA381">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1669" w:type="dxa"/>
            <w:noWrap w:val="0"/>
            <w:vAlign w:val="center"/>
          </w:tcPr>
          <w:p w14:paraId="417AF926">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288E311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sz w:val="21"/>
                <w:szCs w:val="21"/>
                <w:lang w:val="en-US" w:eastAsia="zh-CN"/>
              </w:rPr>
              <w:t>0.2463</w:t>
            </w:r>
          </w:p>
        </w:tc>
        <w:tc>
          <w:tcPr>
            <w:tcW w:w="1459" w:type="dxa"/>
            <w:noWrap w:val="0"/>
            <w:vAlign w:val="center"/>
          </w:tcPr>
          <w:p w14:paraId="5BA71B4F">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08F369D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sz w:val="21"/>
                <w:szCs w:val="21"/>
                <w:lang w:val="en-US" w:eastAsia="zh-CN"/>
              </w:rPr>
              <w:t>0.2463</w:t>
            </w:r>
          </w:p>
        </w:tc>
        <w:tc>
          <w:tcPr>
            <w:tcW w:w="1198" w:type="dxa"/>
            <w:noWrap w:val="0"/>
            <w:vAlign w:val="center"/>
          </w:tcPr>
          <w:p w14:paraId="260FBDA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sz w:val="21"/>
                <w:szCs w:val="21"/>
                <w:lang w:val="en-US" w:eastAsia="zh-CN"/>
              </w:rPr>
              <w:t>+0.2463</w:t>
            </w:r>
          </w:p>
        </w:tc>
      </w:tr>
      <w:tr w14:paraId="6F1BA6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77BD090E">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2334E17B">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sz w:val="21"/>
                <w:szCs w:val="21"/>
              </w:rPr>
            </w:pPr>
            <w:r>
              <w:rPr>
                <w:rFonts w:hint="eastAsia" w:cs="Times New Roman"/>
                <w:b w:val="0"/>
                <w:bCs/>
                <w:color w:val="auto"/>
                <w:szCs w:val="21"/>
                <w:lang w:val="en-US" w:eastAsia="zh-CN"/>
              </w:rPr>
              <w:t>喷枪清洗废液</w:t>
            </w:r>
          </w:p>
        </w:tc>
        <w:tc>
          <w:tcPr>
            <w:tcW w:w="1528" w:type="dxa"/>
            <w:noWrap w:val="0"/>
            <w:vAlign w:val="center"/>
          </w:tcPr>
          <w:p w14:paraId="04EAB79B">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7655A98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04BD232E">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01F98FC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sz w:val="21"/>
                <w:szCs w:val="21"/>
                <w:lang w:val="en-US" w:eastAsia="zh-CN"/>
              </w:rPr>
              <w:t>0.75</w:t>
            </w:r>
          </w:p>
        </w:tc>
        <w:tc>
          <w:tcPr>
            <w:tcW w:w="1459" w:type="dxa"/>
            <w:noWrap w:val="0"/>
            <w:vAlign w:val="center"/>
          </w:tcPr>
          <w:p w14:paraId="20973F20">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6AB551C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sz w:val="21"/>
                <w:szCs w:val="21"/>
                <w:lang w:val="en-US" w:eastAsia="zh-CN"/>
              </w:rPr>
              <w:t>0.75</w:t>
            </w:r>
          </w:p>
        </w:tc>
        <w:tc>
          <w:tcPr>
            <w:tcW w:w="1198" w:type="dxa"/>
            <w:noWrap w:val="0"/>
            <w:vAlign w:val="center"/>
          </w:tcPr>
          <w:p w14:paraId="6868509A">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val="0"/>
                <w:color w:val="auto"/>
                <w:sz w:val="21"/>
                <w:szCs w:val="21"/>
                <w:lang w:val="en-US" w:eastAsia="zh-CN"/>
              </w:rPr>
              <w:t>+0.75</w:t>
            </w:r>
          </w:p>
        </w:tc>
      </w:tr>
      <w:tr w14:paraId="1B213C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20AACA72">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7AB2F5F8">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b w:val="0"/>
                <w:bCs/>
                <w:color w:val="auto"/>
                <w:lang w:val="en-US" w:eastAsia="zh-CN"/>
              </w:rPr>
              <w:t>废润滑油和废润滑油桶</w:t>
            </w:r>
          </w:p>
        </w:tc>
        <w:tc>
          <w:tcPr>
            <w:tcW w:w="1528" w:type="dxa"/>
            <w:noWrap w:val="0"/>
            <w:vAlign w:val="center"/>
          </w:tcPr>
          <w:p w14:paraId="086B3D2A">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6E904725">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6B9BA350">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489A2D9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auto"/>
                <w:kern w:val="2"/>
                <w:sz w:val="21"/>
                <w:szCs w:val="21"/>
                <w:vertAlign w:val="baseline"/>
                <w:lang w:val="en-US" w:eastAsia="zh-CN" w:bidi="ar-SA"/>
              </w:rPr>
            </w:pPr>
            <w:r>
              <w:rPr>
                <w:rFonts w:hint="eastAsia" w:ascii="Times New Roman" w:hAnsi="Times New Roman" w:cs="Times New Roman"/>
                <w:b w:val="0"/>
                <w:bCs/>
                <w:color w:val="auto"/>
                <w:sz w:val="21"/>
                <w:szCs w:val="21"/>
                <w:lang w:val="en-US" w:eastAsia="zh-CN"/>
              </w:rPr>
              <w:t>0.025</w:t>
            </w:r>
          </w:p>
        </w:tc>
        <w:tc>
          <w:tcPr>
            <w:tcW w:w="1459" w:type="dxa"/>
            <w:noWrap w:val="0"/>
            <w:vAlign w:val="center"/>
          </w:tcPr>
          <w:p w14:paraId="49A01AEA">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14DCEB5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0.025</w:t>
            </w:r>
          </w:p>
        </w:tc>
        <w:tc>
          <w:tcPr>
            <w:tcW w:w="1198" w:type="dxa"/>
            <w:noWrap w:val="0"/>
            <w:vAlign w:val="center"/>
          </w:tcPr>
          <w:p w14:paraId="6FD87A6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+0.025</w:t>
            </w:r>
          </w:p>
        </w:tc>
      </w:tr>
      <w:tr w14:paraId="14F8F6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46A89E62">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660363EC">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lang w:val="en-US" w:eastAsia="zh-CN"/>
              </w:rPr>
              <w:t>含油抹布手套</w:t>
            </w:r>
          </w:p>
        </w:tc>
        <w:tc>
          <w:tcPr>
            <w:tcW w:w="1528" w:type="dxa"/>
            <w:noWrap w:val="0"/>
            <w:vAlign w:val="center"/>
          </w:tcPr>
          <w:p w14:paraId="462DC61A">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2491CE35">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5C07FCF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30A002E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color w:val="auto"/>
                <w:sz w:val="21"/>
                <w:szCs w:val="21"/>
                <w:lang w:val="en-US" w:eastAsia="zh-CN"/>
              </w:rPr>
              <w:t>0.0</w:t>
            </w:r>
            <w:r>
              <w:rPr>
                <w:rFonts w:hint="eastAsia" w:ascii="Times New Roman" w:hAnsi="Times New Roman" w:cs="Times New Roman"/>
                <w:color w:val="auto"/>
                <w:sz w:val="21"/>
                <w:szCs w:val="21"/>
                <w:lang w:val="en-US" w:eastAsia="zh-CN"/>
              </w:rPr>
              <w:t>05</w:t>
            </w:r>
          </w:p>
        </w:tc>
        <w:tc>
          <w:tcPr>
            <w:tcW w:w="1459" w:type="dxa"/>
            <w:noWrap w:val="0"/>
            <w:vAlign w:val="center"/>
          </w:tcPr>
          <w:p w14:paraId="48D69E1D">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62D84AA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color w:val="auto"/>
                <w:sz w:val="21"/>
                <w:szCs w:val="21"/>
                <w:lang w:val="en-US" w:eastAsia="zh-CN"/>
              </w:rPr>
              <w:t>0.0</w:t>
            </w:r>
            <w:r>
              <w:rPr>
                <w:rFonts w:hint="eastAsia" w:ascii="Times New Roman" w:hAnsi="Times New Roman" w:cs="Times New Roman"/>
                <w:color w:val="auto"/>
                <w:sz w:val="21"/>
                <w:szCs w:val="21"/>
                <w:lang w:val="en-US" w:eastAsia="zh-CN"/>
              </w:rPr>
              <w:t>05</w:t>
            </w:r>
          </w:p>
        </w:tc>
        <w:tc>
          <w:tcPr>
            <w:tcW w:w="1198" w:type="dxa"/>
            <w:noWrap w:val="0"/>
            <w:vAlign w:val="center"/>
          </w:tcPr>
          <w:p w14:paraId="3AE17055">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0.0</w:t>
            </w:r>
            <w:r>
              <w:rPr>
                <w:rFonts w:hint="eastAsia" w:ascii="Times New Roman" w:hAnsi="Times New Roman" w:cs="Times New Roman"/>
                <w:color w:val="auto"/>
                <w:sz w:val="21"/>
                <w:szCs w:val="21"/>
                <w:lang w:val="en-US" w:eastAsia="zh-CN"/>
              </w:rPr>
              <w:t>05</w:t>
            </w:r>
          </w:p>
        </w:tc>
      </w:tr>
      <w:tr w14:paraId="6F8556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7DD8DB46">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13277106">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eastAsia="zh-CN"/>
              </w:rPr>
            </w:pPr>
            <w:r>
              <w:rPr>
                <w:rFonts w:hint="default" w:ascii="Times New Roman" w:hAnsi="Times New Roman" w:cs="Times New Roman"/>
                <w:b w:val="0"/>
                <w:bCs w:val="0"/>
                <w:color w:val="auto"/>
                <w:lang w:eastAsia="zh-CN"/>
              </w:rPr>
              <w:t>废</w:t>
            </w:r>
            <w:r>
              <w:rPr>
                <w:rFonts w:hint="eastAsia" w:ascii="Times New Roman" w:hAnsi="Times New Roman" w:cs="Times New Roman"/>
                <w:b w:val="0"/>
                <w:bCs w:val="0"/>
                <w:color w:val="auto"/>
                <w:lang w:val="en-US" w:eastAsia="zh-CN"/>
              </w:rPr>
              <w:t>滤芯</w:t>
            </w:r>
          </w:p>
        </w:tc>
        <w:tc>
          <w:tcPr>
            <w:tcW w:w="1528" w:type="dxa"/>
            <w:noWrap w:val="0"/>
            <w:vAlign w:val="center"/>
          </w:tcPr>
          <w:p w14:paraId="32D90CA5">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p>
        </w:tc>
        <w:tc>
          <w:tcPr>
            <w:tcW w:w="1081" w:type="dxa"/>
            <w:noWrap w:val="0"/>
            <w:vAlign w:val="center"/>
          </w:tcPr>
          <w:p w14:paraId="3CF1877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p>
        </w:tc>
        <w:tc>
          <w:tcPr>
            <w:tcW w:w="1669" w:type="dxa"/>
            <w:noWrap w:val="0"/>
            <w:vAlign w:val="center"/>
          </w:tcPr>
          <w:p w14:paraId="596EEE7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p>
        </w:tc>
        <w:tc>
          <w:tcPr>
            <w:tcW w:w="1581" w:type="dxa"/>
            <w:noWrap w:val="0"/>
            <w:vAlign w:val="center"/>
          </w:tcPr>
          <w:p w14:paraId="029D182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10.0033</w:t>
            </w:r>
          </w:p>
        </w:tc>
        <w:tc>
          <w:tcPr>
            <w:tcW w:w="1459" w:type="dxa"/>
            <w:noWrap w:val="0"/>
            <w:vAlign w:val="center"/>
          </w:tcPr>
          <w:p w14:paraId="1FC47139">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p>
        </w:tc>
        <w:tc>
          <w:tcPr>
            <w:tcW w:w="2257" w:type="dxa"/>
            <w:noWrap w:val="0"/>
            <w:vAlign w:val="center"/>
          </w:tcPr>
          <w:p w14:paraId="4374ADC0">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10.0033</w:t>
            </w:r>
          </w:p>
        </w:tc>
        <w:tc>
          <w:tcPr>
            <w:tcW w:w="1198" w:type="dxa"/>
            <w:noWrap w:val="0"/>
            <w:vAlign w:val="center"/>
          </w:tcPr>
          <w:p w14:paraId="4CF68594">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+10.0033</w:t>
            </w:r>
          </w:p>
        </w:tc>
      </w:tr>
      <w:tr w14:paraId="36DEA7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vMerge w:val="continue"/>
            <w:noWrap w:val="0"/>
            <w:vAlign w:val="center"/>
          </w:tcPr>
          <w:p w14:paraId="597A0CC7">
            <w:pPr>
              <w:pStyle w:val="11"/>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p>
        </w:tc>
        <w:tc>
          <w:tcPr>
            <w:tcW w:w="2580" w:type="dxa"/>
            <w:gridSpan w:val="3"/>
            <w:noWrap w:val="0"/>
            <w:vAlign w:val="center"/>
          </w:tcPr>
          <w:p w14:paraId="7757F0B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lang w:eastAsia="zh-CN"/>
              </w:rPr>
            </w:pPr>
            <w:r>
              <w:rPr>
                <w:rFonts w:hint="default" w:ascii="Times New Roman" w:hAnsi="Times New Roman" w:cs="Times New Roman"/>
                <w:b w:val="0"/>
                <w:bCs w:val="0"/>
                <w:color w:val="auto"/>
                <w:lang w:eastAsia="zh-CN"/>
              </w:rPr>
              <w:t>废活性炭</w:t>
            </w:r>
          </w:p>
        </w:tc>
        <w:tc>
          <w:tcPr>
            <w:tcW w:w="1528" w:type="dxa"/>
            <w:noWrap w:val="0"/>
            <w:vAlign w:val="center"/>
          </w:tcPr>
          <w:p w14:paraId="3E34F668">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p>
        </w:tc>
        <w:tc>
          <w:tcPr>
            <w:tcW w:w="1081" w:type="dxa"/>
            <w:noWrap w:val="0"/>
            <w:vAlign w:val="center"/>
          </w:tcPr>
          <w:p w14:paraId="4429C798">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p>
        </w:tc>
        <w:tc>
          <w:tcPr>
            <w:tcW w:w="1669" w:type="dxa"/>
            <w:noWrap w:val="0"/>
            <w:vAlign w:val="center"/>
          </w:tcPr>
          <w:p w14:paraId="2AF7C517">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p>
        </w:tc>
        <w:tc>
          <w:tcPr>
            <w:tcW w:w="1581" w:type="dxa"/>
            <w:noWrap w:val="0"/>
            <w:vAlign w:val="center"/>
          </w:tcPr>
          <w:p w14:paraId="427323F1">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5.982</w:t>
            </w:r>
          </w:p>
        </w:tc>
        <w:tc>
          <w:tcPr>
            <w:tcW w:w="1459" w:type="dxa"/>
            <w:noWrap w:val="0"/>
            <w:vAlign w:val="center"/>
          </w:tcPr>
          <w:p w14:paraId="74249140">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p>
        </w:tc>
        <w:tc>
          <w:tcPr>
            <w:tcW w:w="2257" w:type="dxa"/>
            <w:noWrap w:val="0"/>
            <w:vAlign w:val="center"/>
          </w:tcPr>
          <w:p w14:paraId="5631A99E">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5.982</w:t>
            </w:r>
          </w:p>
        </w:tc>
        <w:tc>
          <w:tcPr>
            <w:tcW w:w="1198" w:type="dxa"/>
            <w:noWrap w:val="0"/>
            <w:vAlign w:val="center"/>
          </w:tcPr>
          <w:p w14:paraId="7074A5C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+5.982</w:t>
            </w:r>
          </w:p>
        </w:tc>
      </w:tr>
      <w:tr w14:paraId="6C4954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3" w:type="dxa"/>
            <w:noWrap w:val="0"/>
            <w:vAlign w:val="center"/>
          </w:tcPr>
          <w:p w14:paraId="300D3D33">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b w:val="0"/>
                <w:bCs/>
                <w:color w:val="auto"/>
                <w:sz w:val="21"/>
                <w:szCs w:val="21"/>
              </w:rPr>
              <w:t>生活垃圾</w:t>
            </w:r>
          </w:p>
        </w:tc>
        <w:tc>
          <w:tcPr>
            <w:tcW w:w="2580" w:type="dxa"/>
            <w:gridSpan w:val="3"/>
            <w:noWrap w:val="0"/>
            <w:vAlign w:val="center"/>
          </w:tcPr>
          <w:p w14:paraId="2A339A27">
            <w:pPr>
              <w:pStyle w:val="37"/>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color w:val="auto"/>
                <w:sz w:val="21"/>
                <w:szCs w:val="21"/>
                <w:lang w:eastAsia="zh-CN"/>
              </w:rPr>
            </w:pPr>
            <w:r>
              <w:rPr>
                <w:rFonts w:hint="default" w:ascii="Times New Roman" w:hAnsi="Times New Roman" w:cs="Times New Roman"/>
                <w:b w:val="0"/>
                <w:bCs/>
                <w:color w:val="auto"/>
                <w:sz w:val="21"/>
                <w:szCs w:val="21"/>
              </w:rPr>
              <w:t>生活垃圾</w:t>
            </w:r>
          </w:p>
        </w:tc>
        <w:tc>
          <w:tcPr>
            <w:tcW w:w="1528" w:type="dxa"/>
            <w:noWrap w:val="0"/>
            <w:vAlign w:val="center"/>
          </w:tcPr>
          <w:p w14:paraId="670623D3">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081" w:type="dxa"/>
            <w:noWrap w:val="0"/>
            <w:vAlign w:val="center"/>
          </w:tcPr>
          <w:p w14:paraId="0C6B5A48">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color w:val="auto"/>
                <w:sz w:val="21"/>
                <w:szCs w:val="21"/>
                <w:lang w:val="en-US" w:eastAsia="zh-CN"/>
              </w:rPr>
              <w:t>/</w:t>
            </w:r>
          </w:p>
        </w:tc>
        <w:tc>
          <w:tcPr>
            <w:tcW w:w="1669" w:type="dxa"/>
            <w:noWrap w:val="0"/>
            <w:vAlign w:val="center"/>
          </w:tcPr>
          <w:p w14:paraId="48528F26">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581" w:type="dxa"/>
            <w:noWrap w:val="0"/>
            <w:vAlign w:val="center"/>
          </w:tcPr>
          <w:p w14:paraId="212616C3">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3.3</w:t>
            </w:r>
          </w:p>
        </w:tc>
        <w:tc>
          <w:tcPr>
            <w:tcW w:w="1459" w:type="dxa"/>
            <w:noWrap w:val="0"/>
            <w:vAlign w:val="center"/>
          </w:tcPr>
          <w:p w14:paraId="208D2182">
            <w:pPr>
              <w:pStyle w:val="11"/>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w:t>
            </w:r>
          </w:p>
        </w:tc>
        <w:tc>
          <w:tcPr>
            <w:tcW w:w="2257" w:type="dxa"/>
            <w:noWrap w:val="0"/>
            <w:vAlign w:val="center"/>
          </w:tcPr>
          <w:p w14:paraId="36B92AE2">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3.3</w:t>
            </w:r>
          </w:p>
        </w:tc>
        <w:tc>
          <w:tcPr>
            <w:tcW w:w="1198" w:type="dxa"/>
            <w:noWrap w:val="0"/>
            <w:vAlign w:val="center"/>
          </w:tcPr>
          <w:p w14:paraId="73B4A439">
            <w:pPr>
              <w:pStyle w:val="3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w:t>
            </w:r>
            <w:r>
              <w:rPr>
                <w:rFonts w:hint="default" w:ascii="Times New Roman" w:hAnsi="Times New Roman" w:cs="Times New Roman"/>
                <w:b w:val="0"/>
                <w:bCs/>
                <w:color w:val="auto"/>
                <w:sz w:val="21"/>
                <w:szCs w:val="21"/>
                <w:lang w:val="en-US" w:eastAsia="zh-CN"/>
              </w:rPr>
              <w:t>3.3</w:t>
            </w:r>
          </w:p>
        </w:tc>
      </w:tr>
    </w:tbl>
    <w:p w14:paraId="0EEBB41B">
      <w:pPr>
        <w:bidi w:val="0"/>
        <w:rPr>
          <w:rFonts w:hint="eastAsia"/>
          <w:color w:val="auto"/>
          <w:lang w:val="en-US" w:eastAsia="zh-CN"/>
        </w:rPr>
      </w:pPr>
      <w:r>
        <w:rPr>
          <w:rFonts w:hint="default" w:ascii="Times New Roman" w:hAnsi="Times New Roman" w:cs="Times New Roman"/>
          <w:color w:val="auto"/>
        </w:rPr>
        <w:t>注：</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 6 \* GB3 \* MERGEFORMAT </w:instrText>
      </w:r>
      <w:r>
        <w:rPr>
          <w:rFonts w:hint="default" w:ascii="Times New Roman" w:hAnsi="Times New Roman" w:cs="Times New Roman"/>
          <w:color w:val="auto"/>
        </w:rPr>
        <w:fldChar w:fldCharType="separate"/>
      </w:r>
      <w:r>
        <w:rPr>
          <w:rFonts w:hint="default" w:ascii="Times New Roman" w:hAnsi="Times New Roman" w:cs="Times New Roman"/>
          <w:color w:val="auto"/>
        </w:rPr>
        <w:t>⑥</w:t>
      </w:r>
      <w:r>
        <w:rPr>
          <w:rFonts w:hint="default" w:ascii="Times New Roman" w:hAnsi="Times New Roman" w:cs="Times New Roman"/>
          <w:color w:val="auto"/>
        </w:rPr>
        <w:fldChar w:fldCharType="end"/>
      </w:r>
      <w:r>
        <w:rPr>
          <w:rFonts w:hint="default" w:ascii="Times New Roman" w:hAnsi="Times New Roman" w:cs="Times New Roman"/>
          <w:color w:val="auto"/>
        </w:rPr>
        <w:t>=</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 1 \* GB3 \* MERGEFORMAT </w:instrText>
      </w:r>
      <w:r>
        <w:rPr>
          <w:rFonts w:hint="default" w:ascii="Times New Roman" w:hAnsi="Times New Roman" w:cs="Times New Roman"/>
          <w:color w:val="auto"/>
        </w:rPr>
        <w:fldChar w:fldCharType="separate"/>
      </w:r>
      <w:r>
        <w:rPr>
          <w:rFonts w:hint="default" w:ascii="Times New Roman" w:hAnsi="Times New Roman" w:cs="Times New Roman"/>
          <w:color w:val="auto"/>
        </w:rPr>
        <w:t>①</w:t>
      </w:r>
      <w:r>
        <w:rPr>
          <w:rFonts w:hint="default" w:ascii="Times New Roman" w:hAnsi="Times New Roman" w:cs="Times New Roman"/>
          <w:color w:val="auto"/>
        </w:rPr>
        <w:fldChar w:fldCharType="end"/>
      </w:r>
      <w:r>
        <w:rPr>
          <w:rFonts w:hint="default" w:ascii="Times New Roman" w:hAnsi="Times New Roman" w:cs="Times New Roman"/>
          <w:color w:val="auto"/>
        </w:rPr>
        <w:t>+</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 3 \* GB3 \* MERGEFORMAT </w:instrText>
      </w:r>
      <w:r>
        <w:rPr>
          <w:rFonts w:hint="default" w:ascii="Times New Roman" w:hAnsi="Times New Roman" w:cs="Times New Roman"/>
          <w:color w:val="auto"/>
        </w:rPr>
        <w:fldChar w:fldCharType="separate"/>
      </w:r>
      <w:r>
        <w:rPr>
          <w:rFonts w:hint="default" w:ascii="Times New Roman" w:hAnsi="Times New Roman" w:cs="Times New Roman"/>
          <w:color w:val="auto"/>
        </w:rPr>
        <w:t>③</w:t>
      </w:r>
      <w:r>
        <w:rPr>
          <w:rFonts w:hint="default" w:ascii="Times New Roman" w:hAnsi="Times New Roman" w:cs="Times New Roman"/>
          <w:color w:val="auto"/>
        </w:rPr>
        <w:fldChar w:fldCharType="end"/>
      </w:r>
      <w:r>
        <w:rPr>
          <w:rFonts w:hint="default" w:ascii="Times New Roman" w:hAnsi="Times New Roman" w:cs="Times New Roman"/>
          <w:color w:val="auto"/>
        </w:rPr>
        <w:t>+</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 4 \* GB3 \* MERGEFORMAT </w:instrText>
      </w:r>
      <w:r>
        <w:rPr>
          <w:rFonts w:hint="default" w:ascii="Times New Roman" w:hAnsi="Times New Roman" w:cs="Times New Roman"/>
          <w:color w:val="auto"/>
        </w:rPr>
        <w:fldChar w:fldCharType="separate"/>
      </w:r>
      <w:r>
        <w:rPr>
          <w:rFonts w:hint="default" w:ascii="Times New Roman" w:hAnsi="Times New Roman" w:cs="Times New Roman"/>
          <w:color w:val="auto"/>
        </w:rPr>
        <w:t>④</w:t>
      </w:r>
      <w:r>
        <w:rPr>
          <w:rFonts w:hint="default" w:ascii="Times New Roman" w:hAnsi="Times New Roman" w:cs="Times New Roman"/>
          <w:color w:val="auto"/>
        </w:rPr>
        <w:fldChar w:fldCharType="end"/>
      </w:r>
      <w:r>
        <w:rPr>
          <w:rFonts w:hint="default" w:ascii="Times New Roman" w:hAnsi="Times New Roman" w:cs="Times New Roman"/>
          <w:color w:val="auto"/>
        </w:rPr>
        <w:t>-</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 5 \* GB3 \* MERGEFORMAT </w:instrText>
      </w:r>
      <w:r>
        <w:rPr>
          <w:rFonts w:hint="default" w:ascii="Times New Roman" w:hAnsi="Times New Roman" w:cs="Times New Roman"/>
          <w:color w:val="auto"/>
        </w:rPr>
        <w:fldChar w:fldCharType="separate"/>
      </w:r>
      <w:r>
        <w:rPr>
          <w:rFonts w:hint="default" w:ascii="Times New Roman" w:hAnsi="Times New Roman" w:cs="Times New Roman"/>
          <w:color w:val="auto"/>
        </w:rPr>
        <w:t>⑤</w:t>
      </w:r>
      <w:r>
        <w:rPr>
          <w:rFonts w:hint="default" w:ascii="Times New Roman" w:hAnsi="Times New Roman" w:cs="Times New Roman"/>
          <w:color w:val="auto"/>
        </w:rPr>
        <w:fldChar w:fldCharType="end"/>
      </w:r>
      <w:r>
        <w:rPr>
          <w:rFonts w:hint="default" w:ascii="Times New Roman" w:hAnsi="Times New Roman" w:cs="Times New Roman"/>
          <w:color w:val="auto"/>
        </w:rPr>
        <w:t>；</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 7 \* GB3 \* MERGEFORMAT </w:instrText>
      </w:r>
      <w:r>
        <w:rPr>
          <w:rFonts w:hint="default" w:ascii="Times New Roman" w:hAnsi="Times New Roman" w:cs="Times New Roman"/>
          <w:color w:val="auto"/>
        </w:rPr>
        <w:fldChar w:fldCharType="separate"/>
      </w:r>
      <w:r>
        <w:rPr>
          <w:rFonts w:hint="default" w:ascii="Times New Roman" w:hAnsi="Times New Roman" w:cs="Times New Roman"/>
          <w:color w:val="auto"/>
        </w:rPr>
        <w:t>⑦</w:t>
      </w:r>
      <w:r>
        <w:rPr>
          <w:rFonts w:hint="default" w:ascii="Times New Roman" w:hAnsi="Times New Roman" w:cs="Times New Roman"/>
          <w:color w:val="auto"/>
        </w:rPr>
        <w:fldChar w:fldCharType="end"/>
      </w:r>
      <w:r>
        <w:rPr>
          <w:rFonts w:hint="default" w:ascii="Times New Roman" w:hAnsi="Times New Roman" w:cs="Times New Roman"/>
          <w:color w:val="auto"/>
        </w:rPr>
        <w:t>=</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 6 \* GB3 \* MERGEFORMAT </w:instrText>
      </w:r>
      <w:r>
        <w:rPr>
          <w:rFonts w:hint="default" w:ascii="Times New Roman" w:hAnsi="Times New Roman" w:cs="Times New Roman"/>
          <w:color w:val="auto"/>
        </w:rPr>
        <w:fldChar w:fldCharType="separate"/>
      </w:r>
      <w:r>
        <w:rPr>
          <w:rFonts w:hint="default" w:ascii="Times New Roman" w:hAnsi="Times New Roman" w:cs="Times New Roman"/>
          <w:color w:val="auto"/>
        </w:rPr>
        <w:t>⑥</w:t>
      </w:r>
      <w:r>
        <w:rPr>
          <w:rFonts w:hint="default" w:ascii="Times New Roman" w:hAnsi="Times New Roman" w:cs="Times New Roman"/>
          <w:color w:val="auto"/>
        </w:rPr>
        <w:fldChar w:fldCharType="end"/>
      </w:r>
      <w:r>
        <w:rPr>
          <w:rFonts w:hint="default" w:ascii="Times New Roman" w:hAnsi="Times New Roman" w:cs="Times New Roman"/>
          <w:color w:val="auto"/>
        </w:rPr>
        <w:t>-</w:t>
      </w:r>
      <w:r>
        <w:rPr>
          <w:rFonts w:hint="default" w:ascii="Times New Roman" w:hAnsi="Times New Roman" w:cs="Times New Roman"/>
          <w:color w:val="auto"/>
          <w:lang w:eastAsia="zh-CN"/>
        </w:rPr>
        <w:t>①</w:t>
      </w:r>
      <w:bookmarkEnd w:id="12"/>
    </w:p>
    <w:sectPr>
      <w:footerReference r:id="rId10" w:type="default"/>
      <w:pgSz w:w="16838" w:h="11905" w:orient="landscape"/>
      <w:pgMar w:top="1134" w:right="1134" w:bottom="1134" w:left="1134" w:header="850" w:footer="850" w:gutter="0"/>
      <w:pgBorders>
        <w:top w:val="none" w:sz="0" w:space="0"/>
        <w:left w:val="none" w:sz="0" w:space="0"/>
        <w:bottom w:val="none" w:sz="0" w:space="0"/>
        <w:right w:val="none" w:sz="0" w:space="0"/>
      </w:pgBorders>
      <w:pgNumType w:fmt="decimal"/>
      <w:cols w:space="720" w:num="1"/>
      <w:rtlGutter w:val="0"/>
      <w:docGrid w:linePitch="312" w:charSpace="0"/>
    </w:sectPr>
  </w:body>
</w:document>
</file>

<file path=word/customizations.xml><?xml version="1.0" encoding="utf-8"?>
<wne:tcg xmlns:r="http://schemas.openxmlformats.org/officeDocument/2006/relationships" xmlns:wne="http://schemas.microsoft.com/office/word/2006/wordml">
  <wne:keymaps>
    <wne:keymap wne:kcmPrimary="0344">
      <wne:acd wne:acdName="acd0"/>
    </wne:keymap>
    <wne:keymap wne:kcmPrimary="0356">
      <wne:acd wne:acdName="acd1"/>
    </wne:keymap>
  </wne:keymaps>
  <wne:acds>
    <wne:acd wne:argValue="AQAAAEIA" wne:acdName="acd0" wne:fciIndexBasedOn="0065"/>
    <wne:acd wne:argValue="AgBoiDRZ" wne:acdName="acd1"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5990A01-A035-4AC2-960B-D2C0D53E7321}"/>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FEFD446-C54B-4039-AB48-220E8B72D54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A80F70BF-BB6F-479B-AE6B-EDF306856DA9}"/>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BD4F9C28-B75F-4C02-B33C-82580C58AF82}"/>
  </w:font>
  <w:font w:name="方正楷体_GBK">
    <w:altName w:val="Arial Unicode MS"/>
    <w:panose1 w:val="02000000000000000000"/>
    <w:charset w:val="86"/>
    <w:family w:val="script"/>
    <w:pitch w:val="default"/>
    <w:sig w:usb0="00000000" w:usb1="00000000" w:usb2="00000016" w:usb3="00000000" w:csb0="00040000" w:csb1="00000000"/>
  </w:font>
  <w:font w:name="Arial Unicode MS">
    <w:panose1 w:val="020B0604020202020204"/>
    <w:charset w:val="86"/>
    <w:family w:val="swiss"/>
    <w:pitch w:val="default"/>
    <w:sig w:usb0="FFFFFFFF" w:usb1="E9FFFFFF" w:usb2="0000003F" w:usb3="00000000" w:csb0="603F01FF" w:csb1="FFFF0000"/>
  </w:font>
  <w:font w:name="方正小标宋_GBK">
    <w:panose1 w:val="02000000000000000000"/>
    <w:charset w:val="86"/>
    <w:family w:val="script"/>
    <w:pitch w:val="default"/>
    <w:sig w:usb0="A00002BF" w:usb1="38CF7CFA" w:usb2="00082016" w:usb3="00000000" w:csb0="00040001" w:csb1="00000000"/>
    <w:embedRegular r:id="rId5" w:fontKey="{BCEA483A-8CD9-45FB-A003-1DD5B7C671FB}"/>
  </w:font>
  <w:font w:name="楷体_GB2312">
    <w:panose1 w:val="02010609030101010101"/>
    <w:charset w:val="86"/>
    <w:family w:val="modern"/>
    <w:pitch w:val="default"/>
    <w:sig w:usb0="00000001" w:usb1="080E0000" w:usb2="00000000" w:usb3="00000000" w:csb0="00040000" w:csb1="00000000"/>
    <w:embedRegular r:id="rId6" w:fontKey="{2BBBD76F-F1E2-4C0B-A481-4E60D0E084AD}"/>
  </w:font>
  <w:font w:name="微软雅黑">
    <w:panose1 w:val="020B0503020204020204"/>
    <w:charset w:val="86"/>
    <w:family w:val="auto"/>
    <w:pitch w:val="default"/>
    <w:sig w:usb0="80000287" w:usb1="280F3C52" w:usb2="00000016" w:usb3="00000000" w:csb0="0004001F" w:csb1="00000000"/>
    <w:embedRegular r:id="rId7" w:fontKey="{D6A54A45-6958-4B47-8671-171C52AEC27E}"/>
  </w:font>
  <w:font w:name="WPSEMBED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8A103">
    <w:pPr>
      <w:pStyle w:val="19"/>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0C284">
    <w:pPr>
      <w:pStyle w:val="19"/>
      <w:ind w:right="360" w:firstLine="360"/>
      <w:jc w:val="center"/>
      <w:rPr>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28D344">
                          <w:pPr>
                            <w:pStyle w:val="19"/>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F28D344">
                    <w:pPr>
                      <w:pStyle w:val="19"/>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9B0C2">
    <w:pPr>
      <w:pStyle w:val="19"/>
      <w:ind w:right="360"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A1A32">
                          <w:pPr>
                            <w:pStyle w:val="19"/>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FBA1A32">
                    <w:pPr>
                      <w:pStyle w:val="1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0BEE3">
    <w:pPr>
      <w:pStyle w:val="19"/>
      <w:ind w:right="360"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B59AEA">
                          <w:pPr>
                            <w:pStyle w:val="19"/>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35B59AEA">
                    <w:pPr>
                      <w:pStyle w:val="1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989B1">
    <w:pPr>
      <w:pStyle w:val="19"/>
      <w:ind w:right="360"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A9334">
                          <w:pPr>
                            <w:pStyle w:val="19"/>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30A9334">
                    <w:pPr>
                      <w:pStyle w:val="19"/>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CBB81">
    <w:pPr>
      <w:pStyle w:val="21"/>
      <w:pBdr>
        <w:top w:val="none" w:color="auto" w:sz="0" w:space="0"/>
        <w:left w:val="none" w:color="auto" w:sz="0" w:space="0"/>
        <w:bottom w:val="none" w:color="auto" w:sz="0" w:space="1"/>
        <w:right w:val="none" w:color="auto" w:sz="0" w:space="0"/>
        <w:between w:val="none" w:color="auto" w:sz="0" w:space="0"/>
      </w:pBdr>
      <w:ind w:left="0" w:leftChars="0" w:firstLine="0" w:firstLineChars="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5EFBC2"/>
    <w:multiLevelType w:val="singleLevel"/>
    <w:tmpl w:val="0C5EFBC2"/>
    <w:lvl w:ilvl="0" w:tentative="0">
      <w:start w:val="3"/>
      <w:numFmt w:val="decimal"/>
      <w:suff w:val="nothing"/>
      <w:lvlText w:val="（%1）"/>
      <w:lvlJc w:val="left"/>
    </w:lvl>
  </w:abstractNum>
  <w:abstractNum w:abstractNumId="1">
    <w:nsid w:val="2D52EF70"/>
    <w:multiLevelType w:val="singleLevel"/>
    <w:tmpl w:val="2D52EF70"/>
    <w:lvl w:ilvl="0" w:tentative="0">
      <w:start w:val="1"/>
      <w:numFmt w:val="bullet"/>
      <w:pStyle w:val="15"/>
      <w:lvlText w:val=""/>
      <w:lvlJc w:val="left"/>
      <w:pPr>
        <w:tabs>
          <w:tab w:val="left" w:pos="2040"/>
        </w:tabs>
        <w:ind w:left="204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0Y2FhNTM2ZGY5MjQ0MjFlYmNiMTkwNzk2ZWVmNWEifQ=="/>
  </w:docVars>
  <w:rsids>
    <w:rsidRoot w:val="00172A27"/>
    <w:rsid w:val="000060B3"/>
    <w:rsid w:val="0004364B"/>
    <w:rsid w:val="00061B1F"/>
    <w:rsid w:val="000733C4"/>
    <w:rsid w:val="00074783"/>
    <w:rsid w:val="0008070B"/>
    <w:rsid w:val="000810AC"/>
    <w:rsid w:val="00081A02"/>
    <w:rsid w:val="00082231"/>
    <w:rsid w:val="00092D38"/>
    <w:rsid w:val="0009377B"/>
    <w:rsid w:val="000A20C9"/>
    <w:rsid w:val="000B058F"/>
    <w:rsid w:val="000B4467"/>
    <w:rsid w:val="000B4DB9"/>
    <w:rsid w:val="000C09AC"/>
    <w:rsid w:val="000C767F"/>
    <w:rsid w:val="000D5A44"/>
    <w:rsid w:val="000E3ED2"/>
    <w:rsid w:val="00131F42"/>
    <w:rsid w:val="001357F1"/>
    <w:rsid w:val="00140FA8"/>
    <w:rsid w:val="00142FEB"/>
    <w:rsid w:val="00143A2D"/>
    <w:rsid w:val="00145A41"/>
    <w:rsid w:val="00151675"/>
    <w:rsid w:val="00157435"/>
    <w:rsid w:val="0017504D"/>
    <w:rsid w:val="0017671A"/>
    <w:rsid w:val="00177422"/>
    <w:rsid w:val="00184590"/>
    <w:rsid w:val="001870D1"/>
    <w:rsid w:val="0018781E"/>
    <w:rsid w:val="0019262D"/>
    <w:rsid w:val="001978C2"/>
    <w:rsid w:val="001A1B35"/>
    <w:rsid w:val="001A48A2"/>
    <w:rsid w:val="001A6F61"/>
    <w:rsid w:val="001B72B8"/>
    <w:rsid w:val="001C69B3"/>
    <w:rsid w:val="001D5595"/>
    <w:rsid w:val="001D7874"/>
    <w:rsid w:val="001D7F22"/>
    <w:rsid w:val="001F0F17"/>
    <w:rsid w:val="001F3347"/>
    <w:rsid w:val="001F69E4"/>
    <w:rsid w:val="002125B4"/>
    <w:rsid w:val="002155B8"/>
    <w:rsid w:val="00224839"/>
    <w:rsid w:val="002249B2"/>
    <w:rsid w:val="00226574"/>
    <w:rsid w:val="002278EC"/>
    <w:rsid w:val="0023280E"/>
    <w:rsid w:val="002377D1"/>
    <w:rsid w:val="002506BC"/>
    <w:rsid w:val="00254345"/>
    <w:rsid w:val="00264557"/>
    <w:rsid w:val="002805AB"/>
    <w:rsid w:val="00284204"/>
    <w:rsid w:val="00291773"/>
    <w:rsid w:val="00296707"/>
    <w:rsid w:val="002A168C"/>
    <w:rsid w:val="002A3DC7"/>
    <w:rsid w:val="002B49E2"/>
    <w:rsid w:val="002B7B00"/>
    <w:rsid w:val="002B7C44"/>
    <w:rsid w:val="002C2B17"/>
    <w:rsid w:val="002D3DD0"/>
    <w:rsid w:val="002E1F3A"/>
    <w:rsid w:val="002E298A"/>
    <w:rsid w:val="00301978"/>
    <w:rsid w:val="0030332C"/>
    <w:rsid w:val="003051C2"/>
    <w:rsid w:val="00312296"/>
    <w:rsid w:val="00314F0E"/>
    <w:rsid w:val="00321D8E"/>
    <w:rsid w:val="00325928"/>
    <w:rsid w:val="00332863"/>
    <w:rsid w:val="0033684D"/>
    <w:rsid w:val="00337B42"/>
    <w:rsid w:val="00341B42"/>
    <w:rsid w:val="0034348F"/>
    <w:rsid w:val="00356653"/>
    <w:rsid w:val="0035743F"/>
    <w:rsid w:val="00357BE2"/>
    <w:rsid w:val="0036170C"/>
    <w:rsid w:val="00366E0F"/>
    <w:rsid w:val="00381A72"/>
    <w:rsid w:val="00384676"/>
    <w:rsid w:val="00390857"/>
    <w:rsid w:val="003A4BF3"/>
    <w:rsid w:val="003A7879"/>
    <w:rsid w:val="003B420D"/>
    <w:rsid w:val="003C6C16"/>
    <w:rsid w:val="003D794D"/>
    <w:rsid w:val="003E3058"/>
    <w:rsid w:val="003E76A9"/>
    <w:rsid w:val="003F0809"/>
    <w:rsid w:val="003F2D33"/>
    <w:rsid w:val="003F6A8C"/>
    <w:rsid w:val="003F755C"/>
    <w:rsid w:val="00406F01"/>
    <w:rsid w:val="00416D50"/>
    <w:rsid w:val="00416FD5"/>
    <w:rsid w:val="00417772"/>
    <w:rsid w:val="00420E6A"/>
    <w:rsid w:val="00425A9E"/>
    <w:rsid w:val="00426D6B"/>
    <w:rsid w:val="00431E6C"/>
    <w:rsid w:val="00433CE7"/>
    <w:rsid w:val="00452738"/>
    <w:rsid w:val="00456091"/>
    <w:rsid w:val="00466321"/>
    <w:rsid w:val="00484B9B"/>
    <w:rsid w:val="004855F6"/>
    <w:rsid w:val="0048661E"/>
    <w:rsid w:val="00494670"/>
    <w:rsid w:val="004A3823"/>
    <w:rsid w:val="004C65B4"/>
    <w:rsid w:val="004E6946"/>
    <w:rsid w:val="004F1AD8"/>
    <w:rsid w:val="005039CB"/>
    <w:rsid w:val="0050558F"/>
    <w:rsid w:val="00506286"/>
    <w:rsid w:val="00510813"/>
    <w:rsid w:val="00511990"/>
    <w:rsid w:val="00511DE0"/>
    <w:rsid w:val="00514870"/>
    <w:rsid w:val="00514B9B"/>
    <w:rsid w:val="00517F02"/>
    <w:rsid w:val="00524303"/>
    <w:rsid w:val="005258A2"/>
    <w:rsid w:val="00527DC5"/>
    <w:rsid w:val="005401AE"/>
    <w:rsid w:val="00542E07"/>
    <w:rsid w:val="00545424"/>
    <w:rsid w:val="00554A7B"/>
    <w:rsid w:val="0055572C"/>
    <w:rsid w:val="0056106A"/>
    <w:rsid w:val="005720AE"/>
    <w:rsid w:val="00594D77"/>
    <w:rsid w:val="005969E4"/>
    <w:rsid w:val="005A06B7"/>
    <w:rsid w:val="005A1759"/>
    <w:rsid w:val="005A68A7"/>
    <w:rsid w:val="005D36AB"/>
    <w:rsid w:val="00617CC3"/>
    <w:rsid w:val="006377A6"/>
    <w:rsid w:val="00637A3D"/>
    <w:rsid w:val="006411EF"/>
    <w:rsid w:val="006748B8"/>
    <w:rsid w:val="006775C3"/>
    <w:rsid w:val="0069290A"/>
    <w:rsid w:val="0069775A"/>
    <w:rsid w:val="00697813"/>
    <w:rsid w:val="006A3EE8"/>
    <w:rsid w:val="006A72BF"/>
    <w:rsid w:val="006B03F2"/>
    <w:rsid w:val="006B37DC"/>
    <w:rsid w:val="006B4F68"/>
    <w:rsid w:val="006C0592"/>
    <w:rsid w:val="006C272E"/>
    <w:rsid w:val="006C5479"/>
    <w:rsid w:val="006D13B5"/>
    <w:rsid w:val="006E12FF"/>
    <w:rsid w:val="006E607E"/>
    <w:rsid w:val="007007DA"/>
    <w:rsid w:val="00706C5D"/>
    <w:rsid w:val="00732922"/>
    <w:rsid w:val="0075162E"/>
    <w:rsid w:val="00754034"/>
    <w:rsid w:val="00756556"/>
    <w:rsid w:val="007618C4"/>
    <w:rsid w:val="00767980"/>
    <w:rsid w:val="00770B19"/>
    <w:rsid w:val="0077463F"/>
    <w:rsid w:val="007836EA"/>
    <w:rsid w:val="00784CDA"/>
    <w:rsid w:val="007906C4"/>
    <w:rsid w:val="007940EA"/>
    <w:rsid w:val="007967E8"/>
    <w:rsid w:val="007A2170"/>
    <w:rsid w:val="007A22BF"/>
    <w:rsid w:val="007A3323"/>
    <w:rsid w:val="007B72B8"/>
    <w:rsid w:val="007B7A58"/>
    <w:rsid w:val="007C21B5"/>
    <w:rsid w:val="007E4BD2"/>
    <w:rsid w:val="00801393"/>
    <w:rsid w:val="00802F88"/>
    <w:rsid w:val="0081293E"/>
    <w:rsid w:val="00815465"/>
    <w:rsid w:val="00817E9A"/>
    <w:rsid w:val="008306BD"/>
    <w:rsid w:val="00831A80"/>
    <w:rsid w:val="00833743"/>
    <w:rsid w:val="008340A4"/>
    <w:rsid w:val="0087135F"/>
    <w:rsid w:val="00872D94"/>
    <w:rsid w:val="00880364"/>
    <w:rsid w:val="00891592"/>
    <w:rsid w:val="00891E9E"/>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902727"/>
    <w:rsid w:val="0090312B"/>
    <w:rsid w:val="0091736D"/>
    <w:rsid w:val="0093037A"/>
    <w:rsid w:val="0094154D"/>
    <w:rsid w:val="0095155F"/>
    <w:rsid w:val="00954429"/>
    <w:rsid w:val="00954E9E"/>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4F1B"/>
    <w:rsid w:val="00A0501B"/>
    <w:rsid w:val="00A10993"/>
    <w:rsid w:val="00A14947"/>
    <w:rsid w:val="00A32A83"/>
    <w:rsid w:val="00A34248"/>
    <w:rsid w:val="00A368DB"/>
    <w:rsid w:val="00A423AA"/>
    <w:rsid w:val="00A53EC6"/>
    <w:rsid w:val="00A54C47"/>
    <w:rsid w:val="00A55C0F"/>
    <w:rsid w:val="00A8713F"/>
    <w:rsid w:val="00A90BA1"/>
    <w:rsid w:val="00A97A9A"/>
    <w:rsid w:val="00AA0671"/>
    <w:rsid w:val="00AA2531"/>
    <w:rsid w:val="00AB1E09"/>
    <w:rsid w:val="00AB5330"/>
    <w:rsid w:val="00AB7747"/>
    <w:rsid w:val="00AC14CE"/>
    <w:rsid w:val="00AC2A56"/>
    <w:rsid w:val="00AD055E"/>
    <w:rsid w:val="00AD47A7"/>
    <w:rsid w:val="00AF0CBF"/>
    <w:rsid w:val="00AF257F"/>
    <w:rsid w:val="00AF33CF"/>
    <w:rsid w:val="00AF4D50"/>
    <w:rsid w:val="00AF6179"/>
    <w:rsid w:val="00B1295A"/>
    <w:rsid w:val="00B20A45"/>
    <w:rsid w:val="00B22C5C"/>
    <w:rsid w:val="00B24F30"/>
    <w:rsid w:val="00B31ABF"/>
    <w:rsid w:val="00B33BE3"/>
    <w:rsid w:val="00B53B5D"/>
    <w:rsid w:val="00B561ED"/>
    <w:rsid w:val="00B6055E"/>
    <w:rsid w:val="00B6317D"/>
    <w:rsid w:val="00B7723F"/>
    <w:rsid w:val="00B80534"/>
    <w:rsid w:val="00B8433C"/>
    <w:rsid w:val="00B87491"/>
    <w:rsid w:val="00BA29E9"/>
    <w:rsid w:val="00BA7142"/>
    <w:rsid w:val="00BB237C"/>
    <w:rsid w:val="00BB41A3"/>
    <w:rsid w:val="00BC32DC"/>
    <w:rsid w:val="00BC35B6"/>
    <w:rsid w:val="00BD1B51"/>
    <w:rsid w:val="00BD4596"/>
    <w:rsid w:val="00BE1405"/>
    <w:rsid w:val="00BE312D"/>
    <w:rsid w:val="00BF1C20"/>
    <w:rsid w:val="00C10578"/>
    <w:rsid w:val="00C135BC"/>
    <w:rsid w:val="00C15C95"/>
    <w:rsid w:val="00C2596A"/>
    <w:rsid w:val="00C27537"/>
    <w:rsid w:val="00C328FE"/>
    <w:rsid w:val="00C33507"/>
    <w:rsid w:val="00C4409D"/>
    <w:rsid w:val="00C44E72"/>
    <w:rsid w:val="00C45A06"/>
    <w:rsid w:val="00C47E5B"/>
    <w:rsid w:val="00C61E4B"/>
    <w:rsid w:val="00C64BFF"/>
    <w:rsid w:val="00C704E9"/>
    <w:rsid w:val="00C763C9"/>
    <w:rsid w:val="00C80057"/>
    <w:rsid w:val="00C82232"/>
    <w:rsid w:val="00C82913"/>
    <w:rsid w:val="00C972B1"/>
    <w:rsid w:val="00CA2CCE"/>
    <w:rsid w:val="00CA43FD"/>
    <w:rsid w:val="00CA7EF8"/>
    <w:rsid w:val="00CC489B"/>
    <w:rsid w:val="00CD2BCD"/>
    <w:rsid w:val="00CD3A4C"/>
    <w:rsid w:val="00CE10E9"/>
    <w:rsid w:val="00CE2910"/>
    <w:rsid w:val="00CE5393"/>
    <w:rsid w:val="00CF36BE"/>
    <w:rsid w:val="00CF6000"/>
    <w:rsid w:val="00D003F3"/>
    <w:rsid w:val="00D01AE7"/>
    <w:rsid w:val="00D0364F"/>
    <w:rsid w:val="00D06834"/>
    <w:rsid w:val="00D27639"/>
    <w:rsid w:val="00D308ED"/>
    <w:rsid w:val="00D348C5"/>
    <w:rsid w:val="00D36D86"/>
    <w:rsid w:val="00D428AA"/>
    <w:rsid w:val="00D50A34"/>
    <w:rsid w:val="00D53EFA"/>
    <w:rsid w:val="00D94A7C"/>
    <w:rsid w:val="00D95896"/>
    <w:rsid w:val="00DB2983"/>
    <w:rsid w:val="00DC1257"/>
    <w:rsid w:val="00DC3DC0"/>
    <w:rsid w:val="00DC5B2B"/>
    <w:rsid w:val="00DD318D"/>
    <w:rsid w:val="00DF2E12"/>
    <w:rsid w:val="00DF514A"/>
    <w:rsid w:val="00DF6690"/>
    <w:rsid w:val="00DF6804"/>
    <w:rsid w:val="00E0358D"/>
    <w:rsid w:val="00E04323"/>
    <w:rsid w:val="00E070A2"/>
    <w:rsid w:val="00E0770D"/>
    <w:rsid w:val="00E2656A"/>
    <w:rsid w:val="00E412D0"/>
    <w:rsid w:val="00E56322"/>
    <w:rsid w:val="00E60982"/>
    <w:rsid w:val="00E62C62"/>
    <w:rsid w:val="00E654C1"/>
    <w:rsid w:val="00E65D97"/>
    <w:rsid w:val="00E72A5A"/>
    <w:rsid w:val="00E73354"/>
    <w:rsid w:val="00E9242D"/>
    <w:rsid w:val="00EB5255"/>
    <w:rsid w:val="00EB5C47"/>
    <w:rsid w:val="00ED0639"/>
    <w:rsid w:val="00EF4755"/>
    <w:rsid w:val="00EF7135"/>
    <w:rsid w:val="00F027DB"/>
    <w:rsid w:val="00F14A7A"/>
    <w:rsid w:val="00F211EF"/>
    <w:rsid w:val="00F22985"/>
    <w:rsid w:val="00F3383E"/>
    <w:rsid w:val="00F465A7"/>
    <w:rsid w:val="00F50B7C"/>
    <w:rsid w:val="00F550E6"/>
    <w:rsid w:val="00F74345"/>
    <w:rsid w:val="00F80A0A"/>
    <w:rsid w:val="00F81EE5"/>
    <w:rsid w:val="00F82B19"/>
    <w:rsid w:val="00F9212D"/>
    <w:rsid w:val="00F94ED5"/>
    <w:rsid w:val="00F965DA"/>
    <w:rsid w:val="00FA406A"/>
    <w:rsid w:val="00FB503A"/>
    <w:rsid w:val="00FB516C"/>
    <w:rsid w:val="00FC3592"/>
    <w:rsid w:val="00FC6311"/>
    <w:rsid w:val="00FD0236"/>
    <w:rsid w:val="00FD18F4"/>
    <w:rsid w:val="00FD54DB"/>
    <w:rsid w:val="00FD619F"/>
    <w:rsid w:val="01290F7E"/>
    <w:rsid w:val="0138166C"/>
    <w:rsid w:val="014277B2"/>
    <w:rsid w:val="015D1E09"/>
    <w:rsid w:val="016701DE"/>
    <w:rsid w:val="0170606B"/>
    <w:rsid w:val="017E5FA0"/>
    <w:rsid w:val="018067FB"/>
    <w:rsid w:val="018856AF"/>
    <w:rsid w:val="01A73D87"/>
    <w:rsid w:val="01B6221C"/>
    <w:rsid w:val="01BD420B"/>
    <w:rsid w:val="01E943A0"/>
    <w:rsid w:val="01EC1F76"/>
    <w:rsid w:val="01EE519A"/>
    <w:rsid w:val="01FC7DA9"/>
    <w:rsid w:val="021141CC"/>
    <w:rsid w:val="021B4775"/>
    <w:rsid w:val="023E79BD"/>
    <w:rsid w:val="02432BBC"/>
    <w:rsid w:val="024B505A"/>
    <w:rsid w:val="02697903"/>
    <w:rsid w:val="02756840"/>
    <w:rsid w:val="027664B5"/>
    <w:rsid w:val="02A04E2D"/>
    <w:rsid w:val="02C45139"/>
    <w:rsid w:val="02DA0EDC"/>
    <w:rsid w:val="02DC5CB3"/>
    <w:rsid w:val="02DD1A2B"/>
    <w:rsid w:val="02F23728"/>
    <w:rsid w:val="02F870AF"/>
    <w:rsid w:val="02F96569"/>
    <w:rsid w:val="03166657"/>
    <w:rsid w:val="031713E0"/>
    <w:rsid w:val="03340663"/>
    <w:rsid w:val="036313D6"/>
    <w:rsid w:val="03727ED0"/>
    <w:rsid w:val="037B7842"/>
    <w:rsid w:val="038720C2"/>
    <w:rsid w:val="039C19B1"/>
    <w:rsid w:val="039C3694"/>
    <w:rsid w:val="03BB1AA6"/>
    <w:rsid w:val="03C230FA"/>
    <w:rsid w:val="03E77DD2"/>
    <w:rsid w:val="03EA7B21"/>
    <w:rsid w:val="04011238"/>
    <w:rsid w:val="04074126"/>
    <w:rsid w:val="04155920"/>
    <w:rsid w:val="0416490C"/>
    <w:rsid w:val="04185410"/>
    <w:rsid w:val="0447334D"/>
    <w:rsid w:val="045C2EDA"/>
    <w:rsid w:val="045E0A12"/>
    <w:rsid w:val="0489099F"/>
    <w:rsid w:val="049727D9"/>
    <w:rsid w:val="04CE5ACF"/>
    <w:rsid w:val="04F05A45"/>
    <w:rsid w:val="04FA7115"/>
    <w:rsid w:val="04FE63B4"/>
    <w:rsid w:val="05002311"/>
    <w:rsid w:val="05025778"/>
    <w:rsid w:val="052102F4"/>
    <w:rsid w:val="05216546"/>
    <w:rsid w:val="05326302"/>
    <w:rsid w:val="053A1304"/>
    <w:rsid w:val="05495C2E"/>
    <w:rsid w:val="05595CE0"/>
    <w:rsid w:val="05737CBB"/>
    <w:rsid w:val="05B15394"/>
    <w:rsid w:val="05D03D42"/>
    <w:rsid w:val="05D1661F"/>
    <w:rsid w:val="05F11B6D"/>
    <w:rsid w:val="05F61E65"/>
    <w:rsid w:val="05F83EAE"/>
    <w:rsid w:val="060043AE"/>
    <w:rsid w:val="061614DB"/>
    <w:rsid w:val="06357019"/>
    <w:rsid w:val="06382783"/>
    <w:rsid w:val="063D115E"/>
    <w:rsid w:val="063E7D85"/>
    <w:rsid w:val="065F2701"/>
    <w:rsid w:val="06A20174"/>
    <w:rsid w:val="06A534B3"/>
    <w:rsid w:val="06A72A7B"/>
    <w:rsid w:val="06B6738C"/>
    <w:rsid w:val="06B84C89"/>
    <w:rsid w:val="06DE46EF"/>
    <w:rsid w:val="0701257B"/>
    <w:rsid w:val="070F4ECF"/>
    <w:rsid w:val="071D5244"/>
    <w:rsid w:val="072440CC"/>
    <w:rsid w:val="0725304C"/>
    <w:rsid w:val="07293586"/>
    <w:rsid w:val="07295285"/>
    <w:rsid w:val="073529C4"/>
    <w:rsid w:val="075F150C"/>
    <w:rsid w:val="07636392"/>
    <w:rsid w:val="07761A22"/>
    <w:rsid w:val="07770C56"/>
    <w:rsid w:val="07871169"/>
    <w:rsid w:val="07990616"/>
    <w:rsid w:val="07C84A57"/>
    <w:rsid w:val="07D57174"/>
    <w:rsid w:val="07E61381"/>
    <w:rsid w:val="07EF0236"/>
    <w:rsid w:val="07F06711"/>
    <w:rsid w:val="07F910B5"/>
    <w:rsid w:val="08163A15"/>
    <w:rsid w:val="081859DF"/>
    <w:rsid w:val="081E6D6D"/>
    <w:rsid w:val="082779D0"/>
    <w:rsid w:val="08297159"/>
    <w:rsid w:val="0838257F"/>
    <w:rsid w:val="084762C4"/>
    <w:rsid w:val="08550A1F"/>
    <w:rsid w:val="08601A65"/>
    <w:rsid w:val="086C77D2"/>
    <w:rsid w:val="087010E6"/>
    <w:rsid w:val="087F1701"/>
    <w:rsid w:val="088B7712"/>
    <w:rsid w:val="089808CE"/>
    <w:rsid w:val="089A2898"/>
    <w:rsid w:val="089E5EF0"/>
    <w:rsid w:val="08A454C4"/>
    <w:rsid w:val="08E73F83"/>
    <w:rsid w:val="08E92ED7"/>
    <w:rsid w:val="08F4583C"/>
    <w:rsid w:val="08F52603"/>
    <w:rsid w:val="092217DD"/>
    <w:rsid w:val="093A7294"/>
    <w:rsid w:val="0946032A"/>
    <w:rsid w:val="095073FA"/>
    <w:rsid w:val="095D75E6"/>
    <w:rsid w:val="095F763D"/>
    <w:rsid w:val="09672017"/>
    <w:rsid w:val="09816567"/>
    <w:rsid w:val="099E0166"/>
    <w:rsid w:val="09AD68B1"/>
    <w:rsid w:val="09B74D83"/>
    <w:rsid w:val="09B81FF8"/>
    <w:rsid w:val="09BA2AC6"/>
    <w:rsid w:val="09C52602"/>
    <w:rsid w:val="09C93A9C"/>
    <w:rsid w:val="09D9000C"/>
    <w:rsid w:val="09E00043"/>
    <w:rsid w:val="09E02EF9"/>
    <w:rsid w:val="0A0414FD"/>
    <w:rsid w:val="0A1128F1"/>
    <w:rsid w:val="0A263993"/>
    <w:rsid w:val="0A28400C"/>
    <w:rsid w:val="0A2D3AC2"/>
    <w:rsid w:val="0A3A19D7"/>
    <w:rsid w:val="0A4405EF"/>
    <w:rsid w:val="0A4800D1"/>
    <w:rsid w:val="0A5C2B65"/>
    <w:rsid w:val="0A754C7B"/>
    <w:rsid w:val="0A886720"/>
    <w:rsid w:val="0AA755DF"/>
    <w:rsid w:val="0AB6328D"/>
    <w:rsid w:val="0AC51BB0"/>
    <w:rsid w:val="0ADB36B0"/>
    <w:rsid w:val="0AE4492F"/>
    <w:rsid w:val="0AEB73DB"/>
    <w:rsid w:val="0B120D44"/>
    <w:rsid w:val="0B14530F"/>
    <w:rsid w:val="0B21561C"/>
    <w:rsid w:val="0B3768D7"/>
    <w:rsid w:val="0B4E5FC5"/>
    <w:rsid w:val="0B61144B"/>
    <w:rsid w:val="0B681E70"/>
    <w:rsid w:val="0B8B64C8"/>
    <w:rsid w:val="0B9335CE"/>
    <w:rsid w:val="0B9A670B"/>
    <w:rsid w:val="0B9F5B3B"/>
    <w:rsid w:val="0B9F6417"/>
    <w:rsid w:val="0BA56A3C"/>
    <w:rsid w:val="0BB579E9"/>
    <w:rsid w:val="0BBF6171"/>
    <w:rsid w:val="0BC00ADF"/>
    <w:rsid w:val="0BD27BF6"/>
    <w:rsid w:val="0BF952FC"/>
    <w:rsid w:val="0C0B7609"/>
    <w:rsid w:val="0C2F1549"/>
    <w:rsid w:val="0C3B3C7D"/>
    <w:rsid w:val="0C5B0590"/>
    <w:rsid w:val="0C673840"/>
    <w:rsid w:val="0C923886"/>
    <w:rsid w:val="0CAB2EAE"/>
    <w:rsid w:val="0CB6182B"/>
    <w:rsid w:val="0CBB2DDD"/>
    <w:rsid w:val="0CC003F3"/>
    <w:rsid w:val="0CC04897"/>
    <w:rsid w:val="0CD951B9"/>
    <w:rsid w:val="0CF12DCE"/>
    <w:rsid w:val="0D0F6959"/>
    <w:rsid w:val="0D1252DD"/>
    <w:rsid w:val="0D156991"/>
    <w:rsid w:val="0D3E4665"/>
    <w:rsid w:val="0D621C7D"/>
    <w:rsid w:val="0D685F0F"/>
    <w:rsid w:val="0D786450"/>
    <w:rsid w:val="0D876E1A"/>
    <w:rsid w:val="0D93644C"/>
    <w:rsid w:val="0D991370"/>
    <w:rsid w:val="0DA10224"/>
    <w:rsid w:val="0DA157A1"/>
    <w:rsid w:val="0DA66C15"/>
    <w:rsid w:val="0DEA264B"/>
    <w:rsid w:val="0E0648F6"/>
    <w:rsid w:val="0E097B78"/>
    <w:rsid w:val="0E252C04"/>
    <w:rsid w:val="0E2579C3"/>
    <w:rsid w:val="0E2E561F"/>
    <w:rsid w:val="0E3B3494"/>
    <w:rsid w:val="0E546A81"/>
    <w:rsid w:val="0E73034D"/>
    <w:rsid w:val="0E8318C7"/>
    <w:rsid w:val="0E83792A"/>
    <w:rsid w:val="0E8652B6"/>
    <w:rsid w:val="0E9C40EB"/>
    <w:rsid w:val="0E9E2F69"/>
    <w:rsid w:val="0EDD34DE"/>
    <w:rsid w:val="0EEF6D6E"/>
    <w:rsid w:val="0EF3247D"/>
    <w:rsid w:val="0EFC0A33"/>
    <w:rsid w:val="0F13775A"/>
    <w:rsid w:val="0F3F445A"/>
    <w:rsid w:val="0F451083"/>
    <w:rsid w:val="0F5C598E"/>
    <w:rsid w:val="0F5F45FE"/>
    <w:rsid w:val="0F657030"/>
    <w:rsid w:val="0F6975D1"/>
    <w:rsid w:val="0F831427"/>
    <w:rsid w:val="0F8732BE"/>
    <w:rsid w:val="0F8971C2"/>
    <w:rsid w:val="0F955329"/>
    <w:rsid w:val="0F9A112B"/>
    <w:rsid w:val="0F9A5CD2"/>
    <w:rsid w:val="0F9D2C6D"/>
    <w:rsid w:val="0FA201B4"/>
    <w:rsid w:val="0FB577EE"/>
    <w:rsid w:val="0FB863AE"/>
    <w:rsid w:val="0FCD3553"/>
    <w:rsid w:val="0FCE11FD"/>
    <w:rsid w:val="0FE663C2"/>
    <w:rsid w:val="0FEA15E2"/>
    <w:rsid w:val="10305D5C"/>
    <w:rsid w:val="1032785A"/>
    <w:rsid w:val="1039301F"/>
    <w:rsid w:val="104511A7"/>
    <w:rsid w:val="1045758D"/>
    <w:rsid w:val="105301EA"/>
    <w:rsid w:val="106A2B50"/>
    <w:rsid w:val="106D2F64"/>
    <w:rsid w:val="107B5C83"/>
    <w:rsid w:val="10961B97"/>
    <w:rsid w:val="10B63710"/>
    <w:rsid w:val="10C100AF"/>
    <w:rsid w:val="10C5422A"/>
    <w:rsid w:val="10E67EBC"/>
    <w:rsid w:val="10F10820"/>
    <w:rsid w:val="10F25D7A"/>
    <w:rsid w:val="1103319B"/>
    <w:rsid w:val="110C1984"/>
    <w:rsid w:val="1111121D"/>
    <w:rsid w:val="111C2F7A"/>
    <w:rsid w:val="11230F50"/>
    <w:rsid w:val="112C6EA2"/>
    <w:rsid w:val="113118BF"/>
    <w:rsid w:val="113D2AC4"/>
    <w:rsid w:val="11513438"/>
    <w:rsid w:val="11665CA1"/>
    <w:rsid w:val="116A2D59"/>
    <w:rsid w:val="116B3023"/>
    <w:rsid w:val="117A13CB"/>
    <w:rsid w:val="11951E4E"/>
    <w:rsid w:val="11A75EA8"/>
    <w:rsid w:val="11AC53EA"/>
    <w:rsid w:val="11C24F54"/>
    <w:rsid w:val="11C93B19"/>
    <w:rsid w:val="121D5061"/>
    <w:rsid w:val="123A29F6"/>
    <w:rsid w:val="1291034A"/>
    <w:rsid w:val="12910C6D"/>
    <w:rsid w:val="12C549B5"/>
    <w:rsid w:val="12D26B79"/>
    <w:rsid w:val="12DC417E"/>
    <w:rsid w:val="12E521BD"/>
    <w:rsid w:val="12F0421E"/>
    <w:rsid w:val="12F17558"/>
    <w:rsid w:val="13083978"/>
    <w:rsid w:val="13430018"/>
    <w:rsid w:val="13540457"/>
    <w:rsid w:val="135950FD"/>
    <w:rsid w:val="13695A71"/>
    <w:rsid w:val="136B6070"/>
    <w:rsid w:val="136C3083"/>
    <w:rsid w:val="13951726"/>
    <w:rsid w:val="13AD7CBC"/>
    <w:rsid w:val="13AF2F6F"/>
    <w:rsid w:val="13CC1D73"/>
    <w:rsid w:val="13D943BC"/>
    <w:rsid w:val="13DD188A"/>
    <w:rsid w:val="13E04CDB"/>
    <w:rsid w:val="13F60B9E"/>
    <w:rsid w:val="13F855D1"/>
    <w:rsid w:val="140C5DFC"/>
    <w:rsid w:val="141C6C87"/>
    <w:rsid w:val="14396509"/>
    <w:rsid w:val="144B713C"/>
    <w:rsid w:val="147139F7"/>
    <w:rsid w:val="147C45EA"/>
    <w:rsid w:val="14902DA1"/>
    <w:rsid w:val="14CE04D5"/>
    <w:rsid w:val="14DC7D94"/>
    <w:rsid w:val="14DD2C3C"/>
    <w:rsid w:val="14E3669A"/>
    <w:rsid w:val="14F92001"/>
    <w:rsid w:val="15004ADA"/>
    <w:rsid w:val="150D43F1"/>
    <w:rsid w:val="150F1F18"/>
    <w:rsid w:val="152B620A"/>
    <w:rsid w:val="155B515D"/>
    <w:rsid w:val="15710F1F"/>
    <w:rsid w:val="158D151C"/>
    <w:rsid w:val="15A56029"/>
    <w:rsid w:val="15AA73AE"/>
    <w:rsid w:val="15BD28ED"/>
    <w:rsid w:val="15BF393E"/>
    <w:rsid w:val="15CE592F"/>
    <w:rsid w:val="15F31839"/>
    <w:rsid w:val="16087E1D"/>
    <w:rsid w:val="16111CBF"/>
    <w:rsid w:val="1613309D"/>
    <w:rsid w:val="1615355E"/>
    <w:rsid w:val="16231EED"/>
    <w:rsid w:val="162437A1"/>
    <w:rsid w:val="162A486A"/>
    <w:rsid w:val="1636768A"/>
    <w:rsid w:val="16414353"/>
    <w:rsid w:val="164756E1"/>
    <w:rsid w:val="16573B76"/>
    <w:rsid w:val="16652E2D"/>
    <w:rsid w:val="167E7ECC"/>
    <w:rsid w:val="1695644C"/>
    <w:rsid w:val="16B50C48"/>
    <w:rsid w:val="16D17208"/>
    <w:rsid w:val="16E01DBD"/>
    <w:rsid w:val="16E60821"/>
    <w:rsid w:val="17011F4B"/>
    <w:rsid w:val="17077F2B"/>
    <w:rsid w:val="170A230E"/>
    <w:rsid w:val="171952CF"/>
    <w:rsid w:val="171D6872"/>
    <w:rsid w:val="1729478D"/>
    <w:rsid w:val="17304BCD"/>
    <w:rsid w:val="176675D8"/>
    <w:rsid w:val="176C668F"/>
    <w:rsid w:val="17701D14"/>
    <w:rsid w:val="17710C68"/>
    <w:rsid w:val="17735226"/>
    <w:rsid w:val="17A34B99"/>
    <w:rsid w:val="17DC7AB4"/>
    <w:rsid w:val="17E01314"/>
    <w:rsid w:val="17ED068A"/>
    <w:rsid w:val="17EF7DDE"/>
    <w:rsid w:val="17F20D1D"/>
    <w:rsid w:val="17F67761"/>
    <w:rsid w:val="17FA0C0A"/>
    <w:rsid w:val="17FF2717"/>
    <w:rsid w:val="1804388A"/>
    <w:rsid w:val="181124EE"/>
    <w:rsid w:val="18112CF2"/>
    <w:rsid w:val="18141138"/>
    <w:rsid w:val="18155D42"/>
    <w:rsid w:val="181C1BE6"/>
    <w:rsid w:val="18277578"/>
    <w:rsid w:val="182D4A9C"/>
    <w:rsid w:val="184243B2"/>
    <w:rsid w:val="18622704"/>
    <w:rsid w:val="18682D19"/>
    <w:rsid w:val="18820B42"/>
    <w:rsid w:val="18893D8F"/>
    <w:rsid w:val="1890511D"/>
    <w:rsid w:val="189F624C"/>
    <w:rsid w:val="18A24321"/>
    <w:rsid w:val="18A62A00"/>
    <w:rsid w:val="18B51028"/>
    <w:rsid w:val="18B90B18"/>
    <w:rsid w:val="18BE00A7"/>
    <w:rsid w:val="18C43019"/>
    <w:rsid w:val="18D07C10"/>
    <w:rsid w:val="18D51377"/>
    <w:rsid w:val="18D70D4E"/>
    <w:rsid w:val="18D92ED7"/>
    <w:rsid w:val="18E10A3C"/>
    <w:rsid w:val="18E611E1"/>
    <w:rsid w:val="18ED2570"/>
    <w:rsid w:val="18F03E0E"/>
    <w:rsid w:val="19006747"/>
    <w:rsid w:val="19324427"/>
    <w:rsid w:val="193F0D14"/>
    <w:rsid w:val="19432460"/>
    <w:rsid w:val="195174CC"/>
    <w:rsid w:val="196470BB"/>
    <w:rsid w:val="197E58BE"/>
    <w:rsid w:val="19AF797B"/>
    <w:rsid w:val="19B60BB4"/>
    <w:rsid w:val="19DE77BA"/>
    <w:rsid w:val="19F677A5"/>
    <w:rsid w:val="19FE5475"/>
    <w:rsid w:val="1A1170B0"/>
    <w:rsid w:val="1A1730B4"/>
    <w:rsid w:val="1A1C66C0"/>
    <w:rsid w:val="1A3B4A49"/>
    <w:rsid w:val="1A3D12D5"/>
    <w:rsid w:val="1A4178E3"/>
    <w:rsid w:val="1A42393B"/>
    <w:rsid w:val="1A4746B2"/>
    <w:rsid w:val="1A4C59BC"/>
    <w:rsid w:val="1A6E2FAD"/>
    <w:rsid w:val="1A705206"/>
    <w:rsid w:val="1A7C52BE"/>
    <w:rsid w:val="1A7E2606"/>
    <w:rsid w:val="1A8E1B30"/>
    <w:rsid w:val="1AA2382E"/>
    <w:rsid w:val="1AAD45DE"/>
    <w:rsid w:val="1AC01D51"/>
    <w:rsid w:val="1AC76DF0"/>
    <w:rsid w:val="1B046F80"/>
    <w:rsid w:val="1B2D1796"/>
    <w:rsid w:val="1B3267B5"/>
    <w:rsid w:val="1B357097"/>
    <w:rsid w:val="1B3B17AF"/>
    <w:rsid w:val="1B3E3557"/>
    <w:rsid w:val="1B3E70B3"/>
    <w:rsid w:val="1B40161D"/>
    <w:rsid w:val="1B441859"/>
    <w:rsid w:val="1B46204F"/>
    <w:rsid w:val="1B4667CC"/>
    <w:rsid w:val="1B486183"/>
    <w:rsid w:val="1B5C578B"/>
    <w:rsid w:val="1B6606B1"/>
    <w:rsid w:val="1B691CFA"/>
    <w:rsid w:val="1B723200"/>
    <w:rsid w:val="1B7E374B"/>
    <w:rsid w:val="1B83725A"/>
    <w:rsid w:val="1B917B2A"/>
    <w:rsid w:val="1B926FC8"/>
    <w:rsid w:val="1B944F25"/>
    <w:rsid w:val="1B99253B"/>
    <w:rsid w:val="1B9C64CF"/>
    <w:rsid w:val="1BCF41AF"/>
    <w:rsid w:val="1BD53D3C"/>
    <w:rsid w:val="1BFD51C0"/>
    <w:rsid w:val="1C1460A7"/>
    <w:rsid w:val="1C185B56"/>
    <w:rsid w:val="1C1F2E2A"/>
    <w:rsid w:val="1C2172ED"/>
    <w:rsid w:val="1C4F189B"/>
    <w:rsid w:val="1C5E7925"/>
    <w:rsid w:val="1C6E7E6B"/>
    <w:rsid w:val="1C7275DA"/>
    <w:rsid w:val="1C876837"/>
    <w:rsid w:val="1C8B6864"/>
    <w:rsid w:val="1C8E5E18"/>
    <w:rsid w:val="1CAC629E"/>
    <w:rsid w:val="1CAF0084"/>
    <w:rsid w:val="1CAF3857"/>
    <w:rsid w:val="1CB31F41"/>
    <w:rsid w:val="1CC56524"/>
    <w:rsid w:val="1CC56649"/>
    <w:rsid w:val="1CCC4B92"/>
    <w:rsid w:val="1CCE4466"/>
    <w:rsid w:val="1CD145B6"/>
    <w:rsid w:val="1CD35F20"/>
    <w:rsid w:val="1CD922CE"/>
    <w:rsid w:val="1CEE0979"/>
    <w:rsid w:val="1CFD070F"/>
    <w:rsid w:val="1D0F076F"/>
    <w:rsid w:val="1D214DD8"/>
    <w:rsid w:val="1D522547"/>
    <w:rsid w:val="1D5C5F16"/>
    <w:rsid w:val="1D5F1562"/>
    <w:rsid w:val="1D5F6196"/>
    <w:rsid w:val="1D6132A5"/>
    <w:rsid w:val="1D6D0123"/>
    <w:rsid w:val="1D721295"/>
    <w:rsid w:val="1D751ED5"/>
    <w:rsid w:val="1D7B3C0F"/>
    <w:rsid w:val="1D8B0CFB"/>
    <w:rsid w:val="1D8E56D5"/>
    <w:rsid w:val="1D9005DB"/>
    <w:rsid w:val="1DA11B7B"/>
    <w:rsid w:val="1DA46AA2"/>
    <w:rsid w:val="1DC615E1"/>
    <w:rsid w:val="1DC74863"/>
    <w:rsid w:val="1DC835AB"/>
    <w:rsid w:val="1DC90B0A"/>
    <w:rsid w:val="1DD45AAC"/>
    <w:rsid w:val="1DE859FC"/>
    <w:rsid w:val="1DEA3B8A"/>
    <w:rsid w:val="1DF664C4"/>
    <w:rsid w:val="1E000849"/>
    <w:rsid w:val="1E125136"/>
    <w:rsid w:val="1E2D0457"/>
    <w:rsid w:val="1E4B111F"/>
    <w:rsid w:val="1E551952"/>
    <w:rsid w:val="1E663C14"/>
    <w:rsid w:val="1E776F29"/>
    <w:rsid w:val="1E7A43DA"/>
    <w:rsid w:val="1E89414E"/>
    <w:rsid w:val="1EDC0931"/>
    <w:rsid w:val="1EEB7551"/>
    <w:rsid w:val="1EEC1623"/>
    <w:rsid w:val="1EFE64B3"/>
    <w:rsid w:val="1F0C1276"/>
    <w:rsid w:val="1F1220B1"/>
    <w:rsid w:val="1F2111C5"/>
    <w:rsid w:val="1F2C1B70"/>
    <w:rsid w:val="1F30765A"/>
    <w:rsid w:val="1F325180"/>
    <w:rsid w:val="1F3C1A67"/>
    <w:rsid w:val="1F5F4718"/>
    <w:rsid w:val="1F6317DE"/>
    <w:rsid w:val="1F7A2683"/>
    <w:rsid w:val="1F953961"/>
    <w:rsid w:val="1FA61CF3"/>
    <w:rsid w:val="1FAB7D05"/>
    <w:rsid w:val="1FBE7D4D"/>
    <w:rsid w:val="1FC0416F"/>
    <w:rsid w:val="1FC4441A"/>
    <w:rsid w:val="1FC50A03"/>
    <w:rsid w:val="1FD71884"/>
    <w:rsid w:val="1FE04BDC"/>
    <w:rsid w:val="1FE12599"/>
    <w:rsid w:val="1FE16BA6"/>
    <w:rsid w:val="1FE7539E"/>
    <w:rsid w:val="1FF21C8A"/>
    <w:rsid w:val="1FFB1A16"/>
    <w:rsid w:val="200A3A07"/>
    <w:rsid w:val="201605FE"/>
    <w:rsid w:val="20174376"/>
    <w:rsid w:val="202F346E"/>
    <w:rsid w:val="20390790"/>
    <w:rsid w:val="203E6F7B"/>
    <w:rsid w:val="203F473B"/>
    <w:rsid w:val="2040730C"/>
    <w:rsid w:val="20416E30"/>
    <w:rsid w:val="204A02A8"/>
    <w:rsid w:val="205D4BC0"/>
    <w:rsid w:val="20671BE0"/>
    <w:rsid w:val="206D21E8"/>
    <w:rsid w:val="20726560"/>
    <w:rsid w:val="20963CB8"/>
    <w:rsid w:val="20A81A1B"/>
    <w:rsid w:val="20B07FB6"/>
    <w:rsid w:val="20B646FB"/>
    <w:rsid w:val="20CA763A"/>
    <w:rsid w:val="20D16CB5"/>
    <w:rsid w:val="20E117EF"/>
    <w:rsid w:val="20E12A6D"/>
    <w:rsid w:val="20EB7A37"/>
    <w:rsid w:val="20EF0E4F"/>
    <w:rsid w:val="21082F5C"/>
    <w:rsid w:val="210A6E99"/>
    <w:rsid w:val="211D16FD"/>
    <w:rsid w:val="21222FD3"/>
    <w:rsid w:val="21240AF9"/>
    <w:rsid w:val="21284D36"/>
    <w:rsid w:val="213B74B1"/>
    <w:rsid w:val="215A2310"/>
    <w:rsid w:val="215F13A5"/>
    <w:rsid w:val="21831B09"/>
    <w:rsid w:val="21A34C73"/>
    <w:rsid w:val="21A80876"/>
    <w:rsid w:val="21B7702C"/>
    <w:rsid w:val="21DE318A"/>
    <w:rsid w:val="21E32762"/>
    <w:rsid w:val="21EF5B80"/>
    <w:rsid w:val="21F66939"/>
    <w:rsid w:val="21F8754A"/>
    <w:rsid w:val="21FA4F23"/>
    <w:rsid w:val="21FA5CFD"/>
    <w:rsid w:val="22001566"/>
    <w:rsid w:val="22165A89"/>
    <w:rsid w:val="222F1E4B"/>
    <w:rsid w:val="22574EFE"/>
    <w:rsid w:val="22576990"/>
    <w:rsid w:val="225B49EE"/>
    <w:rsid w:val="229D0C8B"/>
    <w:rsid w:val="22AC133A"/>
    <w:rsid w:val="22BA5BB9"/>
    <w:rsid w:val="22BD284C"/>
    <w:rsid w:val="22C679DB"/>
    <w:rsid w:val="22C84E71"/>
    <w:rsid w:val="22D272D5"/>
    <w:rsid w:val="22E91B93"/>
    <w:rsid w:val="22F47480"/>
    <w:rsid w:val="23071740"/>
    <w:rsid w:val="23144B9D"/>
    <w:rsid w:val="23151041"/>
    <w:rsid w:val="23275AA9"/>
    <w:rsid w:val="23327A62"/>
    <w:rsid w:val="233627D5"/>
    <w:rsid w:val="233B65CE"/>
    <w:rsid w:val="23445482"/>
    <w:rsid w:val="23A76162"/>
    <w:rsid w:val="23C40371"/>
    <w:rsid w:val="23DB1C0A"/>
    <w:rsid w:val="23DE1C48"/>
    <w:rsid w:val="23ED5B1A"/>
    <w:rsid w:val="240210CD"/>
    <w:rsid w:val="24143F13"/>
    <w:rsid w:val="245B0CD5"/>
    <w:rsid w:val="248209CA"/>
    <w:rsid w:val="24877D1C"/>
    <w:rsid w:val="248937B7"/>
    <w:rsid w:val="249F7859"/>
    <w:rsid w:val="24B30B11"/>
    <w:rsid w:val="24BF09F7"/>
    <w:rsid w:val="24C6060B"/>
    <w:rsid w:val="24C65B0F"/>
    <w:rsid w:val="24D10F97"/>
    <w:rsid w:val="251315B0"/>
    <w:rsid w:val="25137802"/>
    <w:rsid w:val="252966FF"/>
    <w:rsid w:val="252D53FE"/>
    <w:rsid w:val="25333A00"/>
    <w:rsid w:val="253F4153"/>
    <w:rsid w:val="255341F5"/>
    <w:rsid w:val="25710085"/>
    <w:rsid w:val="257632D6"/>
    <w:rsid w:val="2585551C"/>
    <w:rsid w:val="25A246E2"/>
    <w:rsid w:val="25D06895"/>
    <w:rsid w:val="25E22689"/>
    <w:rsid w:val="25E60A73"/>
    <w:rsid w:val="25EC2D81"/>
    <w:rsid w:val="25EC489E"/>
    <w:rsid w:val="25F520CF"/>
    <w:rsid w:val="25FC6460"/>
    <w:rsid w:val="260E7FC9"/>
    <w:rsid w:val="260F501B"/>
    <w:rsid w:val="26143832"/>
    <w:rsid w:val="262840A1"/>
    <w:rsid w:val="2650413E"/>
    <w:rsid w:val="26712A32"/>
    <w:rsid w:val="267A6A29"/>
    <w:rsid w:val="268D7140"/>
    <w:rsid w:val="269404CF"/>
    <w:rsid w:val="269E01E7"/>
    <w:rsid w:val="26A85D28"/>
    <w:rsid w:val="26B6638C"/>
    <w:rsid w:val="26B9425B"/>
    <w:rsid w:val="26C2328E"/>
    <w:rsid w:val="26C757BD"/>
    <w:rsid w:val="26C8461C"/>
    <w:rsid w:val="271B299E"/>
    <w:rsid w:val="272C5378"/>
    <w:rsid w:val="272E26D1"/>
    <w:rsid w:val="273D0B66"/>
    <w:rsid w:val="27457A1B"/>
    <w:rsid w:val="274E4B21"/>
    <w:rsid w:val="27541040"/>
    <w:rsid w:val="275D716B"/>
    <w:rsid w:val="2762237B"/>
    <w:rsid w:val="2767173F"/>
    <w:rsid w:val="277057A2"/>
    <w:rsid w:val="279462AC"/>
    <w:rsid w:val="27A110F5"/>
    <w:rsid w:val="27AF30E6"/>
    <w:rsid w:val="27B24389"/>
    <w:rsid w:val="27CE2010"/>
    <w:rsid w:val="27D677E7"/>
    <w:rsid w:val="27E705B4"/>
    <w:rsid w:val="27FC156C"/>
    <w:rsid w:val="27FF5E1C"/>
    <w:rsid w:val="280F3966"/>
    <w:rsid w:val="281C69CE"/>
    <w:rsid w:val="283D7E26"/>
    <w:rsid w:val="284A476E"/>
    <w:rsid w:val="2854514E"/>
    <w:rsid w:val="28593D52"/>
    <w:rsid w:val="285B79D2"/>
    <w:rsid w:val="28610131"/>
    <w:rsid w:val="286839C1"/>
    <w:rsid w:val="28866BF1"/>
    <w:rsid w:val="28B210E0"/>
    <w:rsid w:val="28B60BD0"/>
    <w:rsid w:val="28B724C1"/>
    <w:rsid w:val="28C8445F"/>
    <w:rsid w:val="28ED683F"/>
    <w:rsid w:val="28F6721F"/>
    <w:rsid w:val="29037B8D"/>
    <w:rsid w:val="290642D3"/>
    <w:rsid w:val="290731DA"/>
    <w:rsid w:val="29206EB8"/>
    <w:rsid w:val="29212728"/>
    <w:rsid w:val="292813A2"/>
    <w:rsid w:val="292875F4"/>
    <w:rsid w:val="29356CDE"/>
    <w:rsid w:val="29392F7E"/>
    <w:rsid w:val="293C27AC"/>
    <w:rsid w:val="294206B6"/>
    <w:rsid w:val="294564FD"/>
    <w:rsid w:val="29561EB9"/>
    <w:rsid w:val="29595666"/>
    <w:rsid w:val="29613DF1"/>
    <w:rsid w:val="296144DC"/>
    <w:rsid w:val="29695C42"/>
    <w:rsid w:val="297B7724"/>
    <w:rsid w:val="297E52BA"/>
    <w:rsid w:val="29874881"/>
    <w:rsid w:val="29883BEF"/>
    <w:rsid w:val="298F31CF"/>
    <w:rsid w:val="29C55868"/>
    <w:rsid w:val="29E325E0"/>
    <w:rsid w:val="29E452C9"/>
    <w:rsid w:val="29EE7EF6"/>
    <w:rsid w:val="29F77AAE"/>
    <w:rsid w:val="29FF3178"/>
    <w:rsid w:val="2A0310CE"/>
    <w:rsid w:val="2A0C211C"/>
    <w:rsid w:val="2A16744D"/>
    <w:rsid w:val="2A17318E"/>
    <w:rsid w:val="2A181417"/>
    <w:rsid w:val="2A1964AB"/>
    <w:rsid w:val="2A1F27A5"/>
    <w:rsid w:val="2A452503"/>
    <w:rsid w:val="2A4E636C"/>
    <w:rsid w:val="2A5F5738"/>
    <w:rsid w:val="2A60320F"/>
    <w:rsid w:val="2AA66A22"/>
    <w:rsid w:val="2AAA2228"/>
    <w:rsid w:val="2ABF60CD"/>
    <w:rsid w:val="2AD57180"/>
    <w:rsid w:val="2ADD7514"/>
    <w:rsid w:val="2ADE3E07"/>
    <w:rsid w:val="2AED2B71"/>
    <w:rsid w:val="2AF61758"/>
    <w:rsid w:val="2B04461B"/>
    <w:rsid w:val="2B063856"/>
    <w:rsid w:val="2B0A6754"/>
    <w:rsid w:val="2B1040AD"/>
    <w:rsid w:val="2B2838DB"/>
    <w:rsid w:val="2B304000"/>
    <w:rsid w:val="2B3F298E"/>
    <w:rsid w:val="2B404781"/>
    <w:rsid w:val="2B455B03"/>
    <w:rsid w:val="2B4D6E9E"/>
    <w:rsid w:val="2B587F28"/>
    <w:rsid w:val="2B6A0DDE"/>
    <w:rsid w:val="2B6E0DD0"/>
    <w:rsid w:val="2B801021"/>
    <w:rsid w:val="2B8B03F6"/>
    <w:rsid w:val="2B967998"/>
    <w:rsid w:val="2B9D5CD5"/>
    <w:rsid w:val="2BA900BB"/>
    <w:rsid w:val="2BA936A8"/>
    <w:rsid w:val="2BD1689F"/>
    <w:rsid w:val="2BD274F4"/>
    <w:rsid w:val="2BD870AF"/>
    <w:rsid w:val="2BE3764D"/>
    <w:rsid w:val="2BE901B2"/>
    <w:rsid w:val="2C18630F"/>
    <w:rsid w:val="2C1A520D"/>
    <w:rsid w:val="2C2220D9"/>
    <w:rsid w:val="2C315A5A"/>
    <w:rsid w:val="2C3971FB"/>
    <w:rsid w:val="2C4B1C25"/>
    <w:rsid w:val="2C6426F1"/>
    <w:rsid w:val="2C7A3CC3"/>
    <w:rsid w:val="2C8608B9"/>
    <w:rsid w:val="2C892158"/>
    <w:rsid w:val="2C9E6947"/>
    <w:rsid w:val="2CA878BA"/>
    <w:rsid w:val="2CB35427"/>
    <w:rsid w:val="2CC828F3"/>
    <w:rsid w:val="2D030F68"/>
    <w:rsid w:val="2D095047"/>
    <w:rsid w:val="2D157E8F"/>
    <w:rsid w:val="2D1A74EC"/>
    <w:rsid w:val="2D1E0AF2"/>
    <w:rsid w:val="2D26209C"/>
    <w:rsid w:val="2D30404A"/>
    <w:rsid w:val="2D355E3C"/>
    <w:rsid w:val="2D3863B8"/>
    <w:rsid w:val="2D404F0C"/>
    <w:rsid w:val="2D4349FC"/>
    <w:rsid w:val="2D522E8F"/>
    <w:rsid w:val="2D557B42"/>
    <w:rsid w:val="2D8631C9"/>
    <w:rsid w:val="2D9E56F5"/>
    <w:rsid w:val="2DA03BFD"/>
    <w:rsid w:val="2DBC16BF"/>
    <w:rsid w:val="2DCC054E"/>
    <w:rsid w:val="2DEE172B"/>
    <w:rsid w:val="2DFD104F"/>
    <w:rsid w:val="2E0913DA"/>
    <w:rsid w:val="2E0F2B31"/>
    <w:rsid w:val="2E1741DC"/>
    <w:rsid w:val="2E1819E5"/>
    <w:rsid w:val="2E1A197C"/>
    <w:rsid w:val="2E3A485B"/>
    <w:rsid w:val="2E474078"/>
    <w:rsid w:val="2E505623"/>
    <w:rsid w:val="2E5F307B"/>
    <w:rsid w:val="2E6102A1"/>
    <w:rsid w:val="2E667F96"/>
    <w:rsid w:val="2E7D6921"/>
    <w:rsid w:val="2E7D7A9A"/>
    <w:rsid w:val="2E81758A"/>
    <w:rsid w:val="2E8226AB"/>
    <w:rsid w:val="2E884DBD"/>
    <w:rsid w:val="2E8A1227"/>
    <w:rsid w:val="2E953B7B"/>
    <w:rsid w:val="2EA76D21"/>
    <w:rsid w:val="2EA96AE1"/>
    <w:rsid w:val="2EB01C1E"/>
    <w:rsid w:val="2EB141FD"/>
    <w:rsid w:val="2EC60C00"/>
    <w:rsid w:val="2EC67BCD"/>
    <w:rsid w:val="2ED05F2C"/>
    <w:rsid w:val="2EDE49DD"/>
    <w:rsid w:val="2EEB534C"/>
    <w:rsid w:val="2EEC5066"/>
    <w:rsid w:val="2F1F64FF"/>
    <w:rsid w:val="2F2708CD"/>
    <w:rsid w:val="2F3E7229"/>
    <w:rsid w:val="2F5F53F2"/>
    <w:rsid w:val="2F763FF2"/>
    <w:rsid w:val="2F771A4C"/>
    <w:rsid w:val="2F7876CD"/>
    <w:rsid w:val="2F852C5F"/>
    <w:rsid w:val="2F8741D2"/>
    <w:rsid w:val="2F8C0AAD"/>
    <w:rsid w:val="2F8E3D93"/>
    <w:rsid w:val="2F904AFB"/>
    <w:rsid w:val="2F964603"/>
    <w:rsid w:val="2F9763EF"/>
    <w:rsid w:val="2FAF67EA"/>
    <w:rsid w:val="2FB12B5B"/>
    <w:rsid w:val="2FB35E69"/>
    <w:rsid w:val="2FBA6381"/>
    <w:rsid w:val="2FBC2844"/>
    <w:rsid w:val="2FD065E6"/>
    <w:rsid w:val="2FD96870"/>
    <w:rsid w:val="2FDB0F1C"/>
    <w:rsid w:val="2FE85924"/>
    <w:rsid w:val="2FFD0E93"/>
    <w:rsid w:val="3025362D"/>
    <w:rsid w:val="302632FC"/>
    <w:rsid w:val="302801C8"/>
    <w:rsid w:val="304434DD"/>
    <w:rsid w:val="304E07E8"/>
    <w:rsid w:val="30580BC9"/>
    <w:rsid w:val="3061576D"/>
    <w:rsid w:val="307B625B"/>
    <w:rsid w:val="30930C1F"/>
    <w:rsid w:val="3095336C"/>
    <w:rsid w:val="30980BBB"/>
    <w:rsid w:val="30C81B8F"/>
    <w:rsid w:val="30CA7E73"/>
    <w:rsid w:val="30EC66A6"/>
    <w:rsid w:val="30F20613"/>
    <w:rsid w:val="310D2876"/>
    <w:rsid w:val="311B0C60"/>
    <w:rsid w:val="311E2ED7"/>
    <w:rsid w:val="31230DCD"/>
    <w:rsid w:val="313E1763"/>
    <w:rsid w:val="315619EE"/>
    <w:rsid w:val="315C449C"/>
    <w:rsid w:val="31622E5D"/>
    <w:rsid w:val="31644F41"/>
    <w:rsid w:val="316A07AA"/>
    <w:rsid w:val="317163F2"/>
    <w:rsid w:val="317E6003"/>
    <w:rsid w:val="31837ABD"/>
    <w:rsid w:val="31880C30"/>
    <w:rsid w:val="318D4498"/>
    <w:rsid w:val="31965C9F"/>
    <w:rsid w:val="31B82709"/>
    <w:rsid w:val="31C64FD5"/>
    <w:rsid w:val="31D05482"/>
    <w:rsid w:val="31F84007"/>
    <w:rsid w:val="32096215"/>
    <w:rsid w:val="3224754C"/>
    <w:rsid w:val="322A1CE7"/>
    <w:rsid w:val="32305CBC"/>
    <w:rsid w:val="32400B34"/>
    <w:rsid w:val="324C5100"/>
    <w:rsid w:val="3251196A"/>
    <w:rsid w:val="32591EFA"/>
    <w:rsid w:val="32653D22"/>
    <w:rsid w:val="327F0285"/>
    <w:rsid w:val="328752B3"/>
    <w:rsid w:val="329E6876"/>
    <w:rsid w:val="32B141B6"/>
    <w:rsid w:val="32DE5784"/>
    <w:rsid w:val="32EF4228"/>
    <w:rsid w:val="32FA49E9"/>
    <w:rsid w:val="330C763F"/>
    <w:rsid w:val="33194D3D"/>
    <w:rsid w:val="33236EEB"/>
    <w:rsid w:val="333015F2"/>
    <w:rsid w:val="33305A23"/>
    <w:rsid w:val="334069F4"/>
    <w:rsid w:val="334B6320"/>
    <w:rsid w:val="336359DD"/>
    <w:rsid w:val="336D27D3"/>
    <w:rsid w:val="3383112B"/>
    <w:rsid w:val="33896EE1"/>
    <w:rsid w:val="338C710B"/>
    <w:rsid w:val="33936718"/>
    <w:rsid w:val="33947D60"/>
    <w:rsid w:val="33B63843"/>
    <w:rsid w:val="33C70135"/>
    <w:rsid w:val="33D934D4"/>
    <w:rsid w:val="33DC5263"/>
    <w:rsid w:val="33E47158"/>
    <w:rsid w:val="33EA3E24"/>
    <w:rsid w:val="33EA6ED5"/>
    <w:rsid w:val="33FE2F6A"/>
    <w:rsid w:val="34057BB2"/>
    <w:rsid w:val="340E07E5"/>
    <w:rsid w:val="34120C85"/>
    <w:rsid w:val="3418570A"/>
    <w:rsid w:val="34235BF7"/>
    <w:rsid w:val="342D1CB8"/>
    <w:rsid w:val="345474EF"/>
    <w:rsid w:val="346403C4"/>
    <w:rsid w:val="346E6803"/>
    <w:rsid w:val="34905006"/>
    <w:rsid w:val="3492284C"/>
    <w:rsid w:val="34A4791F"/>
    <w:rsid w:val="34AF2210"/>
    <w:rsid w:val="34B14942"/>
    <w:rsid w:val="34B65AB4"/>
    <w:rsid w:val="34C44675"/>
    <w:rsid w:val="34E70363"/>
    <w:rsid w:val="34EC597A"/>
    <w:rsid w:val="35494755"/>
    <w:rsid w:val="35640B8C"/>
    <w:rsid w:val="3589141A"/>
    <w:rsid w:val="358C5FA8"/>
    <w:rsid w:val="359A3628"/>
    <w:rsid w:val="35AD4DDA"/>
    <w:rsid w:val="35C054BC"/>
    <w:rsid w:val="35C15DF1"/>
    <w:rsid w:val="35E1078E"/>
    <w:rsid w:val="35E56E5D"/>
    <w:rsid w:val="35EC122D"/>
    <w:rsid w:val="35F5085E"/>
    <w:rsid w:val="35FD1237"/>
    <w:rsid w:val="35FE3BB6"/>
    <w:rsid w:val="36032F7B"/>
    <w:rsid w:val="3607116B"/>
    <w:rsid w:val="36074A7F"/>
    <w:rsid w:val="36145188"/>
    <w:rsid w:val="36165280"/>
    <w:rsid w:val="36244E11"/>
    <w:rsid w:val="36250A64"/>
    <w:rsid w:val="36327D7A"/>
    <w:rsid w:val="36540DA2"/>
    <w:rsid w:val="36694216"/>
    <w:rsid w:val="368C21AB"/>
    <w:rsid w:val="36923549"/>
    <w:rsid w:val="36B02A66"/>
    <w:rsid w:val="36B75FBF"/>
    <w:rsid w:val="36BD0C45"/>
    <w:rsid w:val="36BF733E"/>
    <w:rsid w:val="36D861B6"/>
    <w:rsid w:val="36E032BC"/>
    <w:rsid w:val="36E064F6"/>
    <w:rsid w:val="36F62AE0"/>
    <w:rsid w:val="37117919"/>
    <w:rsid w:val="37185140"/>
    <w:rsid w:val="373E4577"/>
    <w:rsid w:val="37441A9D"/>
    <w:rsid w:val="37781747"/>
    <w:rsid w:val="379A790F"/>
    <w:rsid w:val="37A4078E"/>
    <w:rsid w:val="37A4253C"/>
    <w:rsid w:val="37AA2FB4"/>
    <w:rsid w:val="37AF6474"/>
    <w:rsid w:val="37B207B5"/>
    <w:rsid w:val="37C16C4A"/>
    <w:rsid w:val="37C64260"/>
    <w:rsid w:val="37C93D50"/>
    <w:rsid w:val="37CB1054"/>
    <w:rsid w:val="37D54C5E"/>
    <w:rsid w:val="37E00298"/>
    <w:rsid w:val="37FC4612"/>
    <w:rsid w:val="3801798E"/>
    <w:rsid w:val="38033FE9"/>
    <w:rsid w:val="381E409C"/>
    <w:rsid w:val="384B666D"/>
    <w:rsid w:val="38635F53"/>
    <w:rsid w:val="38637D01"/>
    <w:rsid w:val="38653A79"/>
    <w:rsid w:val="38752E7D"/>
    <w:rsid w:val="387622A7"/>
    <w:rsid w:val="389C6EEF"/>
    <w:rsid w:val="38A04AB1"/>
    <w:rsid w:val="38A22F48"/>
    <w:rsid w:val="38AB0B90"/>
    <w:rsid w:val="38B05B8F"/>
    <w:rsid w:val="38B302F9"/>
    <w:rsid w:val="38B46A52"/>
    <w:rsid w:val="38D5710E"/>
    <w:rsid w:val="38E31861"/>
    <w:rsid w:val="38F02F8B"/>
    <w:rsid w:val="38F117B0"/>
    <w:rsid w:val="38F12CD3"/>
    <w:rsid w:val="38F94775"/>
    <w:rsid w:val="390E5790"/>
    <w:rsid w:val="391239ED"/>
    <w:rsid w:val="391C3097"/>
    <w:rsid w:val="39276F80"/>
    <w:rsid w:val="392971ED"/>
    <w:rsid w:val="392E030F"/>
    <w:rsid w:val="39323EDA"/>
    <w:rsid w:val="39325651"/>
    <w:rsid w:val="393B2A2C"/>
    <w:rsid w:val="39711717"/>
    <w:rsid w:val="39754AB6"/>
    <w:rsid w:val="397C76EC"/>
    <w:rsid w:val="398D0CEC"/>
    <w:rsid w:val="398D34B6"/>
    <w:rsid w:val="39981C2C"/>
    <w:rsid w:val="39A80D24"/>
    <w:rsid w:val="39C26CD1"/>
    <w:rsid w:val="39D013C6"/>
    <w:rsid w:val="39E41315"/>
    <w:rsid w:val="39E50389"/>
    <w:rsid w:val="39EA0818"/>
    <w:rsid w:val="39F72DF7"/>
    <w:rsid w:val="3A1F40FB"/>
    <w:rsid w:val="3A230DBA"/>
    <w:rsid w:val="3A2470BB"/>
    <w:rsid w:val="3A291EED"/>
    <w:rsid w:val="3A3D58FF"/>
    <w:rsid w:val="3A5648FE"/>
    <w:rsid w:val="3A595B15"/>
    <w:rsid w:val="3A6E3982"/>
    <w:rsid w:val="3A872856"/>
    <w:rsid w:val="3A9D68EE"/>
    <w:rsid w:val="3AA32AB9"/>
    <w:rsid w:val="3AA56F5F"/>
    <w:rsid w:val="3AC10958"/>
    <w:rsid w:val="3AC220F7"/>
    <w:rsid w:val="3ACB33B8"/>
    <w:rsid w:val="3AD81BEF"/>
    <w:rsid w:val="3ADE5D64"/>
    <w:rsid w:val="3AE710BD"/>
    <w:rsid w:val="3AEC222F"/>
    <w:rsid w:val="3AF31810"/>
    <w:rsid w:val="3B1359F1"/>
    <w:rsid w:val="3B196346"/>
    <w:rsid w:val="3B2C06F9"/>
    <w:rsid w:val="3B3763D1"/>
    <w:rsid w:val="3B3D2A8B"/>
    <w:rsid w:val="3B680433"/>
    <w:rsid w:val="3B693880"/>
    <w:rsid w:val="3B6C6C89"/>
    <w:rsid w:val="3B7943D0"/>
    <w:rsid w:val="3B820DE6"/>
    <w:rsid w:val="3BAE657D"/>
    <w:rsid w:val="3BB03A5D"/>
    <w:rsid w:val="3BB16FD5"/>
    <w:rsid w:val="3BB9266A"/>
    <w:rsid w:val="3BE42FED"/>
    <w:rsid w:val="3BF53366"/>
    <w:rsid w:val="3BF750E1"/>
    <w:rsid w:val="3C2F6E1E"/>
    <w:rsid w:val="3C3464D1"/>
    <w:rsid w:val="3C4E1134"/>
    <w:rsid w:val="3C4F64BA"/>
    <w:rsid w:val="3C5738CA"/>
    <w:rsid w:val="3C5B61DE"/>
    <w:rsid w:val="3C5D7AF9"/>
    <w:rsid w:val="3C5E4EC7"/>
    <w:rsid w:val="3C5F4C83"/>
    <w:rsid w:val="3C7249B6"/>
    <w:rsid w:val="3C740D90"/>
    <w:rsid w:val="3C797AF3"/>
    <w:rsid w:val="3CA6763C"/>
    <w:rsid w:val="3CAF4385"/>
    <w:rsid w:val="3CDA245A"/>
    <w:rsid w:val="3CF362A9"/>
    <w:rsid w:val="3D0C0967"/>
    <w:rsid w:val="3D0F66A9"/>
    <w:rsid w:val="3D1E06B7"/>
    <w:rsid w:val="3D251A29"/>
    <w:rsid w:val="3D385C00"/>
    <w:rsid w:val="3D472ACE"/>
    <w:rsid w:val="3D477BF1"/>
    <w:rsid w:val="3D510A70"/>
    <w:rsid w:val="3D681789"/>
    <w:rsid w:val="3DA41D3A"/>
    <w:rsid w:val="3DA43295"/>
    <w:rsid w:val="3DBC05DF"/>
    <w:rsid w:val="3DBD6105"/>
    <w:rsid w:val="3DC079A3"/>
    <w:rsid w:val="3DC47569"/>
    <w:rsid w:val="3DC51712"/>
    <w:rsid w:val="3DDF58D8"/>
    <w:rsid w:val="3DE1502A"/>
    <w:rsid w:val="3DED69EA"/>
    <w:rsid w:val="3DFB03D8"/>
    <w:rsid w:val="3E021D6A"/>
    <w:rsid w:val="3E0221C9"/>
    <w:rsid w:val="3E03620E"/>
    <w:rsid w:val="3E045842"/>
    <w:rsid w:val="3E2B306F"/>
    <w:rsid w:val="3E2E0DB1"/>
    <w:rsid w:val="3E371679"/>
    <w:rsid w:val="3E377C66"/>
    <w:rsid w:val="3E3C3672"/>
    <w:rsid w:val="3E41524B"/>
    <w:rsid w:val="3E561864"/>
    <w:rsid w:val="3E6D4E64"/>
    <w:rsid w:val="3E7B2AD7"/>
    <w:rsid w:val="3EAB41B0"/>
    <w:rsid w:val="3EB63280"/>
    <w:rsid w:val="3EC2204A"/>
    <w:rsid w:val="3EDA0523"/>
    <w:rsid w:val="3F0377ED"/>
    <w:rsid w:val="3F125FDD"/>
    <w:rsid w:val="3F2A1578"/>
    <w:rsid w:val="3F2D46BE"/>
    <w:rsid w:val="3F536256"/>
    <w:rsid w:val="3F5E56C6"/>
    <w:rsid w:val="3F5F0B6A"/>
    <w:rsid w:val="3F823162"/>
    <w:rsid w:val="3F8769CB"/>
    <w:rsid w:val="3F945626"/>
    <w:rsid w:val="3FC75019"/>
    <w:rsid w:val="3FF6387A"/>
    <w:rsid w:val="3FFD6C8D"/>
    <w:rsid w:val="402B2DCC"/>
    <w:rsid w:val="402E1197"/>
    <w:rsid w:val="40330901"/>
    <w:rsid w:val="405F5252"/>
    <w:rsid w:val="406B3BF6"/>
    <w:rsid w:val="407A6407"/>
    <w:rsid w:val="40930E3E"/>
    <w:rsid w:val="409475F1"/>
    <w:rsid w:val="409C64A6"/>
    <w:rsid w:val="40A519CB"/>
    <w:rsid w:val="40AD420F"/>
    <w:rsid w:val="40C81736"/>
    <w:rsid w:val="40CF35E1"/>
    <w:rsid w:val="40F7192E"/>
    <w:rsid w:val="40FB4B2A"/>
    <w:rsid w:val="40FF07E3"/>
    <w:rsid w:val="410C362B"/>
    <w:rsid w:val="41253131"/>
    <w:rsid w:val="415D5C35"/>
    <w:rsid w:val="41605725"/>
    <w:rsid w:val="416A2100"/>
    <w:rsid w:val="416C231C"/>
    <w:rsid w:val="417B2918"/>
    <w:rsid w:val="417E204F"/>
    <w:rsid w:val="418E36B1"/>
    <w:rsid w:val="41A94FFC"/>
    <w:rsid w:val="41B65345"/>
    <w:rsid w:val="41DC4AC0"/>
    <w:rsid w:val="41E012AE"/>
    <w:rsid w:val="4200449D"/>
    <w:rsid w:val="4204126D"/>
    <w:rsid w:val="42044F45"/>
    <w:rsid w:val="420D4FBC"/>
    <w:rsid w:val="421E4E0B"/>
    <w:rsid w:val="42302661"/>
    <w:rsid w:val="42333E44"/>
    <w:rsid w:val="423A3BCC"/>
    <w:rsid w:val="424E57D2"/>
    <w:rsid w:val="426E5C20"/>
    <w:rsid w:val="427E2307"/>
    <w:rsid w:val="427F7E2D"/>
    <w:rsid w:val="42883C37"/>
    <w:rsid w:val="428A3912"/>
    <w:rsid w:val="428B0DFB"/>
    <w:rsid w:val="428F299D"/>
    <w:rsid w:val="429531AD"/>
    <w:rsid w:val="4299783C"/>
    <w:rsid w:val="42A32548"/>
    <w:rsid w:val="42B26C49"/>
    <w:rsid w:val="42B71375"/>
    <w:rsid w:val="42BB7828"/>
    <w:rsid w:val="42D068DB"/>
    <w:rsid w:val="42E16D1D"/>
    <w:rsid w:val="42EA31B1"/>
    <w:rsid w:val="43010842"/>
    <w:rsid w:val="4326474D"/>
    <w:rsid w:val="432C5DEE"/>
    <w:rsid w:val="432E2AD8"/>
    <w:rsid w:val="433A6FE6"/>
    <w:rsid w:val="43480868"/>
    <w:rsid w:val="43485A04"/>
    <w:rsid w:val="4350713C"/>
    <w:rsid w:val="435718DF"/>
    <w:rsid w:val="436653E0"/>
    <w:rsid w:val="437E5696"/>
    <w:rsid w:val="43832101"/>
    <w:rsid w:val="43957F31"/>
    <w:rsid w:val="439A4D79"/>
    <w:rsid w:val="43B13AAE"/>
    <w:rsid w:val="43B1620A"/>
    <w:rsid w:val="43B6787E"/>
    <w:rsid w:val="43C4431A"/>
    <w:rsid w:val="43CA0BBE"/>
    <w:rsid w:val="43CF027E"/>
    <w:rsid w:val="43D1290A"/>
    <w:rsid w:val="43D6135A"/>
    <w:rsid w:val="43DF5027"/>
    <w:rsid w:val="43E91A02"/>
    <w:rsid w:val="43F32881"/>
    <w:rsid w:val="43F567DE"/>
    <w:rsid w:val="43FD36FF"/>
    <w:rsid w:val="44067D66"/>
    <w:rsid w:val="44093E52"/>
    <w:rsid w:val="441B3A48"/>
    <w:rsid w:val="44585533"/>
    <w:rsid w:val="445D7CFA"/>
    <w:rsid w:val="445E2538"/>
    <w:rsid w:val="44641089"/>
    <w:rsid w:val="446C618F"/>
    <w:rsid w:val="447F2366"/>
    <w:rsid w:val="449C6A74"/>
    <w:rsid w:val="44A228C8"/>
    <w:rsid w:val="44A474C9"/>
    <w:rsid w:val="44B30262"/>
    <w:rsid w:val="44B951CC"/>
    <w:rsid w:val="44CD14E0"/>
    <w:rsid w:val="44DA702F"/>
    <w:rsid w:val="44E42F2F"/>
    <w:rsid w:val="44E65F41"/>
    <w:rsid w:val="44F20B0B"/>
    <w:rsid w:val="44F34B07"/>
    <w:rsid w:val="44F763A1"/>
    <w:rsid w:val="44FA6F7E"/>
    <w:rsid w:val="450774A2"/>
    <w:rsid w:val="450B60C4"/>
    <w:rsid w:val="4513485D"/>
    <w:rsid w:val="451E2976"/>
    <w:rsid w:val="452E5F4C"/>
    <w:rsid w:val="453725FC"/>
    <w:rsid w:val="453C51A9"/>
    <w:rsid w:val="454F1D39"/>
    <w:rsid w:val="45575091"/>
    <w:rsid w:val="45591FA2"/>
    <w:rsid w:val="455C082D"/>
    <w:rsid w:val="45612018"/>
    <w:rsid w:val="4567646C"/>
    <w:rsid w:val="456E3B75"/>
    <w:rsid w:val="4570743E"/>
    <w:rsid w:val="458946E9"/>
    <w:rsid w:val="459425FC"/>
    <w:rsid w:val="45A47C0E"/>
    <w:rsid w:val="45AD4CB1"/>
    <w:rsid w:val="45B002FD"/>
    <w:rsid w:val="45C02D3F"/>
    <w:rsid w:val="45C36283"/>
    <w:rsid w:val="45C40201"/>
    <w:rsid w:val="45DE4E6B"/>
    <w:rsid w:val="45F460EC"/>
    <w:rsid w:val="46017EC5"/>
    <w:rsid w:val="461940F5"/>
    <w:rsid w:val="46374D3E"/>
    <w:rsid w:val="464B34FB"/>
    <w:rsid w:val="464C6278"/>
    <w:rsid w:val="46577FD6"/>
    <w:rsid w:val="46664AF4"/>
    <w:rsid w:val="467D4684"/>
    <w:rsid w:val="46875502"/>
    <w:rsid w:val="46AF05B5"/>
    <w:rsid w:val="46BE4621"/>
    <w:rsid w:val="46D63D94"/>
    <w:rsid w:val="46D955A7"/>
    <w:rsid w:val="46EF36C1"/>
    <w:rsid w:val="46F774CE"/>
    <w:rsid w:val="47133957"/>
    <w:rsid w:val="473236C0"/>
    <w:rsid w:val="47330765"/>
    <w:rsid w:val="47356D0C"/>
    <w:rsid w:val="474D02D6"/>
    <w:rsid w:val="474F4272"/>
    <w:rsid w:val="475353E4"/>
    <w:rsid w:val="477535AD"/>
    <w:rsid w:val="478A4FEE"/>
    <w:rsid w:val="478B2DD0"/>
    <w:rsid w:val="4795557D"/>
    <w:rsid w:val="479A3013"/>
    <w:rsid w:val="479A3D49"/>
    <w:rsid w:val="47A07E0C"/>
    <w:rsid w:val="47A53E92"/>
    <w:rsid w:val="47AA76FA"/>
    <w:rsid w:val="47B642F1"/>
    <w:rsid w:val="47C167F2"/>
    <w:rsid w:val="47D67665"/>
    <w:rsid w:val="48054931"/>
    <w:rsid w:val="480D29EF"/>
    <w:rsid w:val="480D7C89"/>
    <w:rsid w:val="4812704D"/>
    <w:rsid w:val="48274C8F"/>
    <w:rsid w:val="482C50CD"/>
    <w:rsid w:val="484740A8"/>
    <w:rsid w:val="48653621"/>
    <w:rsid w:val="4870272E"/>
    <w:rsid w:val="48710218"/>
    <w:rsid w:val="487A6AF5"/>
    <w:rsid w:val="488C6237"/>
    <w:rsid w:val="488D060E"/>
    <w:rsid w:val="48A77745"/>
    <w:rsid w:val="48BF7D7E"/>
    <w:rsid w:val="48C62D3B"/>
    <w:rsid w:val="48E16144"/>
    <w:rsid w:val="48E95E25"/>
    <w:rsid w:val="48F055E1"/>
    <w:rsid w:val="48F50E49"/>
    <w:rsid w:val="48F60E19"/>
    <w:rsid w:val="48FF5330"/>
    <w:rsid w:val="490F1D1E"/>
    <w:rsid w:val="4924150C"/>
    <w:rsid w:val="492A323A"/>
    <w:rsid w:val="492B486B"/>
    <w:rsid w:val="49480AFE"/>
    <w:rsid w:val="4955379A"/>
    <w:rsid w:val="49632C47"/>
    <w:rsid w:val="496A2251"/>
    <w:rsid w:val="497956EF"/>
    <w:rsid w:val="49841C03"/>
    <w:rsid w:val="49926698"/>
    <w:rsid w:val="49965D98"/>
    <w:rsid w:val="49A10114"/>
    <w:rsid w:val="49AA0A9B"/>
    <w:rsid w:val="49AC0730"/>
    <w:rsid w:val="49C50F63"/>
    <w:rsid w:val="49CC2177"/>
    <w:rsid w:val="49D11300"/>
    <w:rsid w:val="49D1292A"/>
    <w:rsid w:val="49D96075"/>
    <w:rsid w:val="49DC7715"/>
    <w:rsid w:val="49E044F4"/>
    <w:rsid w:val="49E33EC9"/>
    <w:rsid w:val="49EA0BB5"/>
    <w:rsid w:val="49F21972"/>
    <w:rsid w:val="4A01737A"/>
    <w:rsid w:val="4A023139"/>
    <w:rsid w:val="4A033576"/>
    <w:rsid w:val="4A033589"/>
    <w:rsid w:val="4A137849"/>
    <w:rsid w:val="4A1B519B"/>
    <w:rsid w:val="4A311421"/>
    <w:rsid w:val="4A3C7E3F"/>
    <w:rsid w:val="4A456F4C"/>
    <w:rsid w:val="4A474331"/>
    <w:rsid w:val="4A5F015D"/>
    <w:rsid w:val="4A6859C8"/>
    <w:rsid w:val="4A6F2154"/>
    <w:rsid w:val="4A7B576F"/>
    <w:rsid w:val="4A8017C9"/>
    <w:rsid w:val="4A934476"/>
    <w:rsid w:val="4AAA7A11"/>
    <w:rsid w:val="4AB663B6"/>
    <w:rsid w:val="4AB80D3C"/>
    <w:rsid w:val="4ABB18DE"/>
    <w:rsid w:val="4ABE4F78"/>
    <w:rsid w:val="4AC21300"/>
    <w:rsid w:val="4AC74B13"/>
    <w:rsid w:val="4AE65D82"/>
    <w:rsid w:val="4AF561A9"/>
    <w:rsid w:val="4B0233A9"/>
    <w:rsid w:val="4B0E2273"/>
    <w:rsid w:val="4B180E1F"/>
    <w:rsid w:val="4B22424D"/>
    <w:rsid w:val="4B3028E0"/>
    <w:rsid w:val="4B3043BA"/>
    <w:rsid w:val="4B306168"/>
    <w:rsid w:val="4B50680B"/>
    <w:rsid w:val="4B5C626C"/>
    <w:rsid w:val="4B661B8A"/>
    <w:rsid w:val="4B8D35BB"/>
    <w:rsid w:val="4B8D7117"/>
    <w:rsid w:val="4BBB60DA"/>
    <w:rsid w:val="4BC44B03"/>
    <w:rsid w:val="4BEC2C2E"/>
    <w:rsid w:val="4BF47196"/>
    <w:rsid w:val="4C102F08"/>
    <w:rsid w:val="4C29081D"/>
    <w:rsid w:val="4C304D42"/>
    <w:rsid w:val="4C380557"/>
    <w:rsid w:val="4C4A0649"/>
    <w:rsid w:val="4C54319D"/>
    <w:rsid w:val="4C5639AD"/>
    <w:rsid w:val="4C686FCA"/>
    <w:rsid w:val="4C6E5295"/>
    <w:rsid w:val="4C784DB8"/>
    <w:rsid w:val="4C7E5ECA"/>
    <w:rsid w:val="4C800A2A"/>
    <w:rsid w:val="4C87000A"/>
    <w:rsid w:val="4C876AA5"/>
    <w:rsid w:val="4C982217"/>
    <w:rsid w:val="4CAF57B3"/>
    <w:rsid w:val="4CB22BAD"/>
    <w:rsid w:val="4CDD7594"/>
    <w:rsid w:val="4CE02D1F"/>
    <w:rsid w:val="4CE9093D"/>
    <w:rsid w:val="4D0821BD"/>
    <w:rsid w:val="4D0E00FB"/>
    <w:rsid w:val="4D153606"/>
    <w:rsid w:val="4D176606"/>
    <w:rsid w:val="4D1B2671"/>
    <w:rsid w:val="4D386DDA"/>
    <w:rsid w:val="4D3F6B37"/>
    <w:rsid w:val="4D764FBA"/>
    <w:rsid w:val="4D7E57FA"/>
    <w:rsid w:val="4D96420E"/>
    <w:rsid w:val="4D9801AD"/>
    <w:rsid w:val="4D9D5085"/>
    <w:rsid w:val="4D9F1383"/>
    <w:rsid w:val="4DA70238"/>
    <w:rsid w:val="4DA91C75"/>
    <w:rsid w:val="4DC81616"/>
    <w:rsid w:val="4DD51249"/>
    <w:rsid w:val="4DEC4FB0"/>
    <w:rsid w:val="4DFF0074"/>
    <w:rsid w:val="4E075D8A"/>
    <w:rsid w:val="4E095EB9"/>
    <w:rsid w:val="4E0F6509"/>
    <w:rsid w:val="4E17716C"/>
    <w:rsid w:val="4E1A6C5C"/>
    <w:rsid w:val="4E2B2C17"/>
    <w:rsid w:val="4E3168D7"/>
    <w:rsid w:val="4E557637"/>
    <w:rsid w:val="4E7B76FB"/>
    <w:rsid w:val="4E8925E8"/>
    <w:rsid w:val="4E8C1165"/>
    <w:rsid w:val="4E920DFE"/>
    <w:rsid w:val="4EAB5528"/>
    <w:rsid w:val="4EB946C7"/>
    <w:rsid w:val="4EBE6BD0"/>
    <w:rsid w:val="4EC00FAD"/>
    <w:rsid w:val="4EC015B1"/>
    <w:rsid w:val="4EC04CC0"/>
    <w:rsid w:val="4ED67027"/>
    <w:rsid w:val="4EDC0D6D"/>
    <w:rsid w:val="4EE22C35"/>
    <w:rsid w:val="4EEE14ED"/>
    <w:rsid w:val="4F021BCA"/>
    <w:rsid w:val="4F43623B"/>
    <w:rsid w:val="4F901AFC"/>
    <w:rsid w:val="4F9843DC"/>
    <w:rsid w:val="4F995CE2"/>
    <w:rsid w:val="4FA32D35"/>
    <w:rsid w:val="4FA61ABB"/>
    <w:rsid w:val="4FB07878"/>
    <w:rsid w:val="4FC62A8C"/>
    <w:rsid w:val="4FCA2777"/>
    <w:rsid w:val="4FE20F0D"/>
    <w:rsid w:val="4FE51552"/>
    <w:rsid w:val="4FF736F9"/>
    <w:rsid w:val="4FF97471"/>
    <w:rsid w:val="50052354"/>
    <w:rsid w:val="500951DA"/>
    <w:rsid w:val="500B2D00"/>
    <w:rsid w:val="50106568"/>
    <w:rsid w:val="501445C8"/>
    <w:rsid w:val="502913D8"/>
    <w:rsid w:val="502A770B"/>
    <w:rsid w:val="50436C51"/>
    <w:rsid w:val="50504C4B"/>
    <w:rsid w:val="50634008"/>
    <w:rsid w:val="50650662"/>
    <w:rsid w:val="50740CF9"/>
    <w:rsid w:val="50785EC0"/>
    <w:rsid w:val="507F05B9"/>
    <w:rsid w:val="50837DA4"/>
    <w:rsid w:val="50852AB2"/>
    <w:rsid w:val="50882A36"/>
    <w:rsid w:val="508E1C44"/>
    <w:rsid w:val="509C6E7C"/>
    <w:rsid w:val="50A54F03"/>
    <w:rsid w:val="50B31D4C"/>
    <w:rsid w:val="50CC6933"/>
    <w:rsid w:val="50E27F05"/>
    <w:rsid w:val="50EF617E"/>
    <w:rsid w:val="51132DE2"/>
    <w:rsid w:val="51356BF3"/>
    <w:rsid w:val="513B7915"/>
    <w:rsid w:val="513E0EB3"/>
    <w:rsid w:val="514543B5"/>
    <w:rsid w:val="514E7348"/>
    <w:rsid w:val="515F7D14"/>
    <w:rsid w:val="5162104E"/>
    <w:rsid w:val="516E3547"/>
    <w:rsid w:val="517B58A4"/>
    <w:rsid w:val="51825244"/>
    <w:rsid w:val="518C7E71"/>
    <w:rsid w:val="5194668D"/>
    <w:rsid w:val="51A258E6"/>
    <w:rsid w:val="51A323DD"/>
    <w:rsid w:val="51B9346B"/>
    <w:rsid w:val="51BF7BAC"/>
    <w:rsid w:val="51C723E6"/>
    <w:rsid w:val="51D04201"/>
    <w:rsid w:val="51EC7777"/>
    <w:rsid w:val="520B6FE7"/>
    <w:rsid w:val="52112076"/>
    <w:rsid w:val="522D5360"/>
    <w:rsid w:val="523D4F0B"/>
    <w:rsid w:val="523F4D04"/>
    <w:rsid w:val="524950D6"/>
    <w:rsid w:val="52616DA0"/>
    <w:rsid w:val="52660640"/>
    <w:rsid w:val="52666914"/>
    <w:rsid w:val="526826DD"/>
    <w:rsid w:val="526A6404"/>
    <w:rsid w:val="526D1A50"/>
    <w:rsid w:val="528278EA"/>
    <w:rsid w:val="528A0854"/>
    <w:rsid w:val="5290573F"/>
    <w:rsid w:val="52BD01A7"/>
    <w:rsid w:val="52C413B1"/>
    <w:rsid w:val="52C45F34"/>
    <w:rsid w:val="52C949F1"/>
    <w:rsid w:val="52CF6267"/>
    <w:rsid w:val="52D9535B"/>
    <w:rsid w:val="52E54539"/>
    <w:rsid w:val="52ED206B"/>
    <w:rsid w:val="52F304D1"/>
    <w:rsid w:val="53090872"/>
    <w:rsid w:val="53176822"/>
    <w:rsid w:val="531805D6"/>
    <w:rsid w:val="531F6529"/>
    <w:rsid w:val="53316A33"/>
    <w:rsid w:val="533254A4"/>
    <w:rsid w:val="534C3D5B"/>
    <w:rsid w:val="535169A9"/>
    <w:rsid w:val="53654E1D"/>
    <w:rsid w:val="538A6632"/>
    <w:rsid w:val="53937294"/>
    <w:rsid w:val="5396225C"/>
    <w:rsid w:val="53966B08"/>
    <w:rsid w:val="53A039CC"/>
    <w:rsid w:val="53A1505A"/>
    <w:rsid w:val="53BE4522"/>
    <w:rsid w:val="53C90B5B"/>
    <w:rsid w:val="53C93203"/>
    <w:rsid w:val="53D31D87"/>
    <w:rsid w:val="53D564A8"/>
    <w:rsid w:val="53E647A8"/>
    <w:rsid w:val="540006A2"/>
    <w:rsid w:val="54063E08"/>
    <w:rsid w:val="541F6D7A"/>
    <w:rsid w:val="542D5B65"/>
    <w:rsid w:val="543437E8"/>
    <w:rsid w:val="543D009D"/>
    <w:rsid w:val="545A4256"/>
    <w:rsid w:val="545E1FE2"/>
    <w:rsid w:val="545F207B"/>
    <w:rsid w:val="545F7ABE"/>
    <w:rsid w:val="546B0211"/>
    <w:rsid w:val="547A11AF"/>
    <w:rsid w:val="548E7D0F"/>
    <w:rsid w:val="54B310C9"/>
    <w:rsid w:val="54B96FBD"/>
    <w:rsid w:val="54BC0A6D"/>
    <w:rsid w:val="54C067AF"/>
    <w:rsid w:val="54E22DEA"/>
    <w:rsid w:val="54E41F61"/>
    <w:rsid w:val="54F73313"/>
    <w:rsid w:val="54F80955"/>
    <w:rsid w:val="54FD6D22"/>
    <w:rsid w:val="55000C8A"/>
    <w:rsid w:val="552B174F"/>
    <w:rsid w:val="554A42CB"/>
    <w:rsid w:val="555170A7"/>
    <w:rsid w:val="555313D1"/>
    <w:rsid w:val="55545579"/>
    <w:rsid w:val="5587536D"/>
    <w:rsid w:val="55904B7D"/>
    <w:rsid w:val="559B174B"/>
    <w:rsid w:val="55CE0CF4"/>
    <w:rsid w:val="55E4027B"/>
    <w:rsid w:val="560C4938"/>
    <w:rsid w:val="561C1EA0"/>
    <w:rsid w:val="56262642"/>
    <w:rsid w:val="562B40FC"/>
    <w:rsid w:val="563A1D3C"/>
    <w:rsid w:val="563F63BE"/>
    <w:rsid w:val="5647080A"/>
    <w:rsid w:val="56501F08"/>
    <w:rsid w:val="565B4387"/>
    <w:rsid w:val="566158BA"/>
    <w:rsid w:val="56633896"/>
    <w:rsid w:val="56672D02"/>
    <w:rsid w:val="56760E10"/>
    <w:rsid w:val="567974EA"/>
    <w:rsid w:val="567B63B7"/>
    <w:rsid w:val="5696489C"/>
    <w:rsid w:val="56B22A9C"/>
    <w:rsid w:val="56BD4202"/>
    <w:rsid w:val="56C837E0"/>
    <w:rsid w:val="56D10F6C"/>
    <w:rsid w:val="56EC52F3"/>
    <w:rsid w:val="56F82F2D"/>
    <w:rsid w:val="56FF58D4"/>
    <w:rsid w:val="570F757A"/>
    <w:rsid w:val="57106E4E"/>
    <w:rsid w:val="57254B18"/>
    <w:rsid w:val="57281634"/>
    <w:rsid w:val="574700F0"/>
    <w:rsid w:val="575E405D"/>
    <w:rsid w:val="575E54CB"/>
    <w:rsid w:val="57686C8A"/>
    <w:rsid w:val="57730BF2"/>
    <w:rsid w:val="57964139"/>
    <w:rsid w:val="579767A4"/>
    <w:rsid w:val="579D2DD8"/>
    <w:rsid w:val="57AA6E55"/>
    <w:rsid w:val="57AC1AB5"/>
    <w:rsid w:val="57B16FA6"/>
    <w:rsid w:val="57B36157"/>
    <w:rsid w:val="57B72A76"/>
    <w:rsid w:val="57C3426C"/>
    <w:rsid w:val="57C40364"/>
    <w:rsid w:val="57CE1F93"/>
    <w:rsid w:val="57D367F9"/>
    <w:rsid w:val="57D538C1"/>
    <w:rsid w:val="57D8031B"/>
    <w:rsid w:val="57F21DAA"/>
    <w:rsid w:val="57FB3D74"/>
    <w:rsid w:val="58027B07"/>
    <w:rsid w:val="580746F5"/>
    <w:rsid w:val="58226E39"/>
    <w:rsid w:val="582B7456"/>
    <w:rsid w:val="582E6BAD"/>
    <w:rsid w:val="58395B67"/>
    <w:rsid w:val="584049D0"/>
    <w:rsid w:val="585D4315"/>
    <w:rsid w:val="585E6662"/>
    <w:rsid w:val="58615BB3"/>
    <w:rsid w:val="586B07E0"/>
    <w:rsid w:val="587C3438"/>
    <w:rsid w:val="588743D1"/>
    <w:rsid w:val="5887701A"/>
    <w:rsid w:val="588875E4"/>
    <w:rsid w:val="588E2720"/>
    <w:rsid w:val="58957D45"/>
    <w:rsid w:val="589C6BEB"/>
    <w:rsid w:val="589F0489"/>
    <w:rsid w:val="58A65901"/>
    <w:rsid w:val="58C3686E"/>
    <w:rsid w:val="58D31068"/>
    <w:rsid w:val="58D8218A"/>
    <w:rsid w:val="58DE5456"/>
    <w:rsid w:val="58DF2F7C"/>
    <w:rsid w:val="58E32A6C"/>
    <w:rsid w:val="58F20F01"/>
    <w:rsid w:val="59040C3D"/>
    <w:rsid w:val="590F1AB3"/>
    <w:rsid w:val="59140E77"/>
    <w:rsid w:val="592B61C1"/>
    <w:rsid w:val="59415592"/>
    <w:rsid w:val="59571C0B"/>
    <w:rsid w:val="59584FF3"/>
    <w:rsid w:val="595C637A"/>
    <w:rsid w:val="59670087"/>
    <w:rsid w:val="597E4CEF"/>
    <w:rsid w:val="59870472"/>
    <w:rsid w:val="5991071A"/>
    <w:rsid w:val="59A65848"/>
    <w:rsid w:val="59A85A64"/>
    <w:rsid w:val="59AB20A1"/>
    <w:rsid w:val="59AC7302"/>
    <w:rsid w:val="59B44408"/>
    <w:rsid w:val="59BB5797"/>
    <w:rsid w:val="59C0439F"/>
    <w:rsid w:val="59C64145"/>
    <w:rsid w:val="59D6612D"/>
    <w:rsid w:val="59F91E1B"/>
    <w:rsid w:val="5A055A84"/>
    <w:rsid w:val="5A192D62"/>
    <w:rsid w:val="5A1F7AD4"/>
    <w:rsid w:val="5A2566A2"/>
    <w:rsid w:val="5A533E50"/>
    <w:rsid w:val="5A5B4884"/>
    <w:rsid w:val="5A5D71D1"/>
    <w:rsid w:val="5A6C0AD6"/>
    <w:rsid w:val="5A7871E4"/>
    <w:rsid w:val="5A792E33"/>
    <w:rsid w:val="5A932270"/>
    <w:rsid w:val="5A980C37"/>
    <w:rsid w:val="5ABE2233"/>
    <w:rsid w:val="5AC211FE"/>
    <w:rsid w:val="5AD42074"/>
    <w:rsid w:val="5AE2479B"/>
    <w:rsid w:val="5AE70BB0"/>
    <w:rsid w:val="5AF4295F"/>
    <w:rsid w:val="5AF4455A"/>
    <w:rsid w:val="5AFA5E4B"/>
    <w:rsid w:val="5B0608E3"/>
    <w:rsid w:val="5B12653D"/>
    <w:rsid w:val="5B127639"/>
    <w:rsid w:val="5B243716"/>
    <w:rsid w:val="5B3E6063"/>
    <w:rsid w:val="5B4D0079"/>
    <w:rsid w:val="5B525BFE"/>
    <w:rsid w:val="5B561B32"/>
    <w:rsid w:val="5B5C4D58"/>
    <w:rsid w:val="5B835E40"/>
    <w:rsid w:val="5B9242D5"/>
    <w:rsid w:val="5B9D08B5"/>
    <w:rsid w:val="5BA504AD"/>
    <w:rsid w:val="5BA75886"/>
    <w:rsid w:val="5BD17528"/>
    <w:rsid w:val="5BD41AA1"/>
    <w:rsid w:val="5BD46F89"/>
    <w:rsid w:val="5BDF5D95"/>
    <w:rsid w:val="5BE37DBC"/>
    <w:rsid w:val="5BE7577A"/>
    <w:rsid w:val="5BEC0CF4"/>
    <w:rsid w:val="5BFE7528"/>
    <w:rsid w:val="5C0827EA"/>
    <w:rsid w:val="5C166CB5"/>
    <w:rsid w:val="5C277114"/>
    <w:rsid w:val="5C484BB0"/>
    <w:rsid w:val="5C4A4BB0"/>
    <w:rsid w:val="5C760625"/>
    <w:rsid w:val="5C7631F5"/>
    <w:rsid w:val="5C82259C"/>
    <w:rsid w:val="5C907FB7"/>
    <w:rsid w:val="5CA02688"/>
    <w:rsid w:val="5CA70254"/>
    <w:rsid w:val="5CAE15E3"/>
    <w:rsid w:val="5CAF0E70"/>
    <w:rsid w:val="5CB06720"/>
    <w:rsid w:val="5CB62246"/>
    <w:rsid w:val="5CCB5CF1"/>
    <w:rsid w:val="5CCC1228"/>
    <w:rsid w:val="5CD051C2"/>
    <w:rsid w:val="5CD45817"/>
    <w:rsid w:val="5CDB79DF"/>
    <w:rsid w:val="5CF95D2C"/>
    <w:rsid w:val="5CFB745C"/>
    <w:rsid w:val="5D035EA0"/>
    <w:rsid w:val="5D0905C7"/>
    <w:rsid w:val="5D0C5AC6"/>
    <w:rsid w:val="5D187049"/>
    <w:rsid w:val="5D1B55D7"/>
    <w:rsid w:val="5D1C654D"/>
    <w:rsid w:val="5D284B00"/>
    <w:rsid w:val="5D544843"/>
    <w:rsid w:val="5D5702B3"/>
    <w:rsid w:val="5D5A6507"/>
    <w:rsid w:val="5D677642"/>
    <w:rsid w:val="5D770F79"/>
    <w:rsid w:val="5D82261B"/>
    <w:rsid w:val="5D86278D"/>
    <w:rsid w:val="5D88311A"/>
    <w:rsid w:val="5D96599B"/>
    <w:rsid w:val="5D9A631E"/>
    <w:rsid w:val="5DA10A9E"/>
    <w:rsid w:val="5DA26FAD"/>
    <w:rsid w:val="5DBC076F"/>
    <w:rsid w:val="5DC7566A"/>
    <w:rsid w:val="5DCF4033"/>
    <w:rsid w:val="5DD134F8"/>
    <w:rsid w:val="5E0F60B1"/>
    <w:rsid w:val="5E2467F1"/>
    <w:rsid w:val="5E2F22B0"/>
    <w:rsid w:val="5E3E24F3"/>
    <w:rsid w:val="5E3E6996"/>
    <w:rsid w:val="5E451AD3"/>
    <w:rsid w:val="5E48099B"/>
    <w:rsid w:val="5E527E8C"/>
    <w:rsid w:val="5E6A32E8"/>
    <w:rsid w:val="5E7C3B11"/>
    <w:rsid w:val="5E7D126D"/>
    <w:rsid w:val="5E845A1C"/>
    <w:rsid w:val="5E8545C5"/>
    <w:rsid w:val="5EB8200A"/>
    <w:rsid w:val="5EBB7FE7"/>
    <w:rsid w:val="5EBD0005"/>
    <w:rsid w:val="5EC7073A"/>
    <w:rsid w:val="5ED90B77"/>
    <w:rsid w:val="5EF33755"/>
    <w:rsid w:val="5F13397F"/>
    <w:rsid w:val="5F1A2B43"/>
    <w:rsid w:val="5F2E1FB7"/>
    <w:rsid w:val="5F3430BF"/>
    <w:rsid w:val="5F395B6A"/>
    <w:rsid w:val="5F395D1D"/>
    <w:rsid w:val="5F466CD9"/>
    <w:rsid w:val="5F6F4BC7"/>
    <w:rsid w:val="5F723B66"/>
    <w:rsid w:val="5F751F44"/>
    <w:rsid w:val="5F7F5E98"/>
    <w:rsid w:val="5F863532"/>
    <w:rsid w:val="5F91757F"/>
    <w:rsid w:val="5F940401"/>
    <w:rsid w:val="5FB52C88"/>
    <w:rsid w:val="5FB76A00"/>
    <w:rsid w:val="5FB837BB"/>
    <w:rsid w:val="5FBC5036"/>
    <w:rsid w:val="5FBE5FB6"/>
    <w:rsid w:val="5FBF5576"/>
    <w:rsid w:val="5FEC289C"/>
    <w:rsid w:val="5FFB68ED"/>
    <w:rsid w:val="5FFE3021"/>
    <w:rsid w:val="60123C37"/>
    <w:rsid w:val="601B0D3D"/>
    <w:rsid w:val="601E438A"/>
    <w:rsid w:val="602045F3"/>
    <w:rsid w:val="60266CCC"/>
    <w:rsid w:val="603B5855"/>
    <w:rsid w:val="604A517F"/>
    <w:rsid w:val="60597EE6"/>
    <w:rsid w:val="605D1356"/>
    <w:rsid w:val="605D4C28"/>
    <w:rsid w:val="606C1599"/>
    <w:rsid w:val="60911000"/>
    <w:rsid w:val="60991BCC"/>
    <w:rsid w:val="60B7767B"/>
    <w:rsid w:val="60BD3BA3"/>
    <w:rsid w:val="60CB4825"/>
    <w:rsid w:val="60CC405A"/>
    <w:rsid w:val="60CC64DC"/>
    <w:rsid w:val="60D94755"/>
    <w:rsid w:val="60DA29A7"/>
    <w:rsid w:val="60F0394C"/>
    <w:rsid w:val="60FA0D27"/>
    <w:rsid w:val="611D1FCC"/>
    <w:rsid w:val="61301D12"/>
    <w:rsid w:val="614822A7"/>
    <w:rsid w:val="61497B2C"/>
    <w:rsid w:val="615005C7"/>
    <w:rsid w:val="6151253D"/>
    <w:rsid w:val="615F4C5A"/>
    <w:rsid w:val="616651C8"/>
    <w:rsid w:val="616D123B"/>
    <w:rsid w:val="61774699"/>
    <w:rsid w:val="617F2E4E"/>
    <w:rsid w:val="61BF1B9C"/>
    <w:rsid w:val="61D45648"/>
    <w:rsid w:val="61D814EE"/>
    <w:rsid w:val="61E215D8"/>
    <w:rsid w:val="61ED665F"/>
    <w:rsid w:val="61F4447F"/>
    <w:rsid w:val="61F45CEA"/>
    <w:rsid w:val="61F77588"/>
    <w:rsid w:val="6217588F"/>
    <w:rsid w:val="621B3775"/>
    <w:rsid w:val="622B7232"/>
    <w:rsid w:val="622F7B90"/>
    <w:rsid w:val="623353E2"/>
    <w:rsid w:val="62364782"/>
    <w:rsid w:val="62591F2E"/>
    <w:rsid w:val="62824B77"/>
    <w:rsid w:val="62885DF2"/>
    <w:rsid w:val="62AC13B2"/>
    <w:rsid w:val="62B15989"/>
    <w:rsid w:val="62BD432E"/>
    <w:rsid w:val="62CC27C3"/>
    <w:rsid w:val="62D72AEF"/>
    <w:rsid w:val="63054005"/>
    <w:rsid w:val="6315739F"/>
    <w:rsid w:val="631852C7"/>
    <w:rsid w:val="631F6D97"/>
    <w:rsid w:val="632443AD"/>
    <w:rsid w:val="63295A2E"/>
    <w:rsid w:val="63471E49"/>
    <w:rsid w:val="63685338"/>
    <w:rsid w:val="636C5CA4"/>
    <w:rsid w:val="636E4AF4"/>
    <w:rsid w:val="637349EC"/>
    <w:rsid w:val="6381796F"/>
    <w:rsid w:val="638C5281"/>
    <w:rsid w:val="6394356A"/>
    <w:rsid w:val="63A64DC2"/>
    <w:rsid w:val="63BA261B"/>
    <w:rsid w:val="63C61B2C"/>
    <w:rsid w:val="63CD05A1"/>
    <w:rsid w:val="63CD67F3"/>
    <w:rsid w:val="63D40BE9"/>
    <w:rsid w:val="63DF02D4"/>
    <w:rsid w:val="63E23270"/>
    <w:rsid w:val="63EA46D0"/>
    <w:rsid w:val="64002DAD"/>
    <w:rsid w:val="64074337"/>
    <w:rsid w:val="64102431"/>
    <w:rsid w:val="64191A38"/>
    <w:rsid w:val="6426760F"/>
    <w:rsid w:val="642A6248"/>
    <w:rsid w:val="644365EB"/>
    <w:rsid w:val="64461CC7"/>
    <w:rsid w:val="644E4B00"/>
    <w:rsid w:val="644F0FB6"/>
    <w:rsid w:val="646D1D84"/>
    <w:rsid w:val="6483791E"/>
    <w:rsid w:val="648C045C"/>
    <w:rsid w:val="648F1461"/>
    <w:rsid w:val="648F1CFA"/>
    <w:rsid w:val="64915A72"/>
    <w:rsid w:val="64A03E90"/>
    <w:rsid w:val="64A5243A"/>
    <w:rsid w:val="64CE49AF"/>
    <w:rsid w:val="64DB4F3F"/>
    <w:rsid w:val="64F507E9"/>
    <w:rsid w:val="64F531DE"/>
    <w:rsid w:val="64FE63E2"/>
    <w:rsid w:val="650C5E0E"/>
    <w:rsid w:val="6517019A"/>
    <w:rsid w:val="651F307E"/>
    <w:rsid w:val="65230D53"/>
    <w:rsid w:val="652F163C"/>
    <w:rsid w:val="65373578"/>
    <w:rsid w:val="653F5A71"/>
    <w:rsid w:val="65426D6C"/>
    <w:rsid w:val="65497A1B"/>
    <w:rsid w:val="65552408"/>
    <w:rsid w:val="65566374"/>
    <w:rsid w:val="655E5E7F"/>
    <w:rsid w:val="65622AA8"/>
    <w:rsid w:val="65711400"/>
    <w:rsid w:val="65847385"/>
    <w:rsid w:val="658B24C1"/>
    <w:rsid w:val="658D3850"/>
    <w:rsid w:val="65AB7DEE"/>
    <w:rsid w:val="65C01F63"/>
    <w:rsid w:val="65C82E01"/>
    <w:rsid w:val="65CC2C4F"/>
    <w:rsid w:val="65D73958"/>
    <w:rsid w:val="65DA33AA"/>
    <w:rsid w:val="65E73470"/>
    <w:rsid w:val="65F067C8"/>
    <w:rsid w:val="66174CA7"/>
    <w:rsid w:val="66383CCB"/>
    <w:rsid w:val="66680A54"/>
    <w:rsid w:val="667E2770"/>
    <w:rsid w:val="66846F11"/>
    <w:rsid w:val="668F04B3"/>
    <w:rsid w:val="669730E8"/>
    <w:rsid w:val="66A54C34"/>
    <w:rsid w:val="66B71A94"/>
    <w:rsid w:val="66C67529"/>
    <w:rsid w:val="66E75E1D"/>
    <w:rsid w:val="67041B93"/>
    <w:rsid w:val="671464E6"/>
    <w:rsid w:val="671F124A"/>
    <w:rsid w:val="67210E21"/>
    <w:rsid w:val="673426E5"/>
    <w:rsid w:val="674566A0"/>
    <w:rsid w:val="675039C2"/>
    <w:rsid w:val="675E59B4"/>
    <w:rsid w:val="6773793C"/>
    <w:rsid w:val="677950DB"/>
    <w:rsid w:val="677A33C6"/>
    <w:rsid w:val="677D6974"/>
    <w:rsid w:val="678E7758"/>
    <w:rsid w:val="67944EC0"/>
    <w:rsid w:val="67B13FC6"/>
    <w:rsid w:val="67C95196"/>
    <w:rsid w:val="67FF1376"/>
    <w:rsid w:val="680909F1"/>
    <w:rsid w:val="68182006"/>
    <w:rsid w:val="681F6961"/>
    <w:rsid w:val="6821710D"/>
    <w:rsid w:val="68220CE6"/>
    <w:rsid w:val="68421AF2"/>
    <w:rsid w:val="68610A2F"/>
    <w:rsid w:val="68711653"/>
    <w:rsid w:val="687436E1"/>
    <w:rsid w:val="68805514"/>
    <w:rsid w:val="688D2E59"/>
    <w:rsid w:val="688E2782"/>
    <w:rsid w:val="68A2174B"/>
    <w:rsid w:val="68A85138"/>
    <w:rsid w:val="68B03FA3"/>
    <w:rsid w:val="68BE2BAE"/>
    <w:rsid w:val="68C115EF"/>
    <w:rsid w:val="68E263CA"/>
    <w:rsid w:val="68E8095C"/>
    <w:rsid w:val="69124CA8"/>
    <w:rsid w:val="691C7A7D"/>
    <w:rsid w:val="691E364C"/>
    <w:rsid w:val="69202020"/>
    <w:rsid w:val="69272501"/>
    <w:rsid w:val="69286279"/>
    <w:rsid w:val="692C6E4B"/>
    <w:rsid w:val="69316E2F"/>
    <w:rsid w:val="694E17D6"/>
    <w:rsid w:val="694E2071"/>
    <w:rsid w:val="694E3F32"/>
    <w:rsid w:val="6975752B"/>
    <w:rsid w:val="69766163"/>
    <w:rsid w:val="697A3B33"/>
    <w:rsid w:val="698711F2"/>
    <w:rsid w:val="699D6B55"/>
    <w:rsid w:val="69B34529"/>
    <w:rsid w:val="69B67D29"/>
    <w:rsid w:val="69CA02FE"/>
    <w:rsid w:val="69D44760"/>
    <w:rsid w:val="69DA3A17"/>
    <w:rsid w:val="6A0445F0"/>
    <w:rsid w:val="6A237CAB"/>
    <w:rsid w:val="6A2C5F07"/>
    <w:rsid w:val="6A3A2708"/>
    <w:rsid w:val="6A520EC7"/>
    <w:rsid w:val="6A5C61DA"/>
    <w:rsid w:val="6A61624D"/>
    <w:rsid w:val="6A66460C"/>
    <w:rsid w:val="6A742635"/>
    <w:rsid w:val="6A75300F"/>
    <w:rsid w:val="6A95793E"/>
    <w:rsid w:val="6A9C452D"/>
    <w:rsid w:val="6AC344AB"/>
    <w:rsid w:val="6AC45A77"/>
    <w:rsid w:val="6ACB7804"/>
    <w:rsid w:val="6ADF6E0B"/>
    <w:rsid w:val="6AE461D0"/>
    <w:rsid w:val="6AE81574"/>
    <w:rsid w:val="6AF87E20"/>
    <w:rsid w:val="6AFA59F3"/>
    <w:rsid w:val="6B036F9E"/>
    <w:rsid w:val="6B0C5E52"/>
    <w:rsid w:val="6B1226AA"/>
    <w:rsid w:val="6B1B7E43"/>
    <w:rsid w:val="6B256F14"/>
    <w:rsid w:val="6B322639"/>
    <w:rsid w:val="6B3F4BF8"/>
    <w:rsid w:val="6B600218"/>
    <w:rsid w:val="6B655563"/>
    <w:rsid w:val="6B7071D4"/>
    <w:rsid w:val="6B715CB5"/>
    <w:rsid w:val="6B732289"/>
    <w:rsid w:val="6B737C7F"/>
    <w:rsid w:val="6B746981"/>
    <w:rsid w:val="6B8151CE"/>
    <w:rsid w:val="6BA2161F"/>
    <w:rsid w:val="6BA33082"/>
    <w:rsid w:val="6BA37E39"/>
    <w:rsid w:val="6BAC37CE"/>
    <w:rsid w:val="6BC02799"/>
    <w:rsid w:val="6BD91047"/>
    <w:rsid w:val="6BFB5EC7"/>
    <w:rsid w:val="6C3213C0"/>
    <w:rsid w:val="6C3C2767"/>
    <w:rsid w:val="6C3C6C8E"/>
    <w:rsid w:val="6C442503"/>
    <w:rsid w:val="6C636C38"/>
    <w:rsid w:val="6C7D4B2E"/>
    <w:rsid w:val="6C7E69B1"/>
    <w:rsid w:val="6C8859AD"/>
    <w:rsid w:val="6C90639F"/>
    <w:rsid w:val="6C931878"/>
    <w:rsid w:val="6C9500C9"/>
    <w:rsid w:val="6C991DBB"/>
    <w:rsid w:val="6CB202B7"/>
    <w:rsid w:val="6CBE1746"/>
    <w:rsid w:val="6CC01778"/>
    <w:rsid w:val="6CC223C7"/>
    <w:rsid w:val="6CCD5139"/>
    <w:rsid w:val="6CD41B88"/>
    <w:rsid w:val="6CDC5C31"/>
    <w:rsid w:val="6CEF50C6"/>
    <w:rsid w:val="6CF21078"/>
    <w:rsid w:val="6D085B48"/>
    <w:rsid w:val="6D0A2DB0"/>
    <w:rsid w:val="6D1014FE"/>
    <w:rsid w:val="6D237483"/>
    <w:rsid w:val="6D3135B1"/>
    <w:rsid w:val="6D3978A6"/>
    <w:rsid w:val="6D3D2C47"/>
    <w:rsid w:val="6D45389E"/>
    <w:rsid w:val="6D6C0E2A"/>
    <w:rsid w:val="6D721B7D"/>
    <w:rsid w:val="6D8327B8"/>
    <w:rsid w:val="6D8923A0"/>
    <w:rsid w:val="6DA63F32"/>
    <w:rsid w:val="6DA87988"/>
    <w:rsid w:val="6DAF44C2"/>
    <w:rsid w:val="6DB26C51"/>
    <w:rsid w:val="6DB34098"/>
    <w:rsid w:val="6DB41D7E"/>
    <w:rsid w:val="6DB545B6"/>
    <w:rsid w:val="6DD469CF"/>
    <w:rsid w:val="6DE02FB4"/>
    <w:rsid w:val="6E0F1600"/>
    <w:rsid w:val="6E147196"/>
    <w:rsid w:val="6E15258B"/>
    <w:rsid w:val="6E185E2D"/>
    <w:rsid w:val="6E1A0A4F"/>
    <w:rsid w:val="6E514CED"/>
    <w:rsid w:val="6E57291F"/>
    <w:rsid w:val="6E6C09B6"/>
    <w:rsid w:val="6E73108B"/>
    <w:rsid w:val="6E8C2B4D"/>
    <w:rsid w:val="6E943C51"/>
    <w:rsid w:val="6EAC4C32"/>
    <w:rsid w:val="6EAD34A8"/>
    <w:rsid w:val="6EB365E5"/>
    <w:rsid w:val="6EB563D5"/>
    <w:rsid w:val="6EC753B3"/>
    <w:rsid w:val="6ED92677"/>
    <w:rsid w:val="6EE90259"/>
    <w:rsid w:val="6EE94DC0"/>
    <w:rsid w:val="6EFD67C6"/>
    <w:rsid w:val="6EFE29B8"/>
    <w:rsid w:val="6F03131A"/>
    <w:rsid w:val="6F225983"/>
    <w:rsid w:val="6F3C2A7E"/>
    <w:rsid w:val="6F570823"/>
    <w:rsid w:val="6F6013AC"/>
    <w:rsid w:val="6F651FD5"/>
    <w:rsid w:val="6F675D4D"/>
    <w:rsid w:val="6F6768E0"/>
    <w:rsid w:val="6F827815"/>
    <w:rsid w:val="6F8F0E00"/>
    <w:rsid w:val="6FAC7C04"/>
    <w:rsid w:val="6FB22D40"/>
    <w:rsid w:val="6FC17D52"/>
    <w:rsid w:val="6FC767EC"/>
    <w:rsid w:val="6FD11419"/>
    <w:rsid w:val="6FD67088"/>
    <w:rsid w:val="6FD76303"/>
    <w:rsid w:val="6FE33F4D"/>
    <w:rsid w:val="6FFB46E7"/>
    <w:rsid w:val="6FFC5590"/>
    <w:rsid w:val="70053860"/>
    <w:rsid w:val="701C4E25"/>
    <w:rsid w:val="701E2184"/>
    <w:rsid w:val="70383246"/>
    <w:rsid w:val="70666005"/>
    <w:rsid w:val="706D1DD0"/>
    <w:rsid w:val="70710506"/>
    <w:rsid w:val="707F70C6"/>
    <w:rsid w:val="70856B87"/>
    <w:rsid w:val="709A3F00"/>
    <w:rsid w:val="70A1528F"/>
    <w:rsid w:val="70B03C8E"/>
    <w:rsid w:val="70B55347"/>
    <w:rsid w:val="70CA6319"/>
    <w:rsid w:val="70D34D1C"/>
    <w:rsid w:val="70D527EE"/>
    <w:rsid w:val="70EB650A"/>
    <w:rsid w:val="70FC5584"/>
    <w:rsid w:val="710B44B6"/>
    <w:rsid w:val="710F044A"/>
    <w:rsid w:val="71125845"/>
    <w:rsid w:val="71191C6D"/>
    <w:rsid w:val="711B78B6"/>
    <w:rsid w:val="71241A1C"/>
    <w:rsid w:val="71343A82"/>
    <w:rsid w:val="715B5300"/>
    <w:rsid w:val="716342F2"/>
    <w:rsid w:val="71754026"/>
    <w:rsid w:val="71816E6E"/>
    <w:rsid w:val="71AB2226"/>
    <w:rsid w:val="71AB7A47"/>
    <w:rsid w:val="71BD65BC"/>
    <w:rsid w:val="71C11019"/>
    <w:rsid w:val="71C60761"/>
    <w:rsid w:val="71C60C1D"/>
    <w:rsid w:val="71CE0305"/>
    <w:rsid w:val="71D27F8A"/>
    <w:rsid w:val="71D64AC4"/>
    <w:rsid w:val="71D70B31"/>
    <w:rsid w:val="71E73175"/>
    <w:rsid w:val="71EA0CF1"/>
    <w:rsid w:val="71EF5B86"/>
    <w:rsid w:val="720A29C0"/>
    <w:rsid w:val="72136093"/>
    <w:rsid w:val="72374A3F"/>
    <w:rsid w:val="72442376"/>
    <w:rsid w:val="72553024"/>
    <w:rsid w:val="72563136"/>
    <w:rsid w:val="7260307B"/>
    <w:rsid w:val="72706ED5"/>
    <w:rsid w:val="727A7B45"/>
    <w:rsid w:val="728564EA"/>
    <w:rsid w:val="72A32E48"/>
    <w:rsid w:val="72AF7CD4"/>
    <w:rsid w:val="72C56052"/>
    <w:rsid w:val="72E64C93"/>
    <w:rsid w:val="7306587D"/>
    <w:rsid w:val="73122968"/>
    <w:rsid w:val="731F5D5E"/>
    <w:rsid w:val="734C0DB6"/>
    <w:rsid w:val="734D525A"/>
    <w:rsid w:val="73722F12"/>
    <w:rsid w:val="73727918"/>
    <w:rsid w:val="73832A2A"/>
    <w:rsid w:val="7399224D"/>
    <w:rsid w:val="73BE4628"/>
    <w:rsid w:val="73C51AD5"/>
    <w:rsid w:val="73F46409"/>
    <w:rsid w:val="740A314B"/>
    <w:rsid w:val="74126F46"/>
    <w:rsid w:val="7417552A"/>
    <w:rsid w:val="741B5358"/>
    <w:rsid w:val="741E793C"/>
    <w:rsid w:val="74210E1E"/>
    <w:rsid w:val="74253CB9"/>
    <w:rsid w:val="74277859"/>
    <w:rsid w:val="745E3944"/>
    <w:rsid w:val="74660E93"/>
    <w:rsid w:val="747D6DED"/>
    <w:rsid w:val="74956EB9"/>
    <w:rsid w:val="74A86DAB"/>
    <w:rsid w:val="74CE5F27"/>
    <w:rsid w:val="74E219D2"/>
    <w:rsid w:val="74EE0377"/>
    <w:rsid w:val="74F3598D"/>
    <w:rsid w:val="74F53C64"/>
    <w:rsid w:val="751122B7"/>
    <w:rsid w:val="753366D1"/>
    <w:rsid w:val="75362958"/>
    <w:rsid w:val="753E04EE"/>
    <w:rsid w:val="755723C0"/>
    <w:rsid w:val="757649CA"/>
    <w:rsid w:val="757F5473"/>
    <w:rsid w:val="757F66AF"/>
    <w:rsid w:val="75840CDB"/>
    <w:rsid w:val="759F7C2F"/>
    <w:rsid w:val="75AD1FE0"/>
    <w:rsid w:val="760032A4"/>
    <w:rsid w:val="761539AE"/>
    <w:rsid w:val="7617718E"/>
    <w:rsid w:val="76206C56"/>
    <w:rsid w:val="7635099D"/>
    <w:rsid w:val="76402E54"/>
    <w:rsid w:val="76465B82"/>
    <w:rsid w:val="76526AD5"/>
    <w:rsid w:val="765C0405"/>
    <w:rsid w:val="7662726E"/>
    <w:rsid w:val="76666D0C"/>
    <w:rsid w:val="76676633"/>
    <w:rsid w:val="766C27EC"/>
    <w:rsid w:val="76770854"/>
    <w:rsid w:val="768076F4"/>
    <w:rsid w:val="769B7323"/>
    <w:rsid w:val="76C13CDB"/>
    <w:rsid w:val="76C7279A"/>
    <w:rsid w:val="76D53D3C"/>
    <w:rsid w:val="76DA447E"/>
    <w:rsid w:val="76E90673"/>
    <w:rsid w:val="76EA5E82"/>
    <w:rsid w:val="76ED5B11"/>
    <w:rsid w:val="770420D4"/>
    <w:rsid w:val="77057BFA"/>
    <w:rsid w:val="770F1502"/>
    <w:rsid w:val="77242776"/>
    <w:rsid w:val="7725350D"/>
    <w:rsid w:val="7728757E"/>
    <w:rsid w:val="773651D5"/>
    <w:rsid w:val="77366059"/>
    <w:rsid w:val="77516C46"/>
    <w:rsid w:val="77550B81"/>
    <w:rsid w:val="776146FC"/>
    <w:rsid w:val="77640DC4"/>
    <w:rsid w:val="77762421"/>
    <w:rsid w:val="777D1F12"/>
    <w:rsid w:val="778617DD"/>
    <w:rsid w:val="778C0F36"/>
    <w:rsid w:val="778E7071"/>
    <w:rsid w:val="77B56B1F"/>
    <w:rsid w:val="77BC04D6"/>
    <w:rsid w:val="77DF669D"/>
    <w:rsid w:val="77E872FF"/>
    <w:rsid w:val="77E90EE2"/>
    <w:rsid w:val="77FC0FFD"/>
    <w:rsid w:val="78034139"/>
    <w:rsid w:val="780F09F4"/>
    <w:rsid w:val="782140FE"/>
    <w:rsid w:val="78281DF2"/>
    <w:rsid w:val="78482494"/>
    <w:rsid w:val="78571215"/>
    <w:rsid w:val="7879264D"/>
    <w:rsid w:val="788B4F0E"/>
    <w:rsid w:val="78926BAA"/>
    <w:rsid w:val="78945EAE"/>
    <w:rsid w:val="78A90480"/>
    <w:rsid w:val="78BB4A14"/>
    <w:rsid w:val="78BF4531"/>
    <w:rsid w:val="78D7104C"/>
    <w:rsid w:val="78DB3308"/>
    <w:rsid w:val="78E34E1F"/>
    <w:rsid w:val="78F15EA8"/>
    <w:rsid w:val="78F30AFB"/>
    <w:rsid w:val="78F83381"/>
    <w:rsid w:val="78FB45EA"/>
    <w:rsid w:val="790068CB"/>
    <w:rsid w:val="79246A5D"/>
    <w:rsid w:val="796055BB"/>
    <w:rsid w:val="79782905"/>
    <w:rsid w:val="79C1605A"/>
    <w:rsid w:val="79D92E8A"/>
    <w:rsid w:val="79DD7D26"/>
    <w:rsid w:val="79E444D6"/>
    <w:rsid w:val="7A1C5986"/>
    <w:rsid w:val="7A1F0F66"/>
    <w:rsid w:val="7A22112E"/>
    <w:rsid w:val="7A364017"/>
    <w:rsid w:val="7A42541F"/>
    <w:rsid w:val="7A434CC1"/>
    <w:rsid w:val="7A451DAF"/>
    <w:rsid w:val="7A74131E"/>
    <w:rsid w:val="7A761A22"/>
    <w:rsid w:val="7A8265E1"/>
    <w:rsid w:val="7AE21CA9"/>
    <w:rsid w:val="7AF35A5A"/>
    <w:rsid w:val="7AF842F9"/>
    <w:rsid w:val="7B0703E4"/>
    <w:rsid w:val="7B0D16A6"/>
    <w:rsid w:val="7B205002"/>
    <w:rsid w:val="7B3A2568"/>
    <w:rsid w:val="7B403413"/>
    <w:rsid w:val="7B4927AB"/>
    <w:rsid w:val="7B5239DC"/>
    <w:rsid w:val="7B686D42"/>
    <w:rsid w:val="7B6E5D7C"/>
    <w:rsid w:val="7B762E74"/>
    <w:rsid w:val="7B7E5FAF"/>
    <w:rsid w:val="7B841746"/>
    <w:rsid w:val="7B9207C8"/>
    <w:rsid w:val="7B9A1258"/>
    <w:rsid w:val="7BB53956"/>
    <w:rsid w:val="7BBD1810"/>
    <w:rsid w:val="7BC57958"/>
    <w:rsid w:val="7BD55DBA"/>
    <w:rsid w:val="7C2825ED"/>
    <w:rsid w:val="7C2B0844"/>
    <w:rsid w:val="7C343087"/>
    <w:rsid w:val="7C373D61"/>
    <w:rsid w:val="7C4A0D09"/>
    <w:rsid w:val="7C4B60AF"/>
    <w:rsid w:val="7C4E5B9F"/>
    <w:rsid w:val="7C5C02BC"/>
    <w:rsid w:val="7C662EE9"/>
    <w:rsid w:val="7C6C5AC7"/>
    <w:rsid w:val="7C887303"/>
    <w:rsid w:val="7C8C507A"/>
    <w:rsid w:val="7C907561"/>
    <w:rsid w:val="7CA14E92"/>
    <w:rsid w:val="7CA659DB"/>
    <w:rsid w:val="7CA85D25"/>
    <w:rsid w:val="7CB77BE8"/>
    <w:rsid w:val="7CC06A9D"/>
    <w:rsid w:val="7CC145C3"/>
    <w:rsid w:val="7CC6544B"/>
    <w:rsid w:val="7CE14688"/>
    <w:rsid w:val="7D0239FF"/>
    <w:rsid w:val="7D074715"/>
    <w:rsid w:val="7D0928BF"/>
    <w:rsid w:val="7D2863F0"/>
    <w:rsid w:val="7D3354C1"/>
    <w:rsid w:val="7D3D00ED"/>
    <w:rsid w:val="7D5E40CD"/>
    <w:rsid w:val="7D6443A2"/>
    <w:rsid w:val="7D6554D7"/>
    <w:rsid w:val="7D746FFB"/>
    <w:rsid w:val="7D924C63"/>
    <w:rsid w:val="7DA22646"/>
    <w:rsid w:val="7DAF0AC7"/>
    <w:rsid w:val="7DB269A0"/>
    <w:rsid w:val="7DB55ED6"/>
    <w:rsid w:val="7DCD56F2"/>
    <w:rsid w:val="7DDD5591"/>
    <w:rsid w:val="7DFF53A3"/>
    <w:rsid w:val="7E0429B9"/>
    <w:rsid w:val="7E33504C"/>
    <w:rsid w:val="7E421789"/>
    <w:rsid w:val="7E435D95"/>
    <w:rsid w:val="7E734104"/>
    <w:rsid w:val="7E7713DD"/>
    <w:rsid w:val="7E953F59"/>
    <w:rsid w:val="7E9755DB"/>
    <w:rsid w:val="7E9B156F"/>
    <w:rsid w:val="7E9C166C"/>
    <w:rsid w:val="7EB42631"/>
    <w:rsid w:val="7EB919F5"/>
    <w:rsid w:val="7EC860DC"/>
    <w:rsid w:val="7ED625A7"/>
    <w:rsid w:val="7EE30820"/>
    <w:rsid w:val="7EE54599"/>
    <w:rsid w:val="7F001CE7"/>
    <w:rsid w:val="7F0226DF"/>
    <w:rsid w:val="7F062761"/>
    <w:rsid w:val="7F0D167E"/>
    <w:rsid w:val="7F180692"/>
    <w:rsid w:val="7F2C0C33"/>
    <w:rsid w:val="7F4C0ABC"/>
    <w:rsid w:val="7F625BE9"/>
    <w:rsid w:val="7F632205"/>
    <w:rsid w:val="7F78365F"/>
    <w:rsid w:val="7F791185"/>
    <w:rsid w:val="7F91448F"/>
    <w:rsid w:val="7FB65F35"/>
    <w:rsid w:val="7FE22784"/>
    <w:rsid w:val="7FE47E50"/>
    <w:rsid w:val="7FFD3D8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iPriority="0" w:semiHidden="0" w:name="heading 2" w:locked="1"/>
    <w:lsdException w:qFormat="1" w:uiPriority="0" w:semiHidden="0" w:name="heading 3" w:locked="1"/>
    <w:lsdException w:qFormat="1" w:uiPriority="9"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39"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qFormat="1" w:unhideWhenUsed="0" w:uiPriority="0" w:semiHidden="0" w:name="toc 7" w:locked="1"/>
    <w:lsdException w:unhideWhenUsed="0" w:uiPriority="0" w:semiHidden="0" w:name="toc 8" w:locked="1"/>
    <w:lsdException w:qFormat="1" w:unhideWhenUsed="0" w:uiPriority="39" w:semiHidden="0" w:name="toc 9" w:locked="1"/>
    <w:lsdException w:qFormat="1" w:unhideWhenUsed="0" w:uiPriority="0" w:semiHidden="0" w:name="Normal Indent" w:locked="1"/>
    <w:lsdException w:unhideWhenUsed="0" w:uiPriority="0" w:semiHidden="0" w:name="footnote text" w:locked="1"/>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iPriority="0" w:name="caption" w:locked="1"/>
    <w:lsdException w:qFormat="1" w:unhideWhenUsed="0" w:uiPriority="0" w:semiHidden="0" w:name="table of figures" w:locked="1"/>
    <w:lsdException w:unhideWhenUsed="0" w:uiPriority="0" w:semiHidden="0" w:name="envelope address" w:locked="1"/>
    <w:lsdException w:qFormat="1"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qFormat="1"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qFormat="1"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qFormat="1" w:unhideWhenUsed="0" w:uiPriority="0" w:semiHidden="0" w:name="Salutation" w:locked="1"/>
    <w:lsdException w:qFormat="1" w:unhideWhenUsed="0" w:uiPriority="0" w:semiHidden="0" w:name="Date"/>
    <w:lsdException w:qFormat="1" w:unhideWhenUsed="0" w:uiPriority="0" w:semiHidden="0" w:name="Body Text First Indent" w:locked="1"/>
    <w:lsdException w:qFormat="1" w:uiPriority="0" w:semiHidden="0" w:name="Body Text First Indent 2" w:locked="1"/>
    <w:lsdException w:unhideWhenUsed="0" w:uiPriority="0" w:semiHidden="0" w:name="Note Heading" w:locked="1"/>
    <w:lsdException w:qFormat="1" w:unhideWhenUsed="0" w:uiPriority="0" w:semiHidden="0" w:name="Body Text 2" w:locked="1"/>
    <w:lsdException w:unhideWhenUsed="0" w:uiPriority="0" w:semiHidden="0" w:name="Body Text 3" w:locked="1"/>
    <w:lsdException w:qFormat="1" w:unhideWhenUsed="0" w:uiPriority="0" w:semiHidden="0" w:name="Body Text Indent 2" w:locked="1"/>
    <w:lsdException w:unhideWhenUsed="0" w:uiPriority="0" w:semiHidden="0" w:name="Body Text Indent 3" w:locked="1"/>
    <w:lsdException w:qFormat="1" w:unhideWhenUsed="0" w:uiPriority="0" w:semiHidden="0" w:name="Block Text" w:locked="1"/>
    <w:lsdException w:qFormat="1" w:unhideWhenUsed="0" w:uiPriority="0" w:semiHidden="0" w:name="Hyperlink" w:locked="1"/>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qFormat="1" w:unhideWhenUsed="0" w:uiPriority="0"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semiHidden="0" w:name="Balloon Text"/>
    <w:lsdException w:qFormat="1" w:unhideWhenUsed="0" w:uiPriority="0"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72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autoRedefine/>
    <w:qFormat/>
    <w:locked/>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4">
    <w:name w:val="heading 2"/>
    <w:basedOn w:val="1"/>
    <w:next w:val="5"/>
    <w:autoRedefine/>
    <w:unhideWhenUsed/>
    <w:qFormat/>
    <w:locked/>
    <w:uiPriority w:val="0"/>
    <w:pPr>
      <w:keepNext/>
      <w:keepLines/>
      <w:widowControl w:val="0"/>
      <w:spacing w:line="360" w:lineRule="auto"/>
      <w:ind w:left="0" w:leftChars="0" w:right="0" w:firstLine="0" w:firstLineChars="0"/>
      <w:jc w:val="center"/>
      <w:outlineLvl w:val="1"/>
    </w:pPr>
    <w:rPr>
      <w:rFonts w:eastAsia="黑体" w:cs="Times New Roman"/>
      <w:b/>
      <w:bCs/>
      <w:sz w:val="32"/>
      <w:szCs w:val="32"/>
    </w:rPr>
  </w:style>
  <w:style w:type="paragraph" w:styleId="6">
    <w:name w:val="heading 3"/>
    <w:basedOn w:val="1"/>
    <w:next w:val="1"/>
    <w:link w:val="55"/>
    <w:autoRedefine/>
    <w:unhideWhenUsed/>
    <w:qFormat/>
    <w:locked/>
    <w:uiPriority w:val="0"/>
    <w:pPr>
      <w:keepNext/>
      <w:keepLines/>
      <w:spacing w:beforeLines="0" w:beforeAutospacing="0" w:afterLines="0" w:afterAutospacing="0" w:line="360" w:lineRule="auto"/>
      <w:ind w:firstLine="720" w:firstLineChars="200"/>
      <w:outlineLvl w:val="2"/>
    </w:pPr>
    <w:rPr>
      <w:rFonts w:cs="Times New Roman"/>
      <w:b/>
    </w:rPr>
  </w:style>
  <w:style w:type="paragraph" w:styleId="7">
    <w:name w:val="heading 4"/>
    <w:basedOn w:val="1"/>
    <w:next w:val="1"/>
    <w:autoRedefine/>
    <w:unhideWhenUsed/>
    <w:qFormat/>
    <w:locked/>
    <w:uiPriority w:val="9"/>
    <w:pPr>
      <w:keepNext/>
      <w:spacing w:before="240" w:after="60"/>
      <w:outlineLvl w:val="3"/>
    </w:pPr>
    <w:rPr>
      <w:b/>
      <w:bCs/>
      <w:sz w:val="28"/>
      <w:szCs w:val="28"/>
    </w:rPr>
  </w:style>
  <w:style w:type="character" w:default="1" w:styleId="33">
    <w:name w:val="Default Paragraph Font"/>
    <w:autoRedefine/>
    <w:semiHidden/>
    <w:qFormat/>
    <w:uiPriority w:val="0"/>
  </w:style>
  <w:style w:type="table" w:default="1" w:styleId="31">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1"/>
    <w:next w:val="1"/>
    <w:autoRedefine/>
    <w:unhideWhenUsed/>
    <w:qFormat/>
    <w:locked/>
    <w:uiPriority w:val="0"/>
    <w:pPr>
      <w:spacing w:after="120" w:line="240" w:lineRule="auto"/>
      <w:ind w:left="420" w:leftChars="200" w:firstLine="420" w:firstLineChars="200"/>
    </w:pPr>
    <w:rPr>
      <w:rFonts w:ascii="Calibri" w:hAnsi="Calibri"/>
      <w:sz w:val="21"/>
    </w:rPr>
  </w:style>
  <w:style w:type="paragraph" w:styleId="5">
    <w:name w:val="Normal Indent"/>
    <w:basedOn w:val="1"/>
    <w:next w:val="2"/>
    <w:link w:val="87"/>
    <w:autoRedefine/>
    <w:qFormat/>
    <w:locked/>
    <w:uiPriority w:val="0"/>
    <w:pPr>
      <w:spacing w:line="300" w:lineRule="auto"/>
      <w:ind w:firstLine="200" w:firstLineChars="200"/>
      <w:jc w:val="left"/>
    </w:pPr>
    <w:rPr>
      <w:rFonts w:ascii="宋体" w:hAnsi="宋体"/>
      <w:sz w:val="24"/>
      <w:szCs w:val="24"/>
    </w:rPr>
  </w:style>
  <w:style w:type="paragraph" w:styleId="8">
    <w:name w:val="toc 7"/>
    <w:basedOn w:val="1"/>
    <w:next w:val="1"/>
    <w:qFormat/>
    <w:locked/>
    <w:uiPriority w:val="0"/>
    <w:pPr>
      <w:wordWrap/>
      <w:spacing w:line="240" w:lineRule="auto"/>
      <w:ind w:left="0" w:firstLine="0" w:firstLineChars="0"/>
      <w:jc w:val="center"/>
    </w:pPr>
    <w:rPr>
      <w:rFonts w:ascii="Times New Roman" w:hAnsi="Times New Roman"/>
      <w:sz w:val="21"/>
      <w:szCs w:val="21"/>
    </w:rPr>
  </w:style>
  <w:style w:type="paragraph" w:styleId="9">
    <w:name w:val="annotation text"/>
    <w:basedOn w:val="1"/>
    <w:link w:val="57"/>
    <w:autoRedefine/>
    <w:qFormat/>
    <w:uiPriority w:val="0"/>
    <w:pPr>
      <w:jc w:val="left"/>
    </w:pPr>
    <w:rPr>
      <w:kern w:val="0"/>
      <w:sz w:val="24"/>
      <w:szCs w:val="20"/>
    </w:rPr>
  </w:style>
  <w:style w:type="paragraph" w:styleId="10">
    <w:name w:val="Salutation"/>
    <w:basedOn w:val="1"/>
    <w:next w:val="1"/>
    <w:autoRedefine/>
    <w:qFormat/>
    <w:locked/>
    <w:uiPriority w:val="0"/>
  </w:style>
  <w:style w:type="paragraph" w:styleId="11">
    <w:name w:val="Body Text"/>
    <w:basedOn w:val="1"/>
    <w:link w:val="40"/>
    <w:autoRedefine/>
    <w:qFormat/>
    <w:uiPriority w:val="0"/>
    <w:pPr>
      <w:widowControl/>
      <w:snapToGrid w:val="0"/>
      <w:spacing w:line="240" w:lineRule="auto"/>
      <w:ind w:right="113" w:firstLine="0" w:firstLineChars="0"/>
      <w:jc w:val="center"/>
    </w:pPr>
    <w:rPr>
      <w:kern w:val="0"/>
      <w:szCs w:val="20"/>
    </w:rPr>
  </w:style>
  <w:style w:type="paragraph" w:styleId="12">
    <w:name w:val="Body Text Indent"/>
    <w:basedOn w:val="1"/>
    <w:link w:val="56"/>
    <w:autoRedefine/>
    <w:qFormat/>
    <w:uiPriority w:val="0"/>
    <w:pPr>
      <w:spacing w:after="120"/>
      <w:ind w:left="420" w:leftChars="200"/>
    </w:pPr>
    <w:rPr>
      <w:kern w:val="0"/>
      <w:sz w:val="24"/>
      <w:szCs w:val="20"/>
    </w:rPr>
  </w:style>
  <w:style w:type="paragraph" w:styleId="13">
    <w:name w:val="Block Text"/>
    <w:basedOn w:val="1"/>
    <w:qFormat/>
    <w:locked/>
    <w:uiPriority w:val="0"/>
    <w:pPr>
      <w:spacing w:after="120" w:line="500" w:lineRule="exact"/>
      <w:ind w:left="1440" w:leftChars="700" w:right="1440" w:rightChars="700"/>
    </w:pPr>
    <w:rPr>
      <w:rFonts w:hint="eastAsia" w:ascii="仿宋_GB2312" w:eastAsia="仿宋_GB2312"/>
      <w:sz w:val="28"/>
    </w:rPr>
  </w:style>
  <w:style w:type="paragraph" w:styleId="14">
    <w:name w:val="Plain Text"/>
    <w:basedOn w:val="1"/>
    <w:next w:val="10"/>
    <w:autoRedefine/>
    <w:qFormat/>
    <w:locked/>
    <w:uiPriority w:val="0"/>
    <w:pPr>
      <w:spacing w:line="240" w:lineRule="auto"/>
      <w:ind w:firstLine="0" w:firstLineChars="0"/>
      <w:jc w:val="center"/>
    </w:pPr>
    <w:rPr>
      <w:rFonts w:ascii="宋体" w:hAnsi="宋体"/>
      <w:szCs w:val="20"/>
      <w:lang w:val="zh-CN"/>
    </w:rPr>
  </w:style>
  <w:style w:type="paragraph" w:styleId="15">
    <w:name w:val="List Bullet 5"/>
    <w:basedOn w:val="1"/>
    <w:autoRedefine/>
    <w:qFormat/>
    <w:locked/>
    <w:uiPriority w:val="0"/>
    <w:pPr>
      <w:numPr>
        <w:ilvl w:val="0"/>
        <w:numId w:val="1"/>
      </w:numPr>
    </w:pPr>
  </w:style>
  <w:style w:type="paragraph" w:styleId="16">
    <w:name w:val="Date"/>
    <w:basedOn w:val="1"/>
    <w:next w:val="1"/>
    <w:link w:val="58"/>
    <w:autoRedefine/>
    <w:qFormat/>
    <w:uiPriority w:val="0"/>
    <w:pPr>
      <w:ind w:left="100" w:leftChars="2500"/>
    </w:pPr>
    <w:rPr>
      <w:kern w:val="0"/>
      <w:sz w:val="24"/>
      <w:szCs w:val="20"/>
    </w:rPr>
  </w:style>
  <w:style w:type="paragraph" w:styleId="17">
    <w:name w:val="Body Text Indent 2"/>
    <w:basedOn w:val="1"/>
    <w:next w:val="2"/>
    <w:autoRedefine/>
    <w:qFormat/>
    <w:locked/>
    <w:uiPriority w:val="0"/>
    <w:pPr>
      <w:spacing w:line="360" w:lineRule="auto"/>
      <w:ind w:firstLine="480" w:firstLineChars="200"/>
    </w:pPr>
    <w:rPr>
      <w:color w:val="000000"/>
      <w:sz w:val="24"/>
    </w:rPr>
  </w:style>
  <w:style w:type="paragraph" w:styleId="18">
    <w:name w:val="Balloon Text"/>
    <w:basedOn w:val="1"/>
    <w:link w:val="59"/>
    <w:autoRedefine/>
    <w:qFormat/>
    <w:uiPriority w:val="0"/>
    <w:rPr>
      <w:kern w:val="0"/>
      <w:sz w:val="18"/>
      <w:szCs w:val="20"/>
    </w:rPr>
  </w:style>
  <w:style w:type="paragraph" w:styleId="19">
    <w:name w:val="footer"/>
    <w:basedOn w:val="1"/>
    <w:next w:val="1"/>
    <w:link w:val="60"/>
    <w:autoRedefine/>
    <w:qFormat/>
    <w:uiPriority w:val="99"/>
    <w:pPr>
      <w:tabs>
        <w:tab w:val="center" w:pos="4153"/>
        <w:tab w:val="right" w:pos="8306"/>
      </w:tabs>
      <w:snapToGrid w:val="0"/>
      <w:jc w:val="left"/>
    </w:pPr>
    <w:rPr>
      <w:kern w:val="0"/>
      <w:sz w:val="18"/>
      <w:szCs w:val="20"/>
    </w:rPr>
  </w:style>
  <w:style w:type="paragraph" w:styleId="20">
    <w:name w:val="envelope return"/>
    <w:basedOn w:val="1"/>
    <w:autoRedefine/>
    <w:qFormat/>
    <w:locked/>
    <w:uiPriority w:val="0"/>
    <w:pPr>
      <w:snapToGrid w:val="0"/>
      <w:spacing w:line="480" w:lineRule="exact"/>
    </w:pPr>
    <w:rPr>
      <w:rFonts w:ascii="Arial" w:hAnsi="Arial" w:cs="Arial"/>
    </w:rPr>
  </w:style>
  <w:style w:type="paragraph" w:styleId="21">
    <w:name w:val="header"/>
    <w:basedOn w:val="1"/>
    <w:next w:val="11"/>
    <w:link w:val="48"/>
    <w:autoRedefine/>
    <w:qFormat/>
    <w:uiPriority w:val="0"/>
    <w:pPr>
      <w:pBdr>
        <w:bottom w:val="single" w:color="auto" w:sz="6" w:space="1"/>
      </w:pBdr>
      <w:tabs>
        <w:tab w:val="center" w:pos="4153"/>
        <w:tab w:val="right" w:pos="8306"/>
      </w:tabs>
      <w:snapToGrid w:val="0"/>
      <w:jc w:val="center"/>
    </w:pPr>
    <w:rPr>
      <w:kern w:val="0"/>
      <w:sz w:val="18"/>
      <w:szCs w:val="20"/>
    </w:rPr>
  </w:style>
  <w:style w:type="paragraph" w:styleId="22">
    <w:name w:val="toc 1"/>
    <w:basedOn w:val="1"/>
    <w:next w:val="1"/>
    <w:autoRedefine/>
    <w:qFormat/>
    <w:locked/>
    <w:uiPriority w:val="39"/>
    <w:pPr>
      <w:tabs>
        <w:tab w:val="right" w:leader="dot" w:pos="8435"/>
        <w:tab w:val="right" w:leader="dot" w:pos="8466"/>
        <w:tab w:val="right" w:leader="dot" w:pos="8949"/>
      </w:tabs>
      <w:jc w:val="left"/>
    </w:pPr>
    <w:rPr>
      <w:bCs/>
      <w:caps/>
      <w:kern w:val="44"/>
      <w:sz w:val="28"/>
      <w:szCs w:val="28"/>
    </w:rPr>
  </w:style>
  <w:style w:type="paragraph" w:styleId="23">
    <w:name w:val="List"/>
    <w:basedOn w:val="1"/>
    <w:autoRedefine/>
    <w:qFormat/>
    <w:locked/>
    <w:uiPriority w:val="0"/>
    <w:pPr>
      <w:spacing w:line="320" w:lineRule="exact"/>
      <w:jc w:val="center"/>
    </w:pPr>
    <w:rPr>
      <w:sz w:val="22"/>
      <w:szCs w:val="24"/>
    </w:rPr>
  </w:style>
  <w:style w:type="paragraph" w:styleId="24">
    <w:name w:val="table of figures"/>
    <w:basedOn w:val="1"/>
    <w:next w:val="1"/>
    <w:qFormat/>
    <w:locked/>
    <w:uiPriority w:val="0"/>
    <w:pPr>
      <w:widowControl w:val="0"/>
      <w:ind w:leftChars="200" w:hanging="200" w:hangingChars="200"/>
      <w:jc w:val="both"/>
    </w:pPr>
    <w:rPr>
      <w:rFonts w:ascii="Calibri" w:hAnsi="Calibri" w:cs="Times New Roman"/>
      <w:kern w:val="2"/>
      <w:sz w:val="21"/>
      <w:szCs w:val="22"/>
    </w:rPr>
  </w:style>
  <w:style w:type="paragraph" w:styleId="25">
    <w:name w:val="toc 9"/>
    <w:basedOn w:val="1"/>
    <w:next w:val="1"/>
    <w:qFormat/>
    <w:locked/>
    <w:uiPriority w:val="39"/>
    <w:pPr>
      <w:ind w:left="1680"/>
      <w:jc w:val="left"/>
    </w:pPr>
    <w:rPr>
      <w:sz w:val="20"/>
      <w:szCs w:val="20"/>
    </w:rPr>
  </w:style>
  <w:style w:type="paragraph" w:styleId="26">
    <w:name w:val="Body Text 2"/>
    <w:basedOn w:val="1"/>
    <w:autoRedefine/>
    <w:qFormat/>
    <w:locked/>
    <w:uiPriority w:val="0"/>
    <w:rPr>
      <w:rFonts w:ascii="宋体"/>
      <w:b/>
      <w:bCs/>
      <w:color w:val="000000"/>
      <w:sz w:val="28"/>
    </w:rPr>
  </w:style>
  <w:style w:type="paragraph" w:styleId="27">
    <w:name w:val="Normal (Web)"/>
    <w:basedOn w:val="1"/>
    <w:link w:val="61"/>
    <w:autoRedefine/>
    <w:qFormat/>
    <w:uiPriority w:val="0"/>
    <w:pPr>
      <w:widowControl/>
      <w:spacing w:before="100" w:beforeAutospacing="1" w:after="100" w:afterAutospacing="1"/>
      <w:jc w:val="left"/>
    </w:pPr>
    <w:rPr>
      <w:rFonts w:ascii="宋体" w:hAnsi="宋体"/>
      <w:kern w:val="0"/>
      <w:sz w:val="24"/>
      <w:szCs w:val="20"/>
    </w:rPr>
  </w:style>
  <w:style w:type="paragraph" w:styleId="28">
    <w:name w:val="Title"/>
    <w:basedOn w:val="1"/>
    <w:qFormat/>
    <w:locked/>
    <w:uiPriority w:val="0"/>
    <w:pPr>
      <w:spacing w:after="60"/>
      <w:jc w:val="center"/>
      <w:outlineLvl w:val="0"/>
    </w:pPr>
    <w:rPr>
      <w:rFonts w:ascii="Arial" w:hAnsi="Arial" w:eastAsia="宋体"/>
      <w:b/>
      <w:sz w:val="32"/>
    </w:rPr>
  </w:style>
  <w:style w:type="paragraph" w:styleId="29">
    <w:name w:val="annotation subject"/>
    <w:basedOn w:val="9"/>
    <w:next w:val="9"/>
    <w:link w:val="62"/>
    <w:autoRedefine/>
    <w:semiHidden/>
    <w:qFormat/>
    <w:uiPriority w:val="0"/>
    <w:rPr>
      <w:b/>
      <w:sz w:val="24"/>
      <w:szCs w:val="20"/>
    </w:rPr>
  </w:style>
  <w:style w:type="paragraph" w:styleId="30">
    <w:name w:val="Body Text First Indent"/>
    <w:basedOn w:val="11"/>
    <w:link w:val="103"/>
    <w:autoRedefine/>
    <w:qFormat/>
    <w:locked/>
    <w:uiPriority w:val="0"/>
    <w:pPr>
      <w:ind w:firstLine="200" w:firstLineChars="200"/>
    </w:pPr>
    <w:rPr>
      <w:lang w:eastAsia="en-US"/>
    </w:rPr>
  </w:style>
  <w:style w:type="table" w:styleId="32">
    <w:name w:val="Table Grid"/>
    <w:basedOn w:val="31"/>
    <w:autoRedefine/>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basedOn w:val="33"/>
    <w:autoRedefine/>
    <w:qFormat/>
    <w:locked/>
    <w:uiPriority w:val="0"/>
  </w:style>
  <w:style w:type="character" w:styleId="35">
    <w:name w:val="Hyperlink"/>
    <w:basedOn w:val="33"/>
    <w:autoRedefine/>
    <w:qFormat/>
    <w:locked/>
    <w:uiPriority w:val="0"/>
    <w:rPr>
      <w:color w:val="0000FF"/>
      <w:u w:val="single"/>
    </w:rPr>
  </w:style>
  <w:style w:type="character" w:styleId="36">
    <w:name w:val="annotation reference"/>
    <w:basedOn w:val="33"/>
    <w:autoRedefine/>
    <w:semiHidden/>
    <w:qFormat/>
    <w:uiPriority w:val="0"/>
    <w:rPr>
      <w:sz w:val="21"/>
    </w:rPr>
  </w:style>
  <w:style w:type="paragraph" w:customStyle="1" w:styleId="37">
    <w:name w:val="表格"/>
    <w:basedOn w:val="12"/>
    <w:next w:val="1"/>
    <w:link w:val="39"/>
    <w:autoRedefine/>
    <w:qFormat/>
    <w:uiPriority w:val="0"/>
    <w:pPr>
      <w:adjustRightInd w:val="0"/>
      <w:snapToGrid w:val="0"/>
      <w:spacing w:line="240" w:lineRule="auto"/>
      <w:ind w:left="0" w:leftChars="0" w:right="0" w:firstLine="0" w:firstLineChars="0"/>
      <w:jc w:val="center"/>
    </w:pPr>
    <w:rPr>
      <w:rFonts w:ascii="宋体" w:hAnsi="宋体" w:eastAsia="宋体"/>
      <w:sz w:val="21"/>
    </w:rPr>
  </w:style>
  <w:style w:type="paragraph" w:customStyle="1" w:styleId="38">
    <w:name w:val="表头"/>
    <w:basedOn w:val="11"/>
    <w:next w:val="1"/>
    <w:link w:val="96"/>
    <w:autoRedefine/>
    <w:qFormat/>
    <w:uiPriority w:val="0"/>
    <w:pPr>
      <w:keepNext/>
      <w:snapToGrid w:val="0"/>
      <w:spacing w:line="240" w:lineRule="auto"/>
      <w:ind w:firstLine="0" w:firstLineChars="0"/>
      <w:jc w:val="center"/>
    </w:pPr>
    <w:rPr>
      <w:b/>
      <w:sz w:val="21"/>
      <w:lang w:eastAsia="en-US"/>
    </w:rPr>
  </w:style>
  <w:style w:type="character" w:customStyle="1" w:styleId="39">
    <w:name w:val="表格 Char"/>
    <w:link w:val="37"/>
    <w:autoRedefine/>
    <w:qFormat/>
    <w:locked/>
    <w:uiPriority w:val="0"/>
    <w:rPr>
      <w:rFonts w:ascii="宋体" w:hAnsi="宋体" w:eastAsia="宋体"/>
      <w:sz w:val="21"/>
    </w:rPr>
  </w:style>
  <w:style w:type="character" w:customStyle="1" w:styleId="40">
    <w:name w:val="正文文本 Char"/>
    <w:link w:val="11"/>
    <w:qFormat/>
    <w:locked/>
    <w:uiPriority w:val="0"/>
    <w:rPr>
      <w:rFonts w:ascii="Times New Roman" w:hAnsi="Times New Roman" w:eastAsia="宋体"/>
      <w:sz w:val="21"/>
    </w:rPr>
  </w:style>
  <w:style w:type="character" w:customStyle="1" w:styleId="41">
    <w:name w:val="表头 Char1"/>
    <w:link w:val="38"/>
    <w:autoRedefine/>
    <w:qFormat/>
    <w:uiPriority w:val="0"/>
    <w:rPr>
      <w:b/>
      <w:sz w:val="21"/>
      <w:lang w:eastAsia="en-US"/>
    </w:rPr>
  </w:style>
  <w:style w:type="paragraph" w:customStyle="1" w:styleId="42">
    <w:name w:val="A-正文"/>
    <w:basedOn w:val="1"/>
    <w:qFormat/>
    <w:uiPriority w:val="0"/>
    <w:pPr>
      <w:spacing w:line="560" w:lineRule="exact"/>
      <w:ind w:firstLine="560" w:firstLineChars="200"/>
    </w:pPr>
    <w:rPr>
      <w:rFonts w:eastAsia="仿宋_GB2312" w:cs="Times New Roman"/>
      <w:kern w:val="0"/>
      <w:sz w:val="24"/>
      <w:szCs w:val="24"/>
    </w:rPr>
  </w:style>
  <w:style w:type="paragraph" w:customStyle="1" w:styleId="43">
    <w:name w:val="样式 正文首行缩进 + 首行缩进:  2 字符1"/>
    <w:basedOn w:val="1"/>
    <w:next w:val="22"/>
    <w:qFormat/>
    <w:uiPriority w:val="0"/>
    <w:pPr>
      <w:spacing w:line="360" w:lineRule="auto"/>
      <w:ind w:firstLine="480" w:firstLineChars="200"/>
    </w:pPr>
    <w:rPr>
      <w:sz w:val="24"/>
    </w:rPr>
  </w:style>
  <w:style w:type="paragraph" w:customStyle="1" w:styleId="44">
    <w:name w:val="xl27"/>
    <w:basedOn w:val="1"/>
    <w:next w:val="1"/>
    <w:autoRedefine/>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paragraph" w:customStyle="1" w:styleId="45">
    <w:name w:val="文本"/>
    <w:basedOn w:val="1"/>
    <w:autoRedefine/>
    <w:qFormat/>
    <w:uiPriority w:val="99"/>
    <w:pPr>
      <w:widowControl/>
      <w:spacing w:line="440" w:lineRule="exact"/>
      <w:jc w:val="left"/>
    </w:pPr>
    <w:rPr>
      <w:sz w:val="24"/>
      <w:szCs w:val="24"/>
    </w:rPr>
  </w:style>
  <w:style w:type="paragraph" w:customStyle="1" w:styleId="46">
    <w:name w:val="样式 正文文本缩进 + 行距: 1.5 倍行距"/>
    <w:basedOn w:val="1"/>
    <w:autoRedefine/>
    <w:qFormat/>
    <w:uiPriority w:val="0"/>
    <w:pPr>
      <w:spacing w:after="120" w:line="360" w:lineRule="auto"/>
      <w:ind w:left="90" w:leftChars="32" w:firstLine="560" w:firstLineChars="200"/>
    </w:pPr>
    <w:rPr>
      <w:rFonts w:cs="宋体"/>
    </w:rPr>
  </w:style>
  <w:style w:type="paragraph" w:customStyle="1" w:styleId="47">
    <w:name w:val="标题2"/>
    <w:basedOn w:val="1"/>
    <w:next w:val="1"/>
    <w:autoRedefine/>
    <w:qFormat/>
    <w:uiPriority w:val="0"/>
    <w:pPr>
      <w:autoSpaceDE w:val="0"/>
      <w:autoSpaceDN w:val="0"/>
      <w:snapToGrid w:val="0"/>
      <w:spacing w:line="590" w:lineRule="atLeast"/>
      <w:jc w:val="center"/>
    </w:pPr>
    <w:rPr>
      <w:rFonts w:eastAsia="方正楷体_GBK"/>
      <w:snapToGrid w:val="0"/>
      <w:kern w:val="0"/>
      <w:sz w:val="32"/>
    </w:rPr>
  </w:style>
  <w:style w:type="character" w:customStyle="1" w:styleId="48">
    <w:name w:val="页眉 Char"/>
    <w:link w:val="21"/>
    <w:autoRedefine/>
    <w:qFormat/>
    <w:locked/>
    <w:uiPriority w:val="0"/>
    <w:rPr>
      <w:sz w:val="18"/>
    </w:rPr>
  </w:style>
  <w:style w:type="paragraph" w:customStyle="1" w:styleId="49">
    <w:name w:val="Default"/>
    <w:basedOn w:val="50"/>
    <w:next w:val="51"/>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50">
    <w:name w:val="纯文本1"/>
    <w:basedOn w:val="1"/>
    <w:next w:val="1"/>
    <w:qFormat/>
    <w:uiPriority w:val="0"/>
    <w:pPr>
      <w:adjustRightInd w:val="0"/>
    </w:pPr>
    <w:rPr>
      <w:rFonts w:ascii="宋体" w:hAnsi="Courier New"/>
    </w:rPr>
  </w:style>
  <w:style w:type="paragraph" w:customStyle="1" w:styleId="51">
    <w:name w:val="正文文字 6"/>
    <w:next w:val="1"/>
    <w:qFormat/>
    <w:uiPriority w:val="0"/>
    <w:pPr>
      <w:widowControl w:val="0"/>
      <w:ind w:left="240"/>
      <w:jc w:val="both"/>
    </w:pPr>
    <w:rPr>
      <w:rFonts w:ascii="宋体" w:hAnsi="Times New Roman" w:eastAsia="宋体" w:cs="Times New Roman"/>
      <w:b/>
      <w:bCs/>
      <w:kern w:val="2"/>
      <w:sz w:val="32"/>
      <w:szCs w:val="32"/>
      <w:lang w:val="en-US" w:eastAsia="zh-CN" w:bidi="ar-SA"/>
    </w:rPr>
  </w:style>
  <w:style w:type="paragraph" w:customStyle="1" w:styleId="52">
    <w:name w:val="常规"/>
    <w:basedOn w:val="1"/>
    <w:qFormat/>
    <w:uiPriority w:val="0"/>
    <w:pPr>
      <w:ind w:firstLine="200" w:firstLineChars="200"/>
      <w:jc w:val="left"/>
    </w:pPr>
    <w:rPr>
      <w:rFonts w:ascii="Arial" w:hAnsi="Arial" w:eastAsia="Arial"/>
      <w:color w:val="000000"/>
      <w:kern w:val="0"/>
      <w:sz w:val="20"/>
      <w:lang w:val="zh-CN"/>
    </w:rPr>
  </w:style>
  <w:style w:type="paragraph" w:customStyle="1" w:styleId="53">
    <w:name w:val="样式3"/>
    <w:basedOn w:val="22"/>
    <w:next w:val="54"/>
    <w:autoRedefine/>
    <w:qFormat/>
    <w:uiPriority w:val="0"/>
    <w:rPr>
      <w:szCs w:val="24"/>
    </w:rPr>
  </w:style>
  <w:style w:type="paragraph" w:customStyle="1" w:styleId="54">
    <w:name w:val="目录 53"/>
    <w:basedOn w:val="1"/>
    <w:next w:val="1"/>
    <w:qFormat/>
    <w:uiPriority w:val="0"/>
    <w:pPr>
      <w:ind w:left="840"/>
    </w:pPr>
    <w:rPr>
      <w:rFonts w:cs="宋体"/>
      <w:color w:val="000000"/>
    </w:rPr>
  </w:style>
  <w:style w:type="character" w:customStyle="1" w:styleId="55">
    <w:name w:val="标题 3 Char1"/>
    <w:link w:val="6"/>
    <w:qFormat/>
    <w:uiPriority w:val="0"/>
    <w:rPr>
      <w:rFonts w:cs="Times New Roman"/>
      <w:b/>
    </w:rPr>
  </w:style>
  <w:style w:type="character" w:customStyle="1" w:styleId="56">
    <w:name w:val="正文文本缩进 Char"/>
    <w:link w:val="12"/>
    <w:autoRedefine/>
    <w:semiHidden/>
    <w:qFormat/>
    <w:locked/>
    <w:uiPriority w:val="0"/>
    <w:rPr>
      <w:rFonts w:ascii="Times New Roman" w:hAnsi="Times New Roman" w:eastAsia="宋体"/>
      <w:sz w:val="24"/>
    </w:rPr>
  </w:style>
  <w:style w:type="character" w:customStyle="1" w:styleId="57">
    <w:name w:val="批注文字 Char"/>
    <w:link w:val="9"/>
    <w:autoRedefine/>
    <w:qFormat/>
    <w:locked/>
    <w:uiPriority w:val="0"/>
    <w:rPr>
      <w:rFonts w:ascii="Times New Roman" w:hAnsi="Times New Roman" w:eastAsia="宋体"/>
      <w:sz w:val="24"/>
    </w:rPr>
  </w:style>
  <w:style w:type="character" w:customStyle="1" w:styleId="58">
    <w:name w:val="日期 Char"/>
    <w:link w:val="16"/>
    <w:autoRedefine/>
    <w:qFormat/>
    <w:locked/>
    <w:uiPriority w:val="0"/>
    <w:rPr>
      <w:rFonts w:ascii="Times New Roman" w:hAnsi="Times New Roman" w:eastAsia="宋体"/>
      <w:sz w:val="24"/>
    </w:rPr>
  </w:style>
  <w:style w:type="character" w:customStyle="1" w:styleId="59">
    <w:name w:val="批注框文本 Char"/>
    <w:link w:val="18"/>
    <w:autoRedefine/>
    <w:semiHidden/>
    <w:qFormat/>
    <w:locked/>
    <w:uiPriority w:val="0"/>
    <w:rPr>
      <w:rFonts w:ascii="Times New Roman" w:hAnsi="Times New Roman" w:eastAsia="宋体"/>
      <w:sz w:val="18"/>
    </w:rPr>
  </w:style>
  <w:style w:type="character" w:customStyle="1" w:styleId="60">
    <w:name w:val="页脚 Char"/>
    <w:link w:val="19"/>
    <w:autoRedefine/>
    <w:qFormat/>
    <w:locked/>
    <w:uiPriority w:val="99"/>
    <w:rPr>
      <w:sz w:val="18"/>
    </w:rPr>
  </w:style>
  <w:style w:type="character" w:customStyle="1" w:styleId="61">
    <w:name w:val="普通(网站) Char"/>
    <w:link w:val="27"/>
    <w:autoRedefine/>
    <w:qFormat/>
    <w:locked/>
    <w:uiPriority w:val="0"/>
    <w:rPr>
      <w:rFonts w:ascii="宋体" w:hAnsi="宋体" w:eastAsia="宋体"/>
      <w:sz w:val="24"/>
    </w:rPr>
  </w:style>
  <w:style w:type="character" w:customStyle="1" w:styleId="62">
    <w:name w:val="批注主题 Char"/>
    <w:link w:val="29"/>
    <w:autoRedefine/>
    <w:semiHidden/>
    <w:qFormat/>
    <w:locked/>
    <w:uiPriority w:val="0"/>
    <w:rPr>
      <w:rFonts w:ascii="Times New Roman" w:hAnsi="Times New Roman" w:eastAsia="宋体"/>
      <w:b/>
      <w:kern w:val="2"/>
      <w:sz w:val="24"/>
    </w:rPr>
  </w:style>
  <w:style w:type="paragraph" w:customStyle="1" w:styleId="63">
    <w:name w:val="表"/>
    <w:basedOn w:val="23"/>
    <w:autoRedefine/>
    <w:qFormat/>
    <w:uiPriority w:val="0"/>
    <w:pPr>
      <w:adjustRightInd w:val="0"/>
      <w:snapToGrid w:val="0"/>
      <w:spacing w:line="240" w:lineRule="auto"/>
      <w:jc w:val="center"/>
    </w:pPr>
    <w:rPr>
      <w:kern w:val="0"/>
      <w:sz w:val="21"/>
      <w:szCs w:val="21"/>
    </w:rPr>
  </w:style>
  <w:style w:type="character" w:customStyle="1" w:styleId="64">
    <w:name w:val="正文文本 字符1"/>
    <w:semiHidden/>
    <w:qFormat/>
    <w:uiPriority w:val="0"/>
    <w:rPr>
      <w:rFonts w:ascii="Times New Roman" w:hAnsi="Times New Roman" w:eastAsia="宋体"/>
      <w:sz w:val="24"/>
    </w:rPr>
  </w:style>
  <w:style w:type="character" w:customStyle="1" w:styleId="65">
    <w:name w:val="页脚 字符"/>
    <w:basedOn w:val="33"/>
    <w:qFormat/>
    <w:uiPriority w:val="99"/>
  </w:style>
  <w:style w:type="character" w:customStyle="1" w:styleId="66">
    <w:name w:val="批注文字 字符1"/>
    <w:semiHidden/>
    <w:qFormat/>
    <w:uiPriority w:val="0"/>
    <w:rPr>
      <w:rFonts w:ascii="Times New Roman" w:hAnsi="Times New Roman" w:eastAsia="宋体"/>
      <w:sz w:val="24"/>
    </w:rPr>
  </w:style>
  <w:style w:type="character" w:customStyle="1" w:styleId="67">
    <w:name w:val="日期 字符"/>
    <w:semiHidden/>
    <w:qFormat/>
    <w:uiPriority w:val="0"/>
    <w:rPr>
      <w:rFonts w:ascii="Times New Roman" w:hAnsi="Times New Roman" w:eastAsia="宋体"/>
      <w:sz w:val="24"/>
    </w:rPr>
  </w:style>
  <w:style w:type="paragraph" w:customStyle="1" w:styleId="68">
    <w:name w:val="正文_1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9">
    <w:name w:val="普通(网站)2"/>
    <w:basedOn w:val="1"/>
    <w:autoRedefine/>
    <w:qFormat/>
    <w:uiPriority w:val="0"/>
    <w:pPr>
      <w:widowControl/>
      <w:spacing w:before="100" w:beforeAutospacing="1" w:after="100" w:afterAutospacing="1"/>
      <w:jc w:val="left"/>
    </w:pPr>
    <w:rPr>
      <w:rFonts w:ascii="宋体" w:hAnsi="宋体"/>
      <w:sz w:val="24"/>
      <w:szCs w:val="20"/>
    </w:rPr>
  </w:style>
  <w:style w:type="paragraph" w:customStyle="1" w:styleId="70">
    <w:name w:val="列出段落1"/>
    <w:basedOn w:val="1"/>
    <w:autoRedefine/>
    <w:qFormat/>
    <w:uiPriority w:val="34"/>
    <w:pPr>
      <w:ind w:firstLine="420" w:firstLineChars="200"/>
    </w:pPr>
    <w:rPr>
      <w:rFonts w:ascii="Calibri" w:hAnsi="Calibri"/>
      <w:szCs w:val="22"/>
    </w:rPr>
  </w:style>
  <w:style w:type="paragraph" w:customStyle="1" w:styleId="71">
    <w:name w:val="_Style 4"/>
    <w:basedOn w:val="1"/>
    <w:next w:val="1"/>
    <w:autoRedefine/>
    <w:qFormat/>
    <w:uiPriority w:val="0"/>
    <w:pPr>
      <w:pBdr>
        <w:top w:val="single" w:color="auto" w:sz="6" w:space="1"/>
      </w:pBdr>
      <w:jc w:val="center"/>
    </w:pPr>
    <w:rPr>
      <w:rFonts w:ascii="Arial" w:eastAsia="宋体"/>
      <w:vanish/>
      <w:sz w:val="16"/>
    </w:rPr>
  </w:style>
  <w:style w:type="paragraph" w:customStyle="1" w:styleId="72">
    <w:name w:val="样式 样式 样式 四号 左侧:  1.53 厘米 + 首行缩进:  2 字符 + 居中 左侧:  2 字符 首行缩进:  2..."/>
    <w:basedOn w:val="73"/>
    <w:autoRedefine/>
    <w:qFormat/>
    <w:uiPriority w:val="0"/>
    <w:pPr>
      <w:ind w:firstLine="0" w:firstLineChars="0"/>
      <w:jc w:val="center"/>
    </w:pPr>
  </w:style>
  <w:style w:type="paragraph" w:customStyle="1" w:styleId="73">
    <w:name w:val="样式 样式 四号 左侧:  1.53 厘米 + 首行缩进:  2 字符"/>
    <w:basedOn w:val="74"/>
    <w:autoRedefine/>
    <w:qFormat/>
    <w:uiPriority w:val="0"/>
    <w:pPr>
      <w:ind w:left="200" w:leftChars="200"/>
    </w:pPr>
    <w:rPr>
      <w:szCs w:val="20"/>
    </w:rPr>
  </w:style>
  <w:style w:type="paragraph" w:customStyle="1" w:styleId="74">
    <w:name w:val="样式 四号 左侧:  1.53 厘米"/>
    <w:basedOn w:val="1"/>
    <w:autoRedefine/>
    <w:qFormat/>
    <w:uiPriority w:val="0"/>
    <w:pPr>
      <w:adjustRightInd w:val="0"/>
    </w:pPr>
    <w:rPr>
      <w:w w:val="90"/>
      <w:sz w:val="28"/>
      <w:szCs w:val="28"/>
    </w:rPr>
  </w:style>
  <w:style w:type="paragraph" w:customStyle="1" w:styleId="75">
    <w:name w:val="Table Paragraph"/>
    <w:basedOn w:val="1"/>
    <w:autoRedefine/>
    <w:qFormat/>
    <w:uiPriority w:val="1"/>
  </w:style>
  <w:style w:type="paragraph" w:customStyle="1" w:styleId="76">
    <w:name w:val="默认段落字体 Para Char Char Char Char"/>
    <w:basedOn w:val="1"/>
    <w:autoRedefine/>
    <w:qFormat/>
    <w:uiPriority w:val="0"/>
    <w:pPr>
      <w:spacing w:beforeLines="100" w:afterLines="50" w:line="600" w:lineRule="exact"/>
      <w:ind w:firstLine="200" w:firstLineChars="200"/>
    </w:pPr>
    <w:rPr>
      <w:rFonts w:eastAsia="黑体"/>
      <w:sz w:val="28"/>
      <w:szCs w:val="24"/>
    </w:rPr>
  </w:style>
  <w:style w:type="paragraph" w:customStyle="1" w:styleId="77">
    <w:name w:val="表格内容自定"/>
    <w:basedOn w:val="1"/>
    <w:autoRedefine/>
    <w:qFormat/>
    <w:uiPriority w:val="0"/>
    <w:pPr>
      <w:spacing w:line="280" w:lineRule="exact"/>
      <w:jc w:val="center"/>
    </w:pPr>
    <w:rPr>
      <w:kern w:val="0"/>
      <w:sz w:val="18"/>
      <w:szCs w:val="21"/>
    </w:rPr>
  </w:style>
  <w:style w:type="paragraph" w:customStyle="1" w:styleId="78">
    <w:name w:val="xl23"/>
    <w:basedOn w:val="1"/>
    <w:next w:val="1"/>
    <w:qFormat/>
    <w:uiPriority w:val="0"/>
    <w:pPr>
      <w:widowControl/>
      <w:autoSpaceDE/>
      <w:autoSpaceDN/>
      <w:spacing w:before="100" w:after="100" w:line="240" w:lineRule="auto"/>
      <w:ind w:left="0" w:firstLine="0"/>
      <w:jc w:val="center"/>
    </w:pPr>
    <w:rPr>
      <w:rFonts w:ascii="Arial Unicode MS" w:eastAsia="宋体"/>
      <w:sz w:val="24"/>
    </w:rPr>
  </w:style>
  <w:style w:type="paragraph" w:customStyle="1" w:styleId="79">
    <w:name w:val="正文文本，表格"/>
    <w:basedOn w:val="1"/>
    <w:autoRedefine/>
    <w:qFormat/>
    <w:uiPriority w:val="0"/>
    <w:pPr>
      <w:jc w:val="center"/>
    </w:pPr>
    <w:rPr>
      <w:rFonts w:cs="宋体"/>
      <w:szCs w:val="21"/>
    </w:rPr>
  </w:style>
  <w:style w:type="paragraph" w:customStyle="1" w:styleId="80">
    <w:name w:val="表格中文字"/>
    <w:basedOn w:val="1"/>
    <w:qFormat/>
    <w:uiPriority w:val="0"/>
    <w:pPr>
      <w:adjustRightInd w:val="0"/>
      <w:snapToGrid w:val="0"/>
      <w:jc w:val="center"/>
    </w:pPr>
    <w:rPr>
      <w:kern w:val="18"/>
      <w:szCs w:val="21"/>
    </w:rPr>
  </w:style>
  <w:style w:type="paragraph" w:customStyle="1" w:styleId="81">
    <w:name w:val="1正文"/>
    <w:qFormat/>
    <w:uiPriority w:val="0"/>
    <w:pPr>
      <w:spacing w:line="480" w:lineRule="exact"/>
      <w:ind w:firstLine="200" w:firstLineChars="200"/>
      <w:jc w:val="both"/>
    </w:pPr>
    <w:rPr>
      <w:rFonts w:ascii="Calibri" w:hAnsi="Calibri" w:eastAsia="宋体" w:cs="Times New Roman"/>
      <w:kern w:val="2"/>
      <w:sz w:val="24"/>
      <w:szCs w:val="24"/>
      <w:lang w:val="en-US" w:eastAsia="zh-CN" w:bidi="ar-SA"/>
    </w:rPr>
  </w:style>
  <w:style w:type="character" w:customStyle="1" w:styleId="82">
    <w:name w:val="font21"/>
    <w:basedOn w:val="33"/>
    <w:autoRedefine/>
    <w:qFormat/>
    <w:uiPriority w:val="0"/>
    <w:rPr>
      <w:rFonts w:hint="default" w:ascii="Times New Roman" w:hAnsi="Times New Roman" w:cs="Times New Roman"/>
      <w:color w:val="FF0000"/>
      <w:sz w:val="21"/>
      <w:szCs w:val="21"/>
      <w:u w:val="none"/>
    </w:rPr>
  </w:style>
  <w:style w:type="character" w:customStyle="1" w:styleId="83">
    <w:name w:val="font11"/>
    <w:basedOn w:val="33"/>
    <w:qFormat/>
    <w:uiPriority w:val="0"/>
    <w:rPr>
      <w:rFonts w:hint="eastAsia" w:ascii="宋体" w:hAnsi="宋体" w:eastAsia="宋体" w:cs="宋体"/>
      <w:color w:val="FF0000"/>
      <w:sz w:val="21"/>
      <w:szCs w:val="21"/>
      <w:u w:val="none"/>
    </w:rPr>
  </w:style>
  <w:style w:type="paragraph" w:customStyle="1" w:styleId="84">
    <w:name w:val="A标准格式"/>
    <w:basedOn w:val="1"/>
    <w:qFormat/>
    <w:uiPriority w:val="0"/>
    <w:pPr>
      <w:spacing w:line="440" w:lineRule="exact"/>
      <w:ind w:firstLine="480" w:firstLineChars="200"/>
    </w:pPr>
    <w:rPr>
      <w:sz w:val="24"/>
      <w:szCs w:val="22"/>
    </w:rPr>
  </w:style>
  <w:style w:type="paragraph" w:customStyle="1" w:styleId="85">
    <w:name w:val="Table Text"/>
    <w:basedOn w:val="1"/>
    <w:semiHidden/>
    <w:qFormat/>
    <w:uiPriority w:val="0"/>
    <w:rPr>
      <w:rFonts w:ascii="宋体" w:hAnsi="宋体" w:eastAsia="宋体" w:cs="宋体"/>
      <w:sz w:val="24"/>
      <w:szCs w:val="24"/>
      <w:lang w:val="en-US" w:eastAsia="en-US" w:bidi="ar-SA"/>
    </w:rPr>
  </w:style>
  <w:style w:type="table" w:customStyle="1" w:styleId="86">
    <w:name w:val="Table Normal"/>
    <w:semiHidden/>
    <w:unhideWhenUsed/>
    <w:qFormat/>
    <w:uiPriority w:val="0"/>
    <w:tblPr>
      <w:tblCellMar>
        <w:top w:w="0" w:type="dxa"/>
        <w:left w:w="0" w:type="dxa"/>
        <w:bottom w:w="0" w:type="dxa"/>
        <w:right w:w="0" w:type="dxa"/>
      </w:tblCellMar>
    </w:tblPr>
  </w:style>
  <w:style w:type="character" w:customStyle="1" w:styleId="87">
    <w:name w:val="正文缩进 Char1"/>
    <w:link w:val="5"/>
    <w:qFormat/>
    <w:uiPriority w:val="0"/>
    <w:rPr>
      <w:rFonts w:ascii="宋体" w:hAnsi="宋体"/>
      <w:sz w:val="24"/>
      <w:szCs w:val="24"/>
    </w:rPr>
  </w:style>
  <w:style w:type="paragraph" w:customStyle="1" w:styleId="88">
    <w:name w:val="报告表正文"/>
    <w:basedOn w:val="1"/>
    <w:autoRedefine/>
    <w:qFormat/>
    <w:uiPriority w:val="0"/>
    <w:pPr>
      <w:spacing w:line="360" w:lineRule="auto"/>
      <w:ind w:firstLine="720" w:firstLineChars="200"/>
      <w:jc w:val="left"/>
    </w:pPr>
    <w:rPr>
      <w:sz w:val="24"/>
    </w:rPr>
  </w:style>
  <w:style w:type="paragraph" w:customStyle="1" w:styleId="89">
    <w:name w:val="表格5号"/>
    <w:basedOn w:val="1"/>
    <w:autoRedefine/>
    <w:qFormat/>
    <w:uiPriority w:val="0"/>
    <w:pPr>
      <w:jc w:val="center"/>
    </w:pPr>
  </w:style>
  <w:style w:type="paragraph" w:customStyle="1" w:styleId="90">
    <w:name w:val="表格标题"/>
    <w:basedOn w:val="11"/>
    <w:next w:val="91"/>
    <w:autoRedefine/>
    <w:qFormat/>
    <w:uiPriority w:val="0"/>
    <w:pPr>
      <w:jc w:val="center"/>
    </w:pPr>
    <w:rPr>
      <w:b/>
    </w:rPr>
  </w:style>
  <w:style w:type="paragraph" w:customStyle="1" w:styleId="91">
    <w:name w:val="表格内容"/>
    <w:basedOn w:val="90"/>
    <w:next w:val="1"/>
    <w:autoRedefine/>
    <w:qFormat/>
    <w:uiPriority w:val="0"/>
    <w:pPr>
      <w:spacing w:line="240" w:lineRule="atLeast"/>
    </w:pPr>
  </w:style>
  <w:style w:type="paragraph" w:customStyle="1" w:styleId="92">
    <w:name w:val="！正文"/>
    <w:basedOn w:val="1"/>
    <w:autoRedefine/>
    <w:qFormat/>
    <w:uiPriority w:val="0"/>
    <w:pPr>
      <w:spacing w:line="500" w:lineRule="exact"/>
      <w:ind w:firstLine="200" w:firstLineChars="200"/>
    </w:pPr>
    <w:rPr>
      <w:kern w:val="0"/>
      <w:sz w:val="24"/>
    </w:rPr>
  </w:style>
  <w:style w:type="paragraph" w:customStyle="1" w:styleId="93">
    <w:name w:val="表2"/>
    <w:basedOn w:val="1"/>
    <w:autoRedefine/>
    <w:qFormat/>
    <w:uiPriority w:val="0"/>
    <w:pPr>
      <w:spacing w:line="240" w:lineRule="auto"/>
      <w:ind w:firstLine="0" w:firstLineChars="0"/>
      <w:jc w:val="center"/>
    </w:pPr>
    <w:rPr>
      <w:rFonts w:ascii="Times New Roman" w:hAnsi="Times New Roman" w:eastAsia="宋体"/>
      <w:sz w:val="21"/>
    </w:rPr>
  </w:style>
  <w:style w:type="paragraph" w:customStyle="1" w:styleId="94">
    <w:name w:val="正文新"/>
    <w:basedOn w:val="1"/>
    <w:autoRedefine/>
    <w:qFormat/>
    <w:uiPriority w:val="0"/>
    <w:pPr>
      <w:spacing w:line="460" w:lineRule="exact"/>
      <w:ind w:firstLine="480" w:firstLineChars="200"/>
    </w:pPr>
    <w:rPr>
      <w:sz w:val="24"/>
    </w:rPr>
  </w:style>
  <w:style w:type="table" w:customStyle="1" w:styleId="95">
    <w:name w:val="表内表"/>
    <w:basedOn w:val="31"/>
    <w:qFormat/>
    <w:uiPriority w:val="0"/>
    <w:pPr>
      <w:jc w:val="center"/>
    </w:pPr>
    <w:tblPr>
      <w:jc w:val="center"/>
      <w:tblBorders>
        <w:top w:val="double" w:color="auto" w:sz="4" w:space="0"/>
        <w:bottom w:val="double" w:color="auto" w:sz="4" w:space="0"/>
        <w:insideH w:val="single" w:color="auto" w:sz="4" w:space="0"/>
        <w:insideV w:val="single" w:color="auto" w:sz="4" w:space="0"/>
      </w:tblBorders>
      <w:tblCellMar>
        <w:top w:w="0" w:type="dxa"/>
        <w:left w:w="108" w:type="dxa"/>
        <w:bottom w:w="0" w:type="dxa"/>
        <w:right w:w="108" w:type="dxa"/>
      </w:tblCellMar>
    </w:tblPr>
    <w:trPr>
      <w:jc w:val="center"/>
    </w:trPr>
    <w:tcPr>
      <w:vAlign w:val="center"/>
    </w:tcPr>
  </w:style>
  <w:style w:type="character" w:customStyle="1" w:styleId="96">
    <w:name w:val="表头 Char"/>
    <w:link w:val="38"/>
    <w:qFormat/>
    <w:uiPriority w:val="0"/>
    <w:rPr>
      <w:rFonts w:eastAsia="宋体"/>
      <w:b/>
      <w:sz w:val="21"/>
      <w:lang w:eastAsia="en-US"/>
    </w:rPr>
  </w:style>
  <w:style w:type="paragraph" w:customStyle="1" w:styleId="97">
    <w:name w:val="表格内容5号"/>
    <w:qFormat/>
    <w:uiPriority w:val="0"/>
    <w:pPr>
      <w:widowControl w:val="0"/>
      <w:snapToGrid w:val="0"/>
      <w:spacing w:line="320" w:lineRule="atLeast"/>
      <w:jc w:val="center"/>
    </w:pPr>
    <w:rPr>
      <w:rFonts w:ascii="Times New Roman" w:hAnsi="Times New Roman" w:eastAsia="宋体" w:cs="Times New Roman"/>
      <w:kern w:val="2"/>
      <w:sz w:val="21"/>
      <w:szCs w:val="24"/>
      <w:lang w:val="en-US" w:eastAsia="zh-CN" w:bidi="ar-SA"/>
    </w:rPr>
  </w:style>
  <w:style w:type="paragraph" w:customStyle="1" w:styleId="98">
    <w:name w:val="正文新 Char"/>
    <w:basedOn w:val="1"/>
    <w:qFormat/>
    <w:uiPriority w:val="0"/>
    <w:pPr>
      <w:spacing w:line="360" w:lineRule="auto"/>
      <w:ind w:firstLine="480" w:firstLineChars="200"/>
    </w:pPr>
    <w:rPr>
      <w:rFonts w:cs="宋体"/>
      <w:sz w:val="24"/>
    </w:rPr>
  </w:style>
  <w:style w:type="paragraph" w:customStyle="1" w:styleId="99">
    <w:name w:val="表格标题--中祥"/>
    <w:basedOn w:val="1"/>
    <w:qFormat/>
    <w:uiPriority w:val="0"/>
    <w:pPr>
      <w:spacing w:line="320" w:lineRule="exact"/>
      <w:ind w:firstLine="482"/>
      <w:jc w:val="center"/>
    </w:pPr>
    <w:rPr>
      <w:rFonts w:ascii="宋体" w:hAnsi="宋体"/>
      <w:b/>
      <w:lang w:val="zh-CN"/>
    </w:rPr>
  </w:style>
  <w:style w:type="paragraph" w:customStyle="1" w:styleId="100">
    <w:name w:val="样式 标题 1 + 段前: 0 磅 段后: 0 磅 行距: 1.5 倍行距"/>
    <w:basedOn w:val="3"/>
    <w:unhideWhenUsed/>
    <w:qFormat/>
    <w:uiPriority w:val="99"/>
    <w:pPr>
      <w:keepNext w:val="0"/>
      <w:snapToGrid/>
      <w:spacing w:before="0" w:after="0" w:line="324" w:lineRule="auto"/>
      <w:ind w:left="0" w:firstLine="0"/>
      <w:jc w:val="center"/>
    </w:pPr>
    <w:rPr>
      <w:rFonts w:hint="eastAsia" w:ascii="宋体" w:cs="宋体"/>
      <w:b w:val="0"/>
      <w:sz w:val="24"/>
      <w:szCs w:val="24"/>
    </w:rPr>
  </w:style>
  <w:style w:type="paragraph" w:customStyle="1" w:styleId="101">
    <w:name w:val="9表格内容"/>
    <w:basedOn w:val="1"/>
    <w:next w:val="1"/>
    <w:qFormat/>
    <w:uiPriority w:val="0"/>
    <w:pPr>
      <w:jc w:val="center"/>
    </w:pPr>
    <w:rPr>
      <w:szCs w:val="28"/>
    </w:rPr>
  </w:style>
  <w:style w:type="paragraph" w:customStyle="1" w:styleId="102">
    <w:name w:val="（1）小标题"/>
    <w:basedOn w:val="28"/>
    <w:qFormat/>
    <w:uiPriority w:val="0"/>
    <w:pPr>
      <w:autoSpaceDE w:val="0"/>
      <w:autoSpaceDN w:val="0"/>
      <w:adjustRightInd w:val="0"/>
      <w:snapToGrid w:val="0"/>
      <w:spacing w:line="360" w:lineRule="auto"/>
      <w:jc w:val="left"/>
    </w:pPr>
    <w:rPr>
      <w:rFonts w:ascii="Times New Roman" w:hAnsi="Times New Roman" w:cs="宋体"/>
      <w:kern w:val="0"/>
      <w:sz w:val="24"/>
      <w:szCs w:val="21"/>
    </w:rPr>
  </w:style>
  <w:style w:type="character" w:customStyle="1" w:styleId="103">
    <w:name w:val="正文文本首行缩进 字符"/>
    <w:link w:val="30"/>
    <w:qFormat/>
    <w:uiPriority w:val="0"/>
    <w:rPr>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6" Type="http://schemas.openxmlformats.org/officeDocument/2006/relationships/fontTable" Target="fontTable.xml"/><Relationship Id="rId45" Type="http://schemas.microsoft.com/office/2006/relationships/keyMapCustomizations" Target="customizations.xml"/><Relationship Id="rId44" Type="http://schemas.openxmlformats.org/officeDocument/2006/relationships/customXml" Target="../customXml/item2.xml"/><Relationship Id="rId43" Type="http://schemas.openxmlformats.org/officeDocument/2006/relationships/numbering" Target="numbering.xml"/><Relationship Id="rId42" Type="http://schemas.openxmlformats.org/officeDocument/2006/relationships/customXml" Target="../customXml/item1.xml"/><Relationship Id="rId41" Type="http://schemas.openxmlformats.org/officeDocument/2006/relationships/image" Target="media/image27.wmf"/><Relationship Id="rId40" Type="http://schemas.openxmlformats.org/officeDocument/2006/relationships/image" Target="media/image26.wmf"/><Relationship Id="rId4" Type="http://schemas.openxmlformats.org/officeDocument/2006/relationships/endnotes" Target="endnotes.xml"/><Relationship Id="rId39" Type="http://schemas.openxmlformats.org/officeDocument/2006/relationships/image" Target="media/image25.wmf"/><Relationship Id="rId38" Type="http://schemas.openxmlformats.org/officeDocument/2006/relationships/image" Target="media/image24.wmf"/><Relationship Id="rId37" Type="http://schemas.openxmlformats.org/officeDocument/2006/relationships/image" Target="media/image23.wmf"/><Relationship Id="rId36" Type="http://schemas.openxmlformats.org/officeDocument/2006/relationships/image" Target="media/image22.wmf"/><Relationship Id="rId35" Type="http://schemas.openxmlformats.org/officeDocument/2006/relationships/image" Target="media/image21.wmf"/><Relationship Id="rId34" Type="http://schemas.openxmlformats.org/officeDocument/2006/relationships/image" Target="media/image20.wmf"/><Relationship Id="rId33" Type="http://schemas.openxmlformats.org/officeDocument/2006/relationships/image" Target="media/image19.wmf"/><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footnotes" Target="footnotes.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emf"/><Relationship Id="rId23" Type="http://schemas.openxmlformats.org/officeDocument/2006/relationships/oleObject" Target="embeddings/oleObject3.bin"/><Relationship Id="rId22" Type="http://schemas.openxmlformats.org/officeDocument/2006/relationships/image" Target="media/image9.emf"/><Relationship Id="rId21" Type="http://schemas.openxmlformats.org/officeDocument/2006/relationships/oleObject" Target="embeddings/oleObject2.bin"/><Relationship Id="rId20" Type="http://schemas.openxmlformats.org/officeDocument/2006/relationships/image" Target="media/image8.emf"/><Relationship Id="rId2" Type="http://schemas.openxmlformats.org/officeDocument/2006/relationships/settings" Target="settings.xml"/><Relationship Id="rId19" Type="http://schemas.openxmlformats.org/officeDocument/2006/relationships/oleObject" Target="embeddings/oleObject1.bin"/><Relationship Id="rId18" Type="http://schemas.openxmlformats.org/officeDocument/2006/relationships/image" Target="media/image7.png"/><Relationship Id="rId17" Type="http://schemas.openxmlformats.org/officeDocument/2006/relationships/image" Target="media/image6.jpeg"/><Relationship Id="rId16" Type="http://schemas.openxmlformats.org/officeDocument/2006/relationships/image" Target="media/image5.jpeg"/><Relationship Id="rId15" Type="http://schemas.openxmlformats.org/officeDocument/2006/relationships/image" Target="media/image4.pn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a71fe949-2b65-44cb-b44a-feb86ad41a9d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6EB57358</paraID>
      <start>0</start>
      <end>2</end>
      <status>unmodified</status>
      <modifiedWord/>
      <trackRevisions>false</trackRevisions>
    </reviewItem>
    <reviewItem>
      <errorID>7cb2adbd-ec85-41c5-ae87-a0fa339c1c7d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3217A93C</paraID>
      <start>0</start>
      <end>2</end>
      <status>unmodified</status>
      <modifiedWord/>
      <trackRevisions>false</trackRevisions>
    </reviewItem>
    <reviewItem>
      <errorID>2084ef0d-f796-4ae6-9bd2-89c23be993fd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3217A93C</paraID>
      <start>29</start>
      <end>30</end>
      <status>unmodified</status>
      <modifiedWord/>
      <trackRevisions>false</trackRevisions>
    </reviewItem>
    <reviewItem>
      <errorID>3a9ded8e-4bd3-49eb-aa9a-6b00eae683e6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5CF6EF7F</paraID>
      <start>29</start>
      <end>30</end>
      <status>unmodified</status>
      <modifiedWord/>
      <trackRevisions>false</trackRevisions>
    </reviewItem>
    <reviewItem>
      <errorID>b134ebc0-17e7-417c-ab06-0d7e4c919d9f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474F2ED2</paraID>
      <start>0</start>
      <end>2</end>
      <status>unmodified</status>
      <modifiedWord/>
      <trackRevisions>false</trackRevisions>
    </reviewItem>
    <reviewItem>
      <errorID>6ef5b672-342e-48db-af60-289afd6d1b43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4A77DB60</paraID>
      <start>28</start>
      <end>29</end>
      <status>unmodified</status>
      <modifiedWord/>
      <trackRevisions>false</trackRevisions>
    </reviewItem>
    <reviewItem>
      <errorID>f5f71e86-3921-451f-b817-8860c0db6f82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756C9497</paraID>
      <start>26</start>
      <end>27</end>
      <status>unmodified</status>
      <modifiedWord/>
      <trackRevisions>false</trackRevisions>
    </reviewItem>
    <reviewItem>
      <errorID>78c75307-153f-451f-8d1c-ffe5a81cbb13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698F83B5</paraID>
      <start>23</start>
      <end>24</end>
      <status>unmodified</status>
      <modifiedWord/>
      <trackRevisions>false</trackRevisions>
    </reviewItem>
    <reviewItem>
      <errorID>02d15bdf-584a-4050-89df-6e3ae06bcad7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6516C5D5</paraID>
      <start>50</start>
      <end>51</end>
      <status>unmodified</status>
      <modifiedWord/>
      <trackRevisions>false</trackRevisions>
    </reviewItem>
    <reviewItem>
      <errorID>0ff4191a-4d64-44c3-b4cc-7c8cddcfe825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6516C5D5</paraID>
      <start>176</start>
      <end>177</end>
      <status>unmodified</status>
      <modifiedWord/>
      <trackRevisions>false</trackRevisions>
    </reviewItem>
    <reviewItem>
      <errorID>65080dbb-101b-45d1-8f2a-d0fb64e3df72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78445927</paraID>
      <start>32</start>
      <end>33</end>
      <status>unmodified</status>
      <modifiedWord/>
      <trackRevisions>false</trackRevisions>
    </reviewItem>
    <reviewItem>
      <errorID>4869436e-bba9-4f3d-8c7a-fc8a621c8403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2D4C6D7E</paraID>
      <start>27</start>
      <end>28</end>
      <status>unmodified</status>
      <modifiedWord/>
      <trackRevisions>false</trackRevisions>
    </reviewItem>
    <reviewItem>
      <errorID>cf901080-2050-4573-a08f-644b537d800f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2D4C6D7E</paraID>
      <start>41</start>
      <end>42</end>
      <status>unmodified</status>
      <modifiedWord/>
      <trackRevisions>false</trackRevisions>
    </reviewItem>
    <reviewItem>
      <errorID>2dc5a045-1395-4f7d-a127-e10daaf95a01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5E012C8</paraID>
      <start>31</start>
      <end>32</end>
      <status>unmodified</status>
      <modifiedWord/>
      <trackRevisions>false</trackRevisions>
    </reviewItem>
    <reviewItem>
      <errorID>f4da0e88-6589-4ff3-a2a1-d81f78826b49</errorID>
      <errorWord>-</errorWord>
      <group>L1_Format</group>
      <groupName>格式问题</groupName>
      <ability>L2_HalfPunc</ability>
      <abilityName>全半角检查</abilityName>
      <candidateList>
        <item>－</item>
      </candidateList>
      <explain>文本全半角错误。</explain>
      <paraID>57B6E6E2</paraID>
      <start>3</start>
      <end>4</end>
      <status>unmodified</status>
      <modifiedWord/>
      <trackRevisions>false</trackRevisions>
    </reviewItem>
    <reviewItem>
      <errorID>3516d485-807a-4272-996f-eb90643f0923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57D63FBA</paraID>
      <start>18</start>
      <end>21</end>
      <status>unmodified</status>
      <modifiedWord/>
      <trackRevisions>false</trackRevisions>
    </reviewItem>
    <reviewItem>
      <errorID>f4274c08-8c16-4bcf-aa66-8c8a7df4a11e</errorID>
      <errorWord>恶意</errorWord>
      <group>L1_Word</group>
      <groupName>字词问题</groupName>
      <ability>L2_Typo</ability>
      <abilityName>字词错误</abilityName>
      <candidateList>
        <item>意</item>
      </candidateList>
      <explain/>
      <paraID>5DE7943C</paraID>
      <start>185</start>
      <end>187</end>
      <status>unmodified</status>
      <modifiedWord/>
      <trackRevisions>false</trackRevisions>
    </reviewItem>
    <reviewItem>
      <errorID>aa5bdfbb-765e-45e8-aa87-956709934200</errorID>
      <errorWord>环保基础设施建设</errorWord>
      <group>L1_Political</group>
      <groupName>政治性问题</groupName>
      <ability>L2_Keyword</ability>
      <abilityName>固定表述</abilityName>
      <candidateList>
        <item>环境基础设施建设</item>
      </candidateList>
      <explain>词汇“环境基础设施建设”在特定场景下为固定表述形式，请确认此处的“环保基础设施建设”是否存在不当。</explain>
      <paraID>4D881C2C</paraID>
      <start>2</start>
      <end>10</end>
      <status>unmodified</status>
      <modifiedWord/>
      <trackRevisions>false</trackRevisions>
    </reviewItem>
    <reviewItem>
      <errorID>690a822b-408c-4024-bd00-3edce476f1ae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849C37C</paraID>
      <start>28</start>
      <end>29</end>
      <status>unmodified</status>
      <modifiedWord/>
      <trackRevisions>false</trackRevisions>
    </reviewItem>
    <reviewItem>
      <errorID>ab86b715-7c46-45b9-b60b-a9f4f4153235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35D723E3</paraID>
      <start>244</start>
      <end>245</end>
      <status>unmodified</status>
      <modifiedWord/>
      <trackRevisions>false</trackRevisions>
    </reviewItem>
    <reviewItem>
      <errorID>0b45582f-c046-4dc2-a968-8ef3ecd2c767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56D89D6</paraID>
      <start>60</start>
      <end>61</end>
      <status>unmodified</status>
      <modifiedWord/>
      <trackRevisions>false</trackRevisions>
    </reviewItem>
    <reviewItem>
      <errorID>8c5446f7-e0ab-49a1-8db9-9fc8121d01a0</errorID>
      <errorWord>》</errorWord>
      <group>L1_Word</group>
      <groupName>字词问题</groupName>
      <ability>L2_Typo</ability>
      <abilityName>字词错误</abilityName>
      <candidateList>
        <item>》等</item>
      </candidateList>
      <explain/>
      <paraID>681D948D</paraID>
      <start>198</start>
      <end>199</end>
      <status>unmodified</status>
      <modifiedWord/>
      <trackRevisions>false</trackRevisions>
    </reviewItem>
    <reviewItem>
      <errorID>441c656d-8d08-4ab5-b2af-12bbc72c42e0</errorID>
      <errorWord>-</errorWord>
      <group>L1_Format</group>
      <groupName>格式问题</groupName>
      <ability>L2_HalfPunc</ability>
      <abilityName>全半角检查</abilityName>
      <candidateList>
        <item>－</item>
      </candidateList>
      <explain>文本全半角错误。</explain>
      <paraID>4831BDD6</paraID>
      <start>67</start>
      <end>68</end>
      <status>unmodified</status>
      <modifiedWord/>
      <trackRevisions>false</trackRevisions>
    </reviewItem>
    <reviewItem>
      <errorID>aa4dc426-280d-4e9c-aaf4-e7fb28219d9c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7B4C66FB</paraID>
      <start>38</start>
      <end>41</end>
      <status>unmodified</status>
      <modifiedWord/>
      <trackRevisions>false</trackRevisions>
    </reviewItem>
    <reviewItem>
      <errorID>1d68d09a-e7ec-4969-b908-14d59024b729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7B4C66FB</paraID>
      <start>60</start>
      <end>63</end>
      <status>unmodified</status>
      <modifiedWord/>
      <trackRevisions>false</trackRevisions>
    </reviewItem>
    <reviewItem>
      <errorID>259d0896-faa0-4e3c-89a8-7f001c90f473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2767C6C2</paraID>
      <start>97</start>
      <end>100</end>
      <status>unmodified</status>
      <modifiedWord/>
      <trackRevisions>false</trackRevisions>
    </reviewItem>
    <reviewItem>
      <errorID>12a39a96-7980-4baf-974b-496fec341db4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2767C6C2</paraID>
      <start>119</start>
      <end>122</end>
      <status>unmodified</status>
      <modifiedWord/>
      <trackRevisions>false</trackRevisions>
    </reviewItem>
    <reviewItem>
      <errorID>740a498a-0d9d-4e58-ac33-c7e99214702a</errorID>
      <errorWord>胶粘剂</errorWord>
      <group>L1_Word</group>
      <groupName>字词问题</groupName>
      <ability>L2_Typo</ability>
      <abilityName>字词错误</abilityName>
      <candidateList>
        <item>胶黏剂</item>
      </candidateList>
      <explain/>
      <paraID> A8B60C2</paraID>
      <start>26</start>
      <end>29</end>
      <status>unmodified</status>
      <modifiedWord/>
      <trackRevisions>false</trackRevisions>
    </reviewItem>
    <reviewItem>
      <errorID>e9a46b54-d3d2-4614-9e1e-3d0c31ec5672</errorID>
      <errorWord>胶粘剂</errorWord>
      <group>L1_Word</group>
      <groupName>字词问题</groupName>
      <ability>L2_Typo</ability>
      <abilityName>字词错误</abilityName>
      <candidateList>
        <item>胶黏剂</item>
      </candidateList>
      <explain/>
      <paraID>1756509E</paraID>
      <start>44</start>
      <end>47</end>
      <status>unmodified</status>
      <modifiedWord/>
      <trackRevisions>false</trackRevisions>
    </reviewItem>
    <reviewItem>
      <errorID>abaf5555-40af-4848-abe1-69b08cbfdce8</errorID>
      <errorWord>胶粘剂</errorWord>
      <group>L1_Word</group>
      <groupName>字词问题</groupName>
      <ability>L2_Typo</ability>
      <abilityName>字词错误</abilityName>
      <candidateList>
        <item>胶黏剂</item>
      </candidateList>
      <explain/>
      <paraID>5D2C938A</paraID>
      <start>44</start>
      <end>47</end>
      <status>unmodified</status>
      <modifiedWord/>
      <trackRevisions>false</trackRevisions>
    </reviewItem>
    <reviewItem>
      <errorID>f530b40d-e1c3-42ea-8d05-21ccf07dd090</errorID>
      <errorWord>胶粘剂</errorWord>
      <group>L1_Word</group>
      <groupName>字词问题</groupName>
      <ability>L2_Typo</ability>
      <abilityName>字词错误</abilityName>
      <candidateList>
        <item>胶黏剂</item>
      </candidateList>
      <explain/>
      <paraID>5D2C938A</paraID>
      <start>200</start>
      <end>203</end>
      <status>unmodified</status>
      <modifiedWord/>
      <trackRevisions>false</trackRevisions>
    </reviewItem>
    <reviewItem>
      <errorID>d4e4cfc8-15dc-4e52-b728-ca47fdf3ac21</errorID>
      <errorWord>胶粘剂</errorWord>
      <group>L1_Word</group>
      <groupName>字词问题</groupName>
      <ability>L2_Typo</ability>
      <abilityName>字词错误</abilityName>
      <candidateList>
        <item>胶黏剂</item>
      </candidateList>
      <explain/>
      <paraID>5D2C938A</paraID>
      <start>280</start>
      <end>283</end>
      <status>unmodified</status>
      <modifiedWord/>
      <trackRevisions>false</trackRevisions>
    </reviewItem>
    <reviewItem>
      <errorID>3acad6cd-fd80-4944-8c06-4a136879a8f2</errorID>
      <errorWord>胶粘剂</errorWord>
      <group>L1_Word</group>
      <groupName>字词问题</groupName>
      <ability>L2_Typo</ability>
      <abilityName>字词错误</abilityName>
      <candidateList>
        <item>胶黏剂</item>
      </candidateList>
      <explain/>
      <paraID>2B3D79CD</paraID>
      <start>185</start>
      <end>188</end>
      <status>unmodified</status>
      <modifiedWord/>
      <trackRevisions>false</trackRevisions>
    </reviewItem>
    <reviewItem>
      <errorID>cf360c82-2168-444b-8348-91017a994293</errorID>
      <errorWord>胶粘剂</errorWord>
      <group>L1_Word</group>
      <groupName>字词问题</groupName>
      <ability>L2_Typo</ability>
      <abilityName>字词错误</abilityName>
      <candidateList>
        <item>胶黏剂</item>
      </candidateList>
      <explain/>
      <paraID>2B3D79CD</paraID>
      <start>220</start>
      <end>223</end>
      <status>unmodified</status>
      <modifiedWord/>
      <trackRevisions>false</trackRevisions>
    </reviewItem>
    <reviewItem>
      <errorID>acafc489-3198-46e4-b70a-7627a810c05c</errorID>
      <errorWord>上线</errorWord>
      <group>L1_Word</group>
      <groupName>字词问题</groupName>
      <ability>L2_Typo</ability>
      <abilityName>字词错误</abilityName>
      <candidateList>
        <item>上限</item>
      </candidateList>
      <explain/>
      <paraID>6369CDF8</paraID>
      <start>25</start>
      <end>27</end>
      <status>unmodified</status>
      <modifiedWord/>
      <trackRevisions>false</trackRevisions>
    </reviewItem>
    <reviewItem>
      <errorID>1ce5c711-8004-4ef2-85e8-e6455443c9c0</errorID>
      <errorWord>，</errorWord>
      <group>L1_Word</group>
      <groupName>字词问题</groupName>
      <ability>L2_Typo</ability>
      <abilityName>字词错误</abilityName>
      <candidateList>
        <item>，在</item>
      </candidateList>
      <explain/>
      <paraID>22A1E6DE</paraID>
      <start>40</start>
      <end>41</end>
      <status>unmodified</status>
      <modifiedWord/>
      <trackRevisions>false</trackRevisions>
    </reviewItem>
    <reviewItem>
      <errorID>9cb29b23-d759-45c7-95c1-19ce83428f77</errorID>
      <errorWord>应</errorWord>
      <group>L1_Word</group>
      <groupName>字词问题</groupName>
      <ability>L2_Typo</ability>
      <abilityName>字词错误</abilityName>
      <candidateList>
        <item>应进</item>
      </candidateList>
      <explain/>
      <paraID> F7ECF1E</paraID>
      <start>16</start>
      <end>17</end>
      <status>unmodified</status>
      <modifiedWord/>
      <trackRevisions>false</trackRevisions>
    </reviewItem>
    <reviewItem>
      <errorID>8646286f-5712-4fae-8f22-76ed94810989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21CCAAF5</paraID>
      <start>31</start>
      <end>32</end>
      <status>unmodified</status>
      <modifiedWord/>
      <trackRevisions>false</trackRevisions>
    </reviewItem>
    <reviewItem>
      <errorID>cca64a5f-9b3b-4654-9a5f-f32dd086d306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21CCAAF5</paraID>
      <start>45</start>
      <end>46</end>
      <status>unmodified</status>
      <modifiedWord/>
      <trackRevisions>false</trackRevisions>
    </reviewItem>
    <reviewItem>
      <errorID>f559c2a1-fefd-4937-bdc2-b74868c95534</errorID>
      <errorWord>污染协同控制</errorWord>
      <group>L1_Political</group>
      <groupName>政治性问题</groupName>
      <ability>L2_Keyword</ability>
      <abilityName>固定表述</abilityName>
      <candidateList>
        <item>污染物协同控制</item>
      </candidateList>
      <explain>词汇“污染物协同控制”在特定场景下为固定表述形式，请确认此处的“污染协同控制”是否存在不当。</explain>
      <paraID>  A6A1C7</paraID>
      <start>12</start>
      <end>18</end>
      <status>unmodified</status>
      <modifiedWord/>
      <trackRevisions>false</trackRevisions>
    </reviewItem>
    <reviewItem>
      <errorID>6bb5c407-50ee-46de-9936-f76b46efe6c1</errorID>
      <errorWord>胶粘剂</errorWord>
      <group>L1_Word</group>
      <groupName>字词问题</groupName>
      <ability>L2_Typo</ability>
      <abilityName>字词错误</abilityName>
      <candidateList>
        <item>胶黏剂</item>
      </candidateList>
      <explain/>
      <paraID>13DFB791</paraID>
      <start>257</start>
      <end>260</end>
      <status>unmodified</status>
      <modifiedWord/>
      <trackRevisions>false</trackRevisions>
    </reviewItem>
    <reviewItem>
      <errorID>fde04bf9-779a-4ae1-87e2-03cc4497ad44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42FA64CB</paraID>
      <start>173</start>
      <end>174</end>
      <status>unmodified</status>
      <modifiedWord/>
      <trackRevisions>false</trackRevisions>
    </reviewItem>
    <reviewItem>
      <errorID>ba12a9b7-64e4-48a8-ba7a-ba5237669a04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72577A6</paraID>
      <start>110</start>
      <end>111</end>
      <status>unmodified</status>
      <modifiedWord/>
      <trackRevisions>false</trackRevisions>
    </reviewItem>
    <reviewItem>
      <errorID>00727a43-fdc9-4a7b-b6c1-4b0ed479f6a9</errorID>
      <errorWord>胶粘剂</errorWord>
      <group>L1_Word</group>
      <groupName>字词问题</groupName>
      <ability>L2_Typo</ability>
      <abilityName>字词错误</abilityName>
      <candidateList>
        <item>胶黏剂</item>
      </candidateList>
      <explain/>
      <paraID> 72577A6</paraID>
      <start>278</start>
      <end>281</end>
      <status>unmodified</status>
      <modifiedWord/>
      <trackRevisions>false</trackRevisions>
    </reviewItem>
    <reviewItem>
      <errorID>d43a39a8-d184-403d-bbd7-6cbc624a0024</errorID>
      <errorWord>胶粘剂</errorWord>
      <group>L1_Word</group>
      <groupName>字词问题</groupName>
      <ability>L2_Typo</ability>
      <abilityName>字词错误</abilityName>
      <candidateList>
        <item>胶黏剂</item>
      </candidateList>
      <explain/>
      <paraID> A3D9648</paraID>
      <start>28</start>
      <end>31</end>
      <status>unmodified</status>
      <modifiedWord/>
      <trackRevisions>false</trackRevisions>
    </reviewItem>
    <reviewItem>
      <errorID>fce070b2-66d8-4878-8027-083227a6a9c8</errorID>
      <errorWord>（</errorWord>
      <group>L1_Punc</group>
      <groupName>标点问题</groupName>
      <ability>L2_Punc</ability>
      <abilityName>标点符号检查</abilityName>
      <candidateList/>
      <explain>同一形式括号套用。</explain>
      <paraID> 16E7300</paraID>
      <start>12</start>
      <end>13</end>
      <status>unmodified</status>
      <modifiedWord/>
      <trackRevisions>false</trackRevisions>
    </reviewItem>
    <reviewItem>
      <errorID>e3b447d2-07f8-41e1-bcce-c2adfc38b13b</errorID>
      <errorWord>）</errorWord>
      <group>L1_Punc</group>
      <groupName>标点问题</groupName>
      <ability>L2_Punc</ability>
      <abilityName>标点符号检查</abilityName>
      <candidateList/>
      <explain>同一形式括号套用。</explain>
      <paraID> 16E7300</paraID>
      <start>19</start>
      <end>20</end>
      <status>unmodified</status>
      <modifiedWord/>
      <trackRevisions>false</trackRevisions>
    </reviewItem>
    <reviewItem>
      <errorID>5083aecc-6b6d-4b11-b214-87c1fd548051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33943247</paraID>
      <start>0</start>
      <end>2</end>
      <status>unmodified</status>
      <modifiedWord/>
      <trackRevisions>false</trackRevisions>
    </reviewItem>
    <reviewItem>
      <errorID>40be62ac-7847-44cd-9f1c-84c1b47d3522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6BFC1BAA</paraID>
      <start>17</start>
      <end>20</end>
      <status>unmodified</status>
      <modifiedWord/>
      <trackRevisions>false</trackRevisions>
    </reviewItem>
    <reviewItem>
      <errorID>d1821f83-6192-455f-a62c-f6d40e945136</errorID>
      <errorWord>（</errorWord>
      <group>L1_Punc</group>
      <groupName>标点问题</groupName>
      <ability>L2_Punc</ability>
      <abilityName>标点符号检查</abilityName>
      <candidateList/>
      <explain>同一形式括号套用。</explain>
      <paraID>367D4FC4</paraID>
      <start>68</start>
      <end>69</end>
      <status>unmodified</status>
      <modifiedWord/>
      <trackRevisions>false</trackRevisions>
    </reviewItem>
    <reviewItem>
      <errorID>48bb0025-ca34-461c-8924-8198ee4f60a1</errorID>
      <errorWord>）</errorWord>
      <group>L1_Punc</group>
      <groupName>标点问题</groupName>
      <ability>L2_Punc</ability>
      <abilityName>标点符号检查</abilityName>
      <candidateList/>
      <explain>同一形式括号套用。</explain>
      <paraID>367D4FC4</paraID>
      <start>80</start>
      <end>81</end>
      <status>unmodified</status>
      <modifiedWord/>
      <trackRevisions>false</trackRevisions>
    </reviewItem>
    <reviewItem>
      <errorID>b69acfee-9876-40bf-8610-e3e5a732a287</errorID>
      <errorWord>（</errorWord>
      <group>L1_Punc</group>
      <groupName>标点问题</groupName>
      <ability>L2_Punc</ability>
      <abilityName>标点符号检查</abilityName>
      <candidateList/>
      <explain>同一形式括号套用。</explain>
      <paraID>3D72A0CF</paraID>
      <start>66</start>
      <end>67</end>
      <status>unmodified</status>
      <modifiedWord/>
      <trackRevisions>false</trackRevisions>
    </reviewItem>
    <reviewItem>
      <errorID>e7b19e47-739b-48ac-9a7c-be0811ebad88</errorID>
      <errorWord>）</errorWord>
      <group>L1_Punc</group>
      <groupName>标点问题</groupName>
      <ability>L2_Punc</ability>
      <abilityName>标点符号检查</abilityName>
      <candidateList/>
      <explain>同一形式括号套用。</explain>
      <paraID>3D72A0CF</paraID>
      <start>78</start>
      <end>79</end>
      <status>unmodified</status>
      <modifiedWord/>
      <trackRevisions>false</trackRevisions>
    </reviewItem>
    <reviewItem>
      <errorID>303b25c6-64ce-4d21-9e1d-49c30e0ab2e2</errorID>
      <errorWord>（</errorWord>
      <group>L1_Format</group>
      <groupName>格式问题</groupName>
      <ability>L2_HalfPunc</ability>
      <abilityName>全半角检查</abilityName>
      <candidateList>
        <item>(</item>
      </candidateList>
      <explain>文本全半角错误。</explain>
      <paraID> 1DD1FDB</paraID>
      <start>4</start>
      <end>5</end>
      <status>unmodified</status>
      <modifiedWord/>
      <trackRevisions>false</trackRevisions>
    </reviewItem>
    <reviewItem>
      <errorID>7c55570e-7cef-4045-93ad-eb77bb19e6da</errorID>
      <errorWord>）</errorWord>
      <group>L1_Format</group>
      <groupName>格式问题</groupName>
      <ability>L2_HalfPunc</ability>
      <abilityName>全半角检查</abilityName>
      <candidateList>
        <item>)</item>
      </candidateList>
      <explain>文本全半角错误。</explain>
      <paraID> 1DD1FDB</paraID>
      <start>10</start>
      <end>11</end>
      <status>unmodified</status>
      <modifiedWord/>
      <trackRevisions>false</trackRevisions>
    </reviewItem>
    <reviewItem>
      <errorID>64f80489-a160-4cdd-bcb9-3bafbde80fa2</errorID>
      <errorWord>65-75%</errorWord>
      <group>L1_Knowledge</group>
      <groupName>知识性问题</groupName>
      <ability>L2_Knowledge</ability>
      <abilityName>其他知识</abilityName>
      <candidateList>
        <item>65%—75%</item>
      </candidateList>
      <explain>1. “65-75%”中的单位“%”仅出现在后一个数字上，容易引起歧义；根据《现代汉语标点符号数字用法规范手册》，数字表示范围两边需要使用统一的格式。2. 根据标点国标 4.13 中的规则，数字、时间或地域连接符应使用（视觉上更长的）“—”或“～”。</explain>
      <paraID> 4F44A44</paraID>
      <start>28</start>
      <end>34</end>
      <status>unmodified</status>
      <modifiedWord/>
      <trackRevisions>false</trackRevisions>
    </reviewItem>
    <reviewItem>
      <errorID>2a64e996-4762-4414-ad37-cc6da1fc72c8</errorID>
      <errorWord>3~4%</errorWord>
      <group>L1_Knowledge</group>
      <groupName>知识性问题</groupName>
      <ability>L2_Knowledge</ability>
      <abilityName>其他知识</abilityName>
      <candidateList>
        <item>3%～4%</item>
      </candidateList>
      <explain>1. “3~4%”中的单位“%”仅出现在后一个数字上，容易引起歧义；根据《现代汉语标点符号数字用法规范手册》，数字表示范围两边需要使用统一的格式。2. 根据标点国标 4.13 中的规则，数字、时间或地域连接符应使用（视觉上更长的）“—”或“～”。</explain>
      <paraID> 4F44A44</paraID>
      <start>43</start>
      <end>47</end>
      <status>unmodified</status>
      <modifiedWord/>
      <trackRevisions>false</trackRevisions>
    </reviewItem>
    <reviewItem>
      <errorID>c4e10ace-d599-4a56-8fb2-d29cab241646</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 4F44A44</paraID>
      <start>53</start>
      <end>58</end>
      <status>unmodified</status>
      <modifiedWord/>
      <trackRevisions>false</trackRevisions>
    </reviewItem>
    <reviewItem>
      <errorID>e2508a34-371c-4442-b671-2eb608cf5130</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 4F44A44</paraID>
      <start>67</start>
      <end>71</end>
      <status>unmodified</status>
      <modifiedWord/>
      <trackRevisions>false</trackRevisions>
    </reviewItem>
    <reviewItem>
      <errorID>6f1ce9ee-c116-4afa-9bd3-9184e081b13f</errorID>
      <errorWord>8~10%</errorWord>
      <group>L1_Knowledge</group>
      <groupName>知识性问题</groupName>
      <ability>L2_Knowledge</ability>
      <abilityName>其他知识</abilityName>
      <candidateList>
        <item>8%～10%</item>
      </candidateList>
      <explain>1. “8~10%”中的单位“%”仅出现在后一个数字上，容易引起歧义；根据《现代汉语标点符号数字用法规范手册》，数字表示范围两边需要使用统一的格式。2. 根据标点国标 4.13 中的规则，数字、时间或地域连接符应使用（视觉上更长的）“—”或“～”。</explain>
      <paraID> 4F44A44</paraID>
      <start>78</start>
      <end>83</end>
      <status>unmodified</status>
      <modifiedWord/>
      <trackRevisions>false</trackRevisions>
    </reviewItem>
    <reviewItem>
      <errorID>5ad8f395-5009-4743-a8d8-c6a22f959124</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 4F44A44</paraID>
      <start>92</start>
      <end>96</end>
      <status>unmodified</status>
      <modifiedWord/>
      <trackRevisions>false</trackRevisions>
    </reviewItem>
    <reviewItem>
      <errorID>0f40af8f-5c4a-44b2-974e-33a3ab10adb8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4F44A44</paraID>
      <start>156</start>
      <end>157</end>
      <status>unmodified</status>
      <modifiedWord/>
      <trackRevisions>false</trackRevisions>
    </reviewItem>
    <reviewItem>
      <errorID>6df1d3a8-fa00-468a-bffb-eb25189ff4f1</errorID>
      <errorWord>粘稠</errorWord>
      <group>L1_Word</group>
      <groupName>字词问题</groupName>
      <ability>L2_Typo</ability>
      <abilityName>字词错误</abilityName>
      <candidateList>
        <item>黏稠</item>
      </candidateList>
      <explain>存在发音相同字词的误用。</explain>
      <paraID> 3EBF793</paraID>
      <start>25</start>
      <end>27</end>
      <status>unmodified</status>
      <modifiedWord/>
      <trackRevisions>false</trackRevisions>
    </reviewItem>
    <reviewItem>
      <errorID>89792747-d209-4086-b3e6-a9a0ad7f5b11</errorID>
      <errorWord>粘度</errorWord>
      <group>L1_Word</group>
      <groupName>字词问题</groupName>
      <ability>L2_Alias</ability>
      <abilityName>也作/曾用词</abilityName>
      <candidateList>
        <item>黏度</item>
      </candidateList>
      <explain>词汇[粘度]为不规范表述或旧称，其规范书面表述为[黏度]。</explain>
      <paraID> 3EBF793</paraID>
      <start>65</start>
      <end>67</end>
      <status>unmodified</status>
      <modifiedWord/>
      <trackRevisions>false</trackRevisions>
    </reviewItem>
    <reviewItem>
      <errorID>76eabde6-f4d3-48db-9048-2a07fc38e7ea</errorID>
      <errorWord>程</errorWord>
      <group>L1_Word</group>
      <groupName>字词问题</groupName>
      <ability>L2_Typo</ability>
      <abilityName>字词错误</abilityName>
      <candidateList>
        <item>程中</item>
      </candidateList>
      <explain/>
      <paraID> EBBCEF1</paraID>
      <start>50</start>
      <end>51</end>
      <status>unmodified</status>
      <modifiedWord/>
      <trackRevisions>false</trackRevisions>
    </reviewItem>
    <reviewItem>
      <errorID>fd09ca63-8a32-44a2-878f-f1ec2edb8828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7D7F455F</paraID>
      <start>152</start>
      <end>153</end>
      <status>unmodified</status>
      <modifiedWord/>
      <trackRevisions>false</trackRevisions>
    </reviewItem>
    <reviewItem>
      <errorID>69fdbaa9-fb8e-42f2-8f5c-24c36742d0c5</errorID>
      <errorWord>交有</errorWord>
      <group>L1_Word</group>
      <groupName>字词问题</groupName>
      <ability>L2_Typo</ability>
      <abilityName>字词错误</abilityName>
      <candidateList>
        <item>交由</item>
      </candidateList>
      <explain>存在发音相同字词的误用。</explain>
      <paraID>7D7F455F</paraID>
      <start>180</start>
      <end>182</end>
      <status>unmodified</status>
      <modifiedWord/>
      <trackRevisions>false</trackRevisions>
    </reviewItem>
    <reviewItem>
      <errorID>d73773b8-d3d3-4cf8-b7a7-bf655ec36071</errorID>
      <errorWord>65-75%</errorWord>
      <group>L1_Knowledge</group>
      <groupName>知识性问题</groupName>
      <ability>L2_Knowledge</ability>
      <abilityName>其他知识</abilityName>
      <candidateList>
        <item>65%—75%</item>
      </candidateList>
      <explain>1. “65-75%”中的单位“%”仅出现在后一个数字上，容易引起歧义；根据《现代汉语标点符号数字用法规范手册》，数字表示范围两边需要使用统一的格式。2. 根据标点国标 4.13 中的规则，数字、时间或地域连接符应使用（视觉上更长的）“—”或“～”。</explain>
      <paraID>5CE62E83</paraID>
      <start>33</start>
      <end>39</end>
      <status>unmodified</status>
      <modifiedWord/>
      <trackRevisions>false</trackRevisions>
    </reviewItem>
    <reviewItem>
      <errorID>efab4291-8ad6-4858-a273-5632fcec399a</errorID>
      <errorWord>3~4%</errorWord>
      <group>L1_Knowledge</group>
      <groupName>知识性问题</groupName>
      <ability>L2_Knowledge</ability>
      <abilityName>其他知识</abilityName>
      <candidateList>
        <item>3%～4%</item>
      </candidateList>
      <explain>1. “3~4%”中的单位“%”仅出现在后一个数字上，容易引起歧义；根据《现代汉语标点符号数字用法规范手册》，数字表示范围两边需要使用统一的格式。2. 根据标点国标 4.13 中的规则，数字、时间或地域连接符应使用（视觉上更长的）“—”或“～”。</explain>
      <paraID>5CE62E83</paraID>
      <start>48</start>
      <end>52</end>
      <status>unmodified</status>
      <modifiedWord/>
      <trackRevisions>false</trackRevisions>
    </reviewItem>
    <reviewItem>
      <errorID>a5c2e3c7-be2d-4c06-b54d-4472ca1c6b24</errorID>
      <errorWord>8~10%</errorWord>
      <group>L1_Knowledge</group>
      <groupName>知识性问题</groupName>
      <ability>L2_Knowledge</ability>
      <abilityName>其他知识</abilityName>
      <candidateList>
        <item>8%～10%</item>
      </candidateList>
      <explain>1. “8~10%”中的单位“%”仅出现在后一个数字上，容易引起歧义；根据《现代汉语标点符号数字用法规范手册》，数字表示范围两边需要使用统一的格式。2. 根据标点国标 4.13 中的规则，数字、时间或地域连接符应使用（视觉上更长的）“—”或“～”。</explain>
      <paraID>5CE62E83</paraID>
      <start>59</start>
      <end>64</end>
      <status>unmodified</status>
      <modifiedWord/>
      <trackRevisions>false</trackRevisions>
    </reviewItem>
    <reviewItem>
      <errorID>b27f51ed-381e-47ff-853e-f26458504de3</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5CE62E83</paraID>
      <start>73</start>
      <end>77</end>
      <status>unmodified</status>
      <modifiedWord/>
      <trackRevisions>false</trackRevisions>
    </reviewItem>
    <reviewItem>
      <errorID>26befa0b-b1c8-462f-844e-1a44ccb78511</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5CE62E83</paraID>
      <start>83</start>
      <end>88</end>
      <status>unmodified</status>
      <modifiedWord/>
      <trackRevisions>false</trackRevisions>
    </reviewItem>
    <reviewItem>
      <errorID>a67bc31c-3f30-4d85-b472-6d6b3d4d42e4</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5CE62E83</paraID>
      <start>97</start>
      <end>101</end>
      <status>unmodified</status>
      <modifiedWord/>
      <trackRevisions>false</trackRevisions>
    </reviewItem>
    <reviewItem>
      <errorID>71720ff6-0a33-42a1-a417-99b161a9d9e9</errorID>
      <errorWord>~</errorWord>
      <group>L1_Format</group>
      <groupName>格式问题</groupName>
      <ability>L2_HalfPunc</ability>
      <abilityName>全半角检查</abilityName>
      <candidateList>
        <item>～</item>
      </candidateList>
      <explain>文本全半角错误。</explain>
      <paraID>5CE62E83</paraID>
      <start>154</start>
      <end>155</end>
      <status>unmodified</status>
      <modifiedWord/>
      <trackRevisions>false</trackRevisions>
    </reviewItem>
    <reviewItem>
      <errorID>e28fc8f4-5e2e-4604-b62f-aa96f6625ed9</errorID>
      <errorWord>2.95~3.04%</errorWord>
      <group>L1_Knowledge</group>
      <groupName>知识性问题</groupName>
      <ability>L2_Knowledge</ability>
      <abilityName>其他知识</abilityName>
      <candidateList>
        <item>2.95%～3.04%</item>
      </candidateList>
      <explain>1. “2.95~3.04%”中的单位“%”仅出现在后一个数字上，容易引起歧义；根据《现代汉语标点符号数字用法规范手册》，数字表示范围两边需要使用统一的格式。2. 根据标点国标 4.13 中的规则，数字、时间或地域连接符应使用（视觉上更长的）“—”或“～”。</explain>
      <paraID>5CE62E83</paraID>
      <start>172</start>
      <end>182</end>
      <status>unmodified</status>
      <modifiedWord/>
      <trackRevisions>false</trackRevisions>
    </reviewItem>
    <reviewItem>
      <errorID>cab6db69-316c-426c-8aa1-38df3714988d</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5CE62E83</paraID>
      <start>233</start>
      <end>238</end>
      <status>unmodified</status>
      <modifiedWord/>
      <trackRevisions>false</trackRevisions>
    </reviewItem>
    <reviewItem>
      <errorID>9c31cca5-9375-421c-8b3b-ce6adfba3529</errorID>
      <errorWord>（</errorWord>
      <group>L1_Format</group>
      <groupName>格式问题</groupName>
      <ability>L2_HalfPunc</ability>
      <abilityName>全半角检查</abilityName>
      <candidateList>
        <item>(</item>
      </candidateList>
      <explain>文本全半角错误。</explain>
      <paraID>4DD3D336</paraID>
      <start>11</start>
      <end>12</end>
      <status>unmodified</status>
      <modifiedWord/>
      <trackRevisions>false</trackRevisions>
    </reviewItem>
    <reviewItem>
      <errorID>4d0c3eb0-04bf-4e21-ba7e-e254af726932</errorID>
      <errorWord>）</errorWord>
      <group>L1_Format</group>
      <groupName>格式问题</groupName>
      <ability>L2_HalfPunc</ability>
      <abilityName>全半角检查</abilityName>
      <candidateList>
        <item>)</item>
      </candidateList>
      <explain>文本全半角错误。</explain>
      <paraID>4DD3D336</paraID>
      <start>16</start>
      <end>17</end>
      <status>unmodified</status>
      <modifiedWord/>
      <trackRevisions>false</trackRevisions>
    </reviewItem>
    <reviewItem>
      <errorID>cec09498-77d9-4903-ab61-520d56a8f871</errorID>
      <errorWord>横纵</errorWord>
      <group>L1_Word</group>
      <groupName>字词问题</groupName>
      <ability>L2_Typo</ability>
      <abilityName>字词错误</abilityName>
      <candidateList>
        <item>纵横</item>
      </candidateList>
      <explain/>
      <paraID> E9D2584</paraID>
      <start>94</start>
      <end>96</end>
      <status>unmodified</status>
      <modifiedWord/>
      <trackRevisions>false</trackRevisions>
    </reviewItem>
    <reviewItem>
      <errorID>9d305fea-bd9a-4811-a1e0-c4be845a15ae</errorID>
      <errorWord>程</errorWord>
      <group>L1_Word</group>
      <groupName>字词问题</groupName>
      <ability>L2_Typo</ability>
      <abilityName>字词错误</abilityName>
      <candidateList>
        <item>程中</item>
      </candidateList>
      <explain/>
      <paraID>58364376</paraID>
      <start>23</start>
      <end>24</end>
      <status>unmodified</status>
      <modifiedWord/>
      <trackRevisions>false</trackRevisions>
    </reviewItem>
    <reviewItem>
      <errorID>85c643a1-a5ac-4dca-a096-31ed44bc6ccb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450820D7</paraID>
      <start>29</start>
      <end>30</end>
      <status>unmodified</status>
      <modifiedWord/>
      <trackRevisions>false</trackRevisions>
    </reviewItem>
    <reviewItem>
      <errorID>b4e67990-10e3-4c25-bccc-8053f678d223</errorID>
      <errorWord>涉</errorWord>
      <group>L1_Word</group>
      <groupName>字词问题</groupName>
      <ability>L2_Typo</ability>
      <abilityName>字词错误</abilityName>
      <candidateList>
        <item>涉及</item>
      </candidateList>
      <explain>〈动〉牵涉到；关联到：案子～好几个人｜这个问题～面很广。</explain>
      <paraID> F34786A</paraID>
      <start>97</start>
      <end>98</end>
      <status>unmodified</status>
      <modifiedWord/>
      <trackRevisions>false</trackRevisions>
    </reviewItem>
    <reviewItem>
      <errorID>76eb5945-3fd9-4e5d-a9b1-34580b362a47</errorID>
      <errorWord>（</errorWord>
      <group>L1_Punc</group>
      <groupName>标点问题</groupName>
      <ability>L2_Punc</ability>
      <abilityName>标点符号检查</abilityName>
      <candidateList/>
      <explain>同一形式括号套用。</explain>
      <paraID>41406CA3</paraID>
      <start>66</start>
      <end>67</end>
      <status>unmodified</status>
      <modifiedWord/>
      <trackRevisions>false</trackRevisions>
    </reviewItem>
    <reviewItem>
      <errorID>3ad23c4a-66c1-46b8-9f90-07903382ab8b</errorID>
      <errorWord>）</errorWord>
      <group>L1_Punc</group>
      <groupName>标点问题</groupName>
      <ability>L2_Punc</ability>
      <abilityName>标点符号检查</abilityName>
      <candidateList/>
      <explain>同一形式括号套用。</explain>
      <paraID>41406CA3</paraID>
      <start>78</start>
      <end>79</end>
      <status>unmodified</status>
      <modifiedWord/>
      <trackRevisions>false</trackRevisions>
    </reviewItem>
    <reviewItem>
      <errorID>ca845d6f-abee-4753-a9b2-5d8734411b55</errorID>
      <errorWord>～</errorWord>
      <group>L1_Format</group>
      <groupName>格式问题</groupName>
      <ability>L2_HalfPunc</ability>
      <abilityName>全半角检查</abilityName>
      <candidateList>
        <item>~</item>
      </candidateList>
      <explain>文本全半角错误。</explain>
      <paraID>1C8E7B65</paraID>
      <start>1</start>
      <end>2</end>
      <status>unmodified</status>
      <modifiedWord/>
      <trackRevisions>false</trackRevisions>
    </reviewItem>
    <reviewItem>
      <errorID>9733e0dd-e660-4aac-817f-6707b2740969</errorID>
      <errorWord>《</errorWord>
      <group>L1_Word</group>
      <groupName>字词问题</groupName>
      <ability>L2_Typo</ability>
      <abilityName>字词错误</abilityName>
      <candidateList>
        <item>《中</item>
      </candidateList>
      <explain/>
      <paraID>3EB257DF</paraID>
      <start>5</start>
      <end>7</end>
      <status>modified</status>
      <modifiedWord>《中</modifiedWord>
      <trackRevisions>false</trackRevisions>
    </reviewItem>
    <reviewItem>
      <errorID>5ecb7729-1ee0-4124-b943-c4a8de061a56</errorID>
      <errorWord>华人民共和国固体废物污染环境防治法</errorWord>
      <group>L1_Knowledge</group>
      <groupName>知识性问题</groupName>
      <ability>L2_Knowledge</ability>
      <abilityName>其他知识</abilityName>
      <candidateList>
        <item>中华人民共和国固体废物污染环境防治法</item>
      </candidateList>
      <explain>当前法律法规未收录或尚未生效，注意核查是否正确。</explain>
      <paraID>3EB257DF</paraID>
      <start>7</start>
      <end>24</end>
      <status>unmodified</status>
      <modifiedWord/>
      <trackRevisions>false</trackRevisions>
    </reviewItem>
    <reviewItem>
      <errorID>154dce3f-f593-416e-b30a-f2609e30ebef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1CEB9BA</paraID>
      <start>2</start>
      <end>3</end>
      <status>unmodified</status>
      <modifiedWord/>
      <trackRevisions>false</trackRevisions>
    </reviewItem>
    <reviewItem>
      <errorID>325fe093-66e4-41ee-bc82-a3b96aa72172</errorID>
      <errorWord>-</errorWord>
      <group>L1_Format</group>
      <groupName>格式问题</groupName>
      <ability>L2_HalfPunc</ability>
      <abilityName>全半角检查</abilityName>
      <candidateList>
        <item>－</item>
      </candidateList>
      <explain>文本全半角错误。</explain>
      <paraID>40799A15</paraID>
      <start>122</start>
      <end>123</end>
      <status>unmodified</status>
      <modifiedWord/>
      <trackRevisions>false</trackRevisions>
    </reviewItem>
    <reviewItem>
      <errorID>6e814fd2-3e5f-4a96-bb75-f9280bf5da61</errorID>
      <errorWord>-</errorWord>
      <group>L1_Format</group>
      <groupName>格式问题</groupName>
      <ability>L2_HalfPunc</ability>
      <abilityName>全半角检查</abilityName>
      <candidateList>
        <item>－</item>
      </candidateList>
      <explain>文本全半角错误。</explain>
      <paraID>40799A15</paraID>
      <start>138</start>
      <end>139</end>
      <status>unmodified</status>
      <modifiedWord/>
      <trackRevisions>false</trackRevisions>
    </reviewItem>
    <reviewItem>
      <errorID>ba724971-c16c-48d5-ade1-ec9f80968aa7</errorID>
      <errorWord>激光切割年</errorWord>
      <group>L1_Knowledge</group>
      <groupName>知识性问题</groupName>
      <ability>L2_Term</ability>
      <abilityName>专业术语</abilityName>
      <candidateList>
        <item>激光切割机</item>
      </candidateList>
      <explain/>
      <paraID>40799A15</paraID>
      <start>229</start>
      <end>234</end>
      <status>unmodified</status>
      <modifiedWord/>
      <trackRevisions>false</trackRevisions>
    </reviewItem>
    <reviewItem>
      <errorID>d86e3426-1ddb-4517-a974-11e8dd87fc93</errorID>
      <errorWord>-</errorWord>
      <group>L1_Format</group>
      <groupName>格式问题</groupName>
      <ability>L2_HalfPunc</ability>
      <abilityName>全半角检查</abilityName>
      <candidateList>
        <item>－</item>
      </candidateList>
      <explain>文本全半角错误。</explain>
      <paraID>5CE6984B</paraID>
      <start>118</start>
      <end>119</end>
      <status>unmodified</status>
      <modifiedWord/>
      <trackRevisions>false</trackRevisions>
    </reviewItem>
    <reviewItem>
      <errorID>b17f29f1-4ac4-4391-a5c9-63576ad55cbd</errorID>
      <errorWord>-</errorWord>
      <group>L1_Format</group>
      <groupName>格式问题</groupName>
      <ability>L2_HalfPunc</ability>
      <abilityName>全半角检查</abilityName>
      <candidateList>
        <item>－</item>
      </candidateList>
      <explain>文本全半角错误。</explain>
      <paraID>5CE6984B</paraID>
      <start>134</start>
      <end>135</end>
      <status>unmodified</status>
      <modifiedWord/>
      <trackRevisions>false</trackRevisions>
    </reviewItem>
    <reviewItem>
      <errorID>24f829a9-a1f5-43e7-90fc-c921328fb96b</errorID>
      <errorWord>-</errorWord>
      <group>L1_Format</group>
      <groupName>格式问题</groupName>
      <ability>L2_HalfPunc</ability>
      <abilityName>全半角检查</abilityName>
      <candidateList>
        <item>－</item>
      </candidateList>
      <explain>文本全半角错误。</explain>
      <paraID>408DA6CC</paraID>
      <start>88</start>
      <end>89</end>
      <status>unmodified</status>
      <modifiedWord/>
      <trackRevisions>false</trackRevisions>
    </reviewItem>
    <reviewItem>
      <errorID>d2e59e2f-a684-43e0-b259-f93a715361fd</errorID>
      <errorWord>-</errorWord>
      <group>L1_Format</group>
      <groupName>格式问题</groupName>
      <ability>L2_HalfPunc</ability>
      <abilityName>全半角检查</abilityName>
      <candidateList>
        <item>－</item>
      </candidateList>
      <explain>文本全半角错误。</explain>
      <paraID>5DE437EC</paraID>
      <start>94</start>
      <end>95</end>
      <status>unmodified</status>
      <modifiedWord/>
      <trackRevisions>false</trackRevisions>
    </reviewItem>
    <reviewItem>
      <errorID>891aa55a-d59d-4870-8951-1b052c0dd0a8</errorID>
      <errorWord>粘附</errorWord>
      <group>L1_Word</group>
      <groupName>字词问题</groupName>
      <ability>L2_Alias</ability>
      <abilityName>也作/曾用词</abilityName>
      <candidateList>
        <item>黏附</item>
      </candidateList>
      <explain>词汇[粘附]为不规范表述或旧称，其规范书面表述为[黏附]。</explain>
      <paraID>33DBC306</paraID>
      <start>178</start>
      <end>180</end>
      <status>unmodified</status>
      <modifiedWord/>
      <trackRevisions>false</trackRevisions>
    </reviewItem>
    <reviewItem>
      <errorID>8060f646-788b-4fb7-b7ae-9ff1ad84d4db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33DBC306</paraID>
      <start>279</start>
      <end>280</end>
      <status>unmodified</status>
      <modifiedWord/>
      <trackRevisions>false</trackRevisions>
    </reviewItem>
    <reviewItem>
      <errorID>25543664-d314-4cec-8253-dff93eb42f87</errorID>
      <errorWord>应</errorWord>
      <group>L1_Word</group>
      <groupName>字词问题</groupName>
      <ability>L2_Typo</ability>
      <abilityName>字词错误</abilityName>
      <candidateList>
        <item>以</item>
      </candidateList>
      <explain>存在字形相近字词的误用。</explain>
      <paraID>1D7052AE</paraID>
      <start>227</start>
      <end>228</end>
      <status>modified</status>
      <modifiedWord>以</modifiedWord>
      <trackRevisions>false</trackRevisions>
    </reviewItem>
    <reviewItem>
      <errorID>32baa3db-7b23-4216-9d7d-2fd7aa0bad88</errorID>
      <errorWord>：</errorWord>
      <group>L1_Format</group>
      <groupName>格式问题</groupName>
      <ability>L2_HalfPunc</ability>
      <abilityName>全半角检查</abilityName>
      <candidateList>
        <item>:</item>
      </candidateList>
      <explain>文本全半角错误。</explain>
      <paraID>696641A8</paraID>
      <start>261</start>
      <end>262</end>
      <status>unmodified</status>
      <modifiedWord/>
      <trackRevisions>false</trackRevisions>
    </reviewItem>
    <reviewItem>
      <errorID>70e619fc-6dac-4cec-b96d-2312c6b1b446</errorID>
      <errorWord>（</errorWord>
      <group>L1_Punc</group>
      <groupName>标点问题</groupName>
      <ability>L2_Punc</ability>
      <abilityName>标点符号检查</abilityName>
      <candidateList/>
      <explain>同一形式括号套用。</explain>
      <paraID> B95A6A4</paraID>
      <start>66</start>
      <end>67</end>
      <status>unmodified</status>
      <modifiedWord/>
      <trackRevisions>false</trackRevisions>
    </reviewItem>
    <reviewItem>
      <errorID>26963326-6f69-4796-8431-f59172ed9269</errorID>
      <errorWord>）</errorWord>
      <group>L1_Punc</group>
      <groupName>标点问题</groupName>
      <ability>L2_Punc</ability>
      <abilityName>标点符号检查</abilityName>
      <candidateList/>
      <explain>同一形式括号套用。</explain>
      <paraID> B95A6A4</paraID>
      <start>78</start>
      <end>79</end>
      <status>unmodified</status>
      <modifiedWord/>
      <trackRevisions>false</trackRevisions>
    </reviewItem>
    <reviewItem>
      <errorID>3174fbe3-9852-440d-a05d-3c02825ffb7c</errorID>
      <errorWord>-</errorWord>
      <group>L1_Format</group>
      <groupName>格式问题</groupName>
      <ability>L2_HalfPunc</ability>
      <abilityName>全半角检查</abilityName>
      <candidateList>
        <item>－</item>
      </candidateList>
      <explain>文本全半角错误。</explain>
      <paraID>2965FF71</paraID>
      <start>12</start>
      <end>13</end>
      <status>unmodified</status>
      <modifiedWord/>
      <trackRevisions>false</trackRevisions>
    </reviewItem>
    <reviewItem>
      <errorID>59d6b614-9da6-4f9a-8511-e37f39864b7f</errorID>
      <errorWord>（</errorWord>
      <group>L1_Punc</group>
      <groupName>标点问题</groupName>
      <ability>L2_Punc</ability>
      <abilityName>标点符号检查</abilityName>
      <candidateList/>
      <explain>同一形式括号套用。</explain>
      <paraID>6F9FD814</paraID>
      <start>12</start>
      <end>13</end>
      <status>unmodified</status>
      <modifiedWord/>
      <trackRevisions>false</trackRevisions>
    </reviewItem>
    <reviewItem>
      <errorID>4f44671c-7138-4ea0-a652-ffe3a46c1980</errorID>
      <errorWord>）</errorWord>
      <group>L1_Punc</group>
      <groupName>标点问题</groupName>
      <ability>L2_Punc</ability>
      <abilityName>标点符号检查</abilityName>
      <candidateList/>
      <explain>同一形式括号套用。</explain>
      <paraID>6F9FD814</paraID>
      <start>14</start>
      <end>15</end>
      <status>unmodified</status>
      <modifiedWord/>
      <trackRevisions>false</trackRevisions>
    </reviewItem>
    <reviewItem>
      <errorID>94c71d8e-1d10-4086-973b-57ccb3567d0c</errorID>
      <errorWord>（</errorWord>
      <group>L1_Format</group>
      <groupName>格式问题</groupName>
      <ability>L2_HalfPunc</ability>
      <abilityName>全半角检查</abilityName>
      <candidateList>
        <item>(</item>
      </candidateList>
      <explain>文本全半角错误。</explain>
      <paraID>6F62EFFE</paraID>
      <start>4</start>
      <end>5</end>
      <status>unmodified</status>
      <modifiedWord/>
      <trackRevisions>false</trackRevisions>
    </reviewItem>
    <reviewItem>
      <errorID>215fb336-8c5e-463f-b8df-5bc238f7f453</errorID>
      <errorWord>）</errorWord>
      <group>L1_Format</group>
      <groupName>格式问题</groupName>
      <ability>L2_HalfPunc</ability>
      <abilityName>全半角检查</abilityName>
      <candidateList>
        <item>)</item>
      </candidateList>
      <explain>文本全半角错误。</explain>
      <paraID>6F62EFFE</paraID>
      <start>10</start>
      <end>11</end>
      <status>unmodified</status>
      <modifiedWord/>
      <trackRevisions>false</trackRevisions>
    </reviewItem>
    <reviewItem>
      <errorID>b0e46429-935f-49d6-9011-2434241a9600</errorID>
      <errorWord>（</errorWord>
      <group>L1_Format</group>
      <groupName>格式问题</groupName>
      <ability>L2_HalfPunc</ability>
      <abilityName>全半角检查</abilityName>
      <candidateList>
        <item>(</item>
      </candidateList>
      <explain>文本全半角错误。</explain>
      <paraID>1042FF53</paraID>
      <start>4</start>
      <end>5</end>
      <status>unmodified</status>
      <modifiedWord/>
      <trackRevisions>false</trackRevisions>
    </reviewItem>
    <reviewItem>
      <errorID>fc89dd37-ae0a-40af-9b6a-eca02ce13a70</errorID>
      <errorWord>）</errorWord>
      <group>L1_Format</group>
      <groupName>格式问题</groupName>
      <ability>L2_HalfPunc</ability>
      <abilityName>全半角检查</abilityName>
      <candidateList>
        <item>)</item>
      </candidateList>
      <explain>文本全半角错误。</explain>
      <paraID>1042FF53</paraID>
      <start>10</start>
      <end>11</end>
      <status>unmodified</status>
      <modifiedWord/>
      <trackRevisions>false</trackRevisions>
    </reviewItem>
    <reviewItem>
      <errorID>cd653976-8b1e-412e-a93a-8ab6294b3496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70B0C645</paraID>
      <start>0</start>
      <end>2</end>
      <status>unmodified</status>
      <modifiedWord/>
      <trackRevisions>false</trackRevisions>
    </reviewItem>
    <reviewItem>
      <errorID>0aaae967-5d28-40e2-ab73-6168fd14a11c</errorID>
      <errorWord>维护结构</errorWord>
      <group>L1_Word</group>
      <groupName>字词问题</groupName>
      <ability>L2_Typo</ability>
      <abilityName>字词错误</abilityName>
      <candidateList>
        <item>围护结构</item>
      </candidateList>
      <explain>存在发音相同字词的误用。</explain>
      <paraID>3F18622D</paraID>
      <start>10</start>
      <end>14</end>
      <status>unmodified</status>
      <modifiedWord/>
      <trackRevisions>false</trackRevisions>
    </reviewItem>
    <reviewItem>
      <errorID>61ee524e-63bd-4f30-a841-acea61ae01d8</errorID>
      <errorWord>维护结构</errorWord>
      <group>L1_Word</group>
      <groupName>字词问题</groupName>
      <ability>L2_Typo</ability>
      <abilityName>字词错误</abilityName>
      <candidateList>
        <item>围护结构</item>
      </candidateList>
      <explain>存在发音相同字词的误用。</explain>
      <paraID>71A7D9E9</paraID>
      <start>10</start>
      <end>14</end>
      <status>unmodified</status>
      <modifiedWord/>
      <trackRevisions>false</trackRevisions>
    </reviewItem>
    <reviewItem>
      <errorID>243da4ad-521d-4fea-8c0e-87b7fb618e9f</errorID>
      <errorWord>)</errorWord>
      <group>L1_Format</group>
      <groupName>格式问题</groupName>
      <ability>L2_HalfPunc</ability>
      <abilityName>全半角检查</abilityName>
      <candidateList>
        <item>）</item>
      </candidateList>
      <explain>文本全半角错误。</explain>
      <paraID>60AB6131</paraID>
      <start>11</start>
      <end>12</end>
      <status>unmodified</status>
      <modifiedWord/>
      <trackRevisions>false</trackRevisions>
    </reviewItem>
    <reviewItem>
      <errorID>a673e723-b27c-469e-b5d4-3e7b98af0396</errorID>
      <errorWord>吸音</errorWord>
      <group>L1_Word</group>
      <groupName>字词问题</groupName>
      <ability>L2_Typo</ability>
      <abilityName>字词错误</abilityName>
      <candidateList>
        <item>吸声</item>
      </candidateList>
      <explain/>
      <paraID>3ACAFEEC</paraID>
      <start>48</start>
      <end>50</end>
      <status>unmodified</status>
      <modifiedWord/>
      <trackRevisions>false</trackRevisions>
    </reviewItem>
    <reviewItem>
      <errorID>a0d84d69-3425-40d3-8fdb-cf2879503115</errorID>
      <errorWord>~</errorWord>
      <group>L1_Format</group>
      <groupName>格式问题</groupName>
      <ability>L2_HalfPunc</ability>
      <abilityName>全半角检查</abilityName>
      <candidateList>
        <item>～</item>
      </candidateList>
      <explain>文本全半角错误。</explain>
      <paraID>1E8B580F</paraID>
      <start>10</start>
      <end>11</end>
      <status>unmodified</status>
      <modifiedWord/>
      <trackRevisions>false</trackRevisions>
    </reviewItem>
    <reviewItem>
      <errorID>3f18be71-ac7e-418b-a540-ef6bde34cd4e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42090EAA</paraID>
      <start>126</start>
      <end>127</end>
      <status>unmodified</status>
      <modifiedWord/>
      <trackRevisions>false</trackRevisions>
    </reviewItem>
    <reviewItem>
      <errorID>604ce12c-4df1-40ab-b5f5-79b62ef8fe9a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42090EAA</paraID>
      <start>164</start>
      <end>165</end>
      <status>unmodified</status>
      <modifiedWord/>
      <trackRevisions>false</trackRevisions>
    </reviewItem>
    <reviewItem>
      <errorID>78a24b07-ef0a-4583-8e2c-e3ef224176cc</errorID>
      <errorWord>，…,</errorWord>
      <group>L1_Punc</group>
      <groupName>标点问题</groupName>
      <ability>L2_Punc</ability>
      <abilityName>标点符号检查</abilityName>
      <candidateList>
        <item>，</item>
      </candidateList>
      <explain/>
      <paraID> 420A774</paraID>
      <start>8</start>
      <end>11</end>
      <status>unmodified</status>
      <modifiedWord/>
      <trackRevisions>false</trackRevisions>
    </reviewItem>
    <reviewItem>
      <errorID>e44aee55-3df8-4428-be40-9822c95b083b</errorID>
      <errorWord>,…,</errorWord>
      <group>L1_Punc</group>
      <groupName>标点问题</groupName>
      <ability>L2_Punc</ability>
      <abilityName>标点符号检查</abilityName>
      <candidateList>
        <item>,</item>
      </candidateList>
      <explain/>
      <paraID>5A8B2267</paraID>
      <start>5</start>
      <end>8</end>
      <status>unmodified</status>
      <modifiedWord/>
      <trackRevisions>false</trackRevisions>
    </reviewItem>
    <reviewItem>
      <errorID>7719cdc3-f9b7-4b4d-a830-1ddabf8828d2</errorID>
      <errorWord>涉及到</errorWord>
      <group>L1_Grammar</group>
      <groupName>语法问题</groupName>
      <ability>L2_Grammar</ability>
      <abilityName>语法错误</abilityName>
      <candidateList>
        <item>涉及</item>
      </candidateList>
      <explain>〈动〉牵涉到；关联到：案子～好几个人｜这个问题～面很广。</explain>
      <paraID> B9008BA</paraID>
      <start>8</start>
      <end>11</end>
      <status>unmodified</status>
      <modifiedWord/>
      <trackRevisions>false</trackRevisions>
    </reviewItem>
    <reviewItem>
      <errorID>5032dadd-7361-4ff8-988d-f95214f85ebd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24FEC905</paraID>
      <start>221</start>
      <end>224</end>
      <status>unmodified</status>
      <modifiedWord/>
      <trackRevisions>false</trackRevisions>
    </reviewItem>
    <reviewItem>
      <errorID>fe3eed56-86f3-4560-bf4e-77cccb9965fc</errorID>
      <errorWord>次</errorWord>
      <group>L1_Word</group>
      <groupName>字词问题</groupName>
      <ability>L2_Typo</ability>
      <abilityName>字词错误</abilityName>
      <candidateList>
        <item>次对</item>
      </candidateList>
      <explain/>
      <paraID>3154513B</paraID>
      <start>68</start>
      <end>69</end>
      <status>unmodified</status>
      <modifiedWord/>
      <trackRevisions>false</trackRevisions>
    </reviewItem>
    <reviewItem>
      <errorID>078729ae-e3e4-4269-9f73-d24d57e81a9d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4A5E16E0</paraID>
      <start>96</start>
      <end>99</end>
      <status>unmodified</status>
      <modifiedWord/>
      <trackRevisions>false</trackRevisions>
    </reviewItem>
    <reviewItem>
      <errorID>a80f7988-6fa7-4e2c-8ec8-0621cfd4eb86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4BF80DCA</paraID>
      <start>81</start>
      <end>82</end>
      <status>unmodified</status>
      <modifiedWord/>
      <trackRevisions>false</trackRevisions>
    </reviewItem>
    <reviewItem>
      <errorID>1a239f84-dea1-4d78-af0b-519f638ffdc1</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4BF80DCA</paraID>
      <start>198</start>
      <end>200</end>
      <status>modified</status>
      <modifiedWord>接受</modifiedWord>
      <trackRevisions>false</trackRevisions>
    </reviewItem>
    <reviewItem>
      <errorID>b2666023-d069-4aca-a5f9-0b51febe9dae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5F60E1D8</paraID>
      <start>41</start>
      <end>42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df0700-9ade-4140-84f0-f8f98f4a64e4}">
  <ds:schemaRefs/>
</ds:datastoreItem>
</file>

<file path=docProps/app.xml><?xml version="1.0" encoding="utf-8"?>
<Properties xmlns="http://schemas.openxmlformats.org/officeDocument/2006/extended-properties" xmlns:vt="http://schemas.openxmlformats.org/officeDocument/2006/docPropsVTypes">
  <Template>wdzx97</Template>
  <Company>微软中国</Company>
  <Pages>109</Pages>
  <Words>6626</Words>
  <Characters>7476</Characters>
  <Lines>1</Lines>
  <Paragraphs>1</Paragraphs>
  <TotalTime>182</TotalTime>
  <ScaleCrop>false</ScaleCrop>
  <LinksUpToDate>false</LinksUpToDate>
  <CharactersWithSpaces>7532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2020-12-24T01:29:00Z</dcterms:created>
  <dc:creator>lhj</dc:creator>
  <cp:lastModifiedBy>Exit</cp:lastModifiedBy>
  <cp:lastPrinted>2022-08-18T08:36:00Z</cp:lastPrinted>
  <dcterms:modified xsi:type="dcterms:W3CDTF">2026-03-02T06:42:38Z</dcterms:modified>
  <dc:title>附件2</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FE8BEB5812674A98BA78C7C6420F12E3_13</vt:lpwstr>
  </property>
  <property fmtid="{D5CDD505-2E9C-101B-9397-08002B2CF9AE}" pid="4" name="KSOTemplateDocerSaveRecord">
    <vt:lpwstr>eyJoZGlkIjoiYjBhYzAxMDcxOTUyZGIzOTdmZWRjMzg0NGRhYTkzOGQiLCJ1c2VySWQiOiIzMTgwOTYxNjEifQ==</vt:lpwstr>
  </property>
</Properties>
</file>