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0B3435">
      <w:pPr>
        <w:pStyle w:val="16"/>
        <w:spacing w:before="0" w:beforeLines="0" w:after="0" w:afterLines="0" w:line="360" w:lineRule="auto"/>
        <w:rPr>
          <w:rFonts w:hint="eastAsia" w:ascii="方正小标宋_GBK" w:hAnsi="方正小标宋_GBK" w:eastAsia="方正小标宋_GBK" w:cs="方正小标宋_GBK"/>
          <w:color w:val="auto"/>
          <w:sz w:val="72"/>
          <w:szCs w:val="72"/>
          <w:highlight w:val="none"/>
        </w:rPr>
      </w:pPr>
      <w:bookmarkStart w:id="4" w:name="_GoBack"/>
    </w:p>
    <w:p w14:paraId="12DEC580">
      <w:pPr>
        <w:pStyle w:val="16"/>
        <w:spacing w:before="0" w:beforeLines="0" w:after="0" w:afterLines="0" w:line="360" w:lineRule="auto"/>
        <w:rPr>
          <w:rFonts w:hint="eastAsia" w:ascii="方正小标宋_GBK" w:hAnsi="方正小标宋_GBK" w:eastAsia="方正小标宋_GBK" w:cs="方正小标宋_GBK"/>
          <w:color w:val="auto"/>
          <w:sz w:val="72"/>
          <w:szCs w:val="72"/>
          <w:highlight w:val="none"/>
        </w:rPr>
      </w:pPr>
      <w:r>
        <w:rPr>
          <w:rFonts w:hint="eastAsia" w:ascii="方正小标宋_GBK" w:hAnsi="方正小标宋_GBK" w:eastAsia="方正小标宋_GBK" w:cs="方正小标宋_GBK"/>
          <w:color w:val="auto"/>
          <w:sz w:val="72"/>
          <w:szCs w:val="72"/>
          <w:highlight w:val="none"/>
        </w:rPr>
        <w:t>建设项目环境影响报告表</w:t>
      </w:r>
    </w:p>
    <w:p w14:paraId="074B76BA">
      <w:pPr>
        <w:pStyle w:val="16"/>
        <w:spacing w:before="0" w:beforeLines="0" w:after="0" w:afterLines="0" w:line="360" w:lineRule="auto"/>
        <w:rPr>
          <w:color w:val="auto"/>
          <w:highlight w:val="none"/>
        </w:rPr>
      </w:pPr>
    </w:p>
    <w:p w14:paraId="75166C06">
      <w:pPr>
        <w:pStyle w:val="16"/>
        <w:spacing w:before="0" w:beforeLines="0" w:after="0" w:afterLines="0" w:line="360" w:lineRule="auto"/>
        <w:rPr>
          <w:rFonts w:ascii="楷体_GB2312" w:eastAsia="楷体_GB2312" w:cs="Times New Roman"/>
          <w:color w:val="auto"/>
          <w:sz w:val="48"/>
          <w:szCs w:val="48"/>
          <w:highlight w:val="none"/>
        </w:rPr>
      </w:pPr>
      <w:r>
        <w:rPr>
          <w:rFonts w:hint="eastAsia" w:ascii="楷体_GB2312" w:eastAsia="楷体_GB2312" w:cs="Times New Roman"/>
          <w:color w:val="auto"/>
          <w:sz w:val="48"/>
          <w:szCs w:val="48"/>
          <w:highlight w:val="none"/>
        </w:rPr>
        <w:t>（污染影响类）</w:t>
      </w:r>
    </w:p>
    <w:p w14:paraId="783B13B1">
      <w:pPr>
        <w:pStyle w:val="16"/>
        <w:spacing w:before="0" w:beforeLines="0" w:after="0" w:afterLines="0" w:line="360" w:lineRule="auto"/>
        <w:rPr>
          <w:color w:val="auto"/>
          <w:highlight w:val="none"/>
        </w:rPr>
      </w:pPr>
    </w:p>
    <w:p w14:paraId="0D6F74B3">
      <w:pPr>
        <w:pStyle w:val="16"/>
        <w:spacing w:before="0" w:beforeLines="0" w:after="0" w:afterLines="0" w:line="360" w:lineRule="auto"/>
        <w:rPr>
          <w:color w:val="auto"/>
          <w:highlight w:val="none"/>
        </w:rPr>
      </w:pPr>
    </w:p>
    <w:p w14:paraId="07DCB333">
      <w:pPr>
        <w:pStyle w:val="16"/>
        <w:spacing w:before="0" w:beforeLines="0" w:after="0" w:afterLines="0" w:line="360" w:lineRule="auto"/>
        <w:rPr>
          <w:color w:val="auto"/>
          <w:highlight w:val="none"/>
        </w:rPr>
      </w:pPr>
    </w:p>
    <w:p w14:paraId="38D35989">
      <w:pPr>
        <w:pStyle w:val="16"/>
        <w:spacing w:before="0" w:beforeLines="0" w:after="0" w:afterLines="0" w:line="360" w:lineRule="auto"/>
        <w:rPr>
          <w:color w:val="auto"/>
          <w:highlight w:val="none"/>
        </w:rPr>
      </w:pPr>
    </w:p>
    <w:p w14:paraId="1F1EA47A">
      <w:pPr>
        <w:pStyle w:val="16"/>
        <w:spacing w:before="0" w:beforeLines="0" w:after="0" w:afterLines="0" w:line="360" w:lineRule="auto"/>
        <w:rPr>
          <w:color w:val="auto"/>
          <w:highlight w:val="none"/>
        </w:rPr>
      </w:pPr>
    </w:p>
    <w:p w14:paraId="7598AFA3">
      <w:pPr>
        <w:ind w:left="2160" w:leftChars="150" w:hanging="1800" w:hangingChars="500"/>
        <w:rPr>
          <w:rFonts w:eastAsia="仿宋_GB2312" w:cs="Times New Roman"/>
          <w:color w:val="auto"/>
          <w:sz w:val="36"/>
          <w:szCs w:val="36"/>
          <w:highlight w:val="none"/>
        </w:rPr>
      </w:pPr>
      <w:r>
        <w:rPr>
          <w:rFonts w:hint="eastAsia" w:eastAsia="仿宋_GB2312" w:cs="Times New Roman"/>
          <w:color w:val="auto"/>
          <w:sz w:val="36"/>
          <w:szCs w:val="36"/>
          <w:highlight w:val="none"/>
        </w:rPr>
        <w:t>项目名称：</w:t>
      </w:r>
      <w:r>
        <w:rPr>
          <w:rFonts w:hint="eastAsia" w:eastAsia="仿宋_GB2312" w:cs="Times New Roman"/>
          <w:color w:val="auto"/>
          <w:sz w:val="36"/>
          <w:szCs w:val="36"/>
          <w:highlight w:val="none"/>
          <w:u w:val="single"/>
        </w:rPr>
        <w:t xml:space="preserve">     年产1.5万吨精制复合饲料加工项目     </w:t>
      </w:r>
    </w:p>
    <w:p w14:paraId="7D96FFD0">
      <w:pPr>
        <w:ind w:firstLine="360" w:firstLineChars="100"/>
        <w:rPr>
          <w:rFonts w:eastAsia="仿宋_GB2312" w:cs="Times New Roman"/>
          <w:color w:val="auto"/>
          <w:sz w:val="36"/>
          <w:szCs w:val="36"/>
          <w:highlight w:val="none"/>
          <w:u w:val="single"/>
        </w:rPr>
      </w:pPr>
      <w:r>
        <w:rPr>
          <w:rFonts w:hint="eastAsia" w:eastAsia="仿宋_GB2312" w:cs="Times New Roman"/>
          <w:color w:val="auto"/>
          <w:sz w:val="36"/>
          <w:szCs w:val="36"/>
          <w:highlight w:val="none"/>
        </w:rPr>
        <w:t>建设单位（盖章）：</w:t>
      </w:r>
      <w:r>
        <w:rPr>
          <w:rFonts w:hint="eastAsia" w:eastAsia="仿宋_GB2312" w:cs="Times New Roman"/>
          <w:color w:val="auto"/>
          <w:sz w:val="36"/>
          <w:szCs w:val="36"/>
          <w:highlight w:val="none"/>
          <w:u w:val="single"/>
        </w:rPr>
        <w:t xml:space="preserve">   池州市丹青农业发展有限公司   </w:t>
      </w:r>
    </w:p>
    <w:p w14:paraId="24E0DBA8">
      <w:pPr>
        <w:ind w:firstLine="360" w:firstLineChars="100"/>
        <w:rPr>
          <w:rFonts w:eastAsia="仿宋_GB2312" w:cs="Times New Roman"/>
          <w:color w:val="auto"/>
          <w:sz w:val="36"/>
          <w:szCs w:val="36"/>
          <w:highlight w:val="none"/>
        </w:rPr>
      </w:pPr>
      <w:r>
        <w:rPr>
          <w:rFonts w:hint="eastAsia" w:eastAsia="仿宋_GB2312" w:cs="Times New Roman"/>
          <w:color w:val="auto"/>
          <w:sz w:val="36"/>
          <w:szCs w:val="36"/>
          <w:highlight w:val="none"/>
        </w:rPr>
        <w:t>编制日期：</w:t>
      </w:r>
      <w:r>
        <w:rPr>
          <w:rFonts w:hint="eastAsia" w:eastAsia="仿宋_GB2312" w:cs="Times New Roman"/>
          <w:color w:val="auto"/>
          <w:sz w:val="36"/>
          <w:szCs w:val="36"/>
          <w:highlight w:val="none"/>
          <w:u w:val="single"/>
        </w:rPr>
        <w:t xml:space="preserve">                2026年2月             </w:t>
      </w:r>
    </w:p>
    <w:p w14:paraId="615770B4">
      <w:pPr>
        <w:ind w:firstLine="0" w:firstLineChars="0"/>
        <w:rPr>
          <w:rFonts w:ascii="仿宋_GB2312" w:eastAsia="仿宋_GB2312" w:cs="Times New Roman"/>
          <w:color w:val="auto"/>
          <w:sz w:val="36"/>
          <w:szCs w:val="36"/>
          <w:highlight w:val="none"/>
        </w:rPr>
      </w:pPr>
    </w:p>
    <w:p w14:paraId="728B9DD4">
      <w:pPr>
        <w:ind w:firstLine="0" w:firstLineChars="0"/>
        <w:rPr>
          <w:rFonts w:ascii="仿宋_GB2312" w:eastAsia="仿宋_GB2312" w:cs="Times New Roman"/>
          <w:color w:val="auto"/>
          <w:sz w:val="36"/>
          <w:szCs w:val="36"/>
          <w:highlight w:val="none"/>
        </w:rPr>
      </w:pPr>
    </w:p>
    <w:p w14:paraId="7132B231">
      <w:pPr>
        <w:pStyle w:val="16"/>
        <w:spacing w:before="0" w:beforeLines="0" w:after="0" w:afterLines="0" w:line="360" w:lineRule="auto"/>
        <w:rPr>
          <w:rFonts w:ascii="楷体_GB2312" w:eastAsia="楷体_GB2312" w:cs="Times New Roman"/>
          <w:color w:val="auto"/>
          <w:sz w:val="36"/>
          <w:szCs w:val="36"/>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134" w:right="1247" w:bottom="1247" w:left="1134" w:header="851" w:footer="850" w:gutter="0"/>
          <w:cols w:space="425" w:num="1"/>
          <w:docGrid w:type="lines" w:linePitch="312" w:charSpace="0"/>
        </w:sectPr>
      </w:pPr>
      <w:r>
        <w:rPr>
          <w:rFonts w:hint="eastAsia" w:ascii="楷体_GB2312" w:eastAsia="楷体_GB2312" w:cs="Times New Roman"/>
          <w:color w:val="auto"/>
          <w:sz w:val="36"/>
          <w:szCs w:val="36"/>
          <w:highlight w:val="none"/>
        </w:rPr>
        <w:t>中华人民共和国生态环境部制</w:t>
      </w:r>
    </w:p>
    <w:p w14:paraId="40EAFC75">
      <w:pPr>
        <w:pStyle w:val="17"/>
        <w:rPr>
          <w:color w:val="auto"/>
          <w:highlight w:val="none"/>
        </w:rPr>
      </w:pPr>
      <w:r>
        <w:rPr>
          <w:color w:val="auto"/>
          <w:highlight w:val="none"/>
        </w:rPr>
        <w:t>一、建设项目基本情况</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8"/>
        <w:gridCol w:w="3844"/>
        <w:gridCol w:w="1245"/>
        <w:gridCol w:w="3394"/>
      </w:tblGrid>
      <w:tr w14:paraId="615F4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5" w:type="pct"/>
            <w:vAlign w:val="center"/>
          </w:tcPr>
          <w:p w14:paraId="11E3FBAF">
            <w:pPr>
              <w:pStyle w:val="13"/>
              <w:rPr>
                <w:b/>
                <w:bCs/>
                <w:color w:val="auto"/>
                <w:sz w:val="24"/>
                <w:szCs w:val="24"/>
                <w:highlight w:val="none"/>
              </w:rPr>
            </w:pPr>
            <w:r>
              <w:rPr>
                <w:rFonts w:hint="eastAsia"/>
                <w:b/>
                <w:bCs/>
                <w:color w:val="auto"/>
                <w:sz w:val="24"/>
                <w:szCs w:val="24"/>
                <w:highlight w:val="none"/>
              </w:rPr>
              <w:t>建设项目名称</w:t>
            </w:r>
          </w:p>
        </w:tc>
        <w:tc>
          <w:tcPr>
            <w:tcW w:w="4354" w:type="pct"/>
            <w:gridSpan w:val="3"/>
            <w:vAlign w:val="center"/>
          </w:tcPr>
          <w:p w14:paraId="723B209E">
            <w:pPr>
              <w:pStyle w:val="13"/>
              <w:rPr>
                <w:color w:val="auto"/>
                <w:sz w:val="24"/>
                <w:szCs w:val="24"/>
                <w:highlight w:val="none"/>
              </w:rPr>
            </w:pPr>
            <w:r>
              <w:rPr>
                <w:rFonts w:hint="eastAsia"/>
                <w:color w:val="auto"/>
                <w:sz w:val="24"/>
                <w:szCs w:val="24"/>
                <w:highlight w:val="none"/>
              </w:rPr>
              <w:t>年产1.5万吨精制复合饲料加工项目</w:t>
            </w:r>
          </w:p>
        </w:tc>
      </w:tr>
      <w:tr w14:paraId="6D992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5" w:type="pct"/>
            <w:vAlign w:val="center"/>
          </w:tcPr>
          <w:p w14:paraId="1F6D677D">
            <w:pPr>
              <w:pStyle w:val="13"/>
              <w:rPr>
                <w:b/>
                <w:bCs/>
                <w:color w:val="auto"/>
                <w:sz w:val="24"/>
                <w:szCs w:val="24"/>
                <w:highlight w:val="none"/>
              </w:rPr>
            </w:pPr>
            <w:r>
              <w:rPr>
                <w:rFonts w:hint="eastAsia"/>
                <w:b/>
                <w:bCs/>
                <w:color w:val="auto"/>
                <w:sz w:val="24"/>
                <w:szCs w:val="24"/>
                <w:highlight w:val="none"/>
              </w:rPr>
              <w:t>项目代码</w:t>
            </w:r>
          </w:p>
        </w:tc>
        <w:tc>
          <w:tcPr>
            <w:tcW w:w="4354" w:type="pct"/>
            <w:gridSpan w:val="3"/>
            <w:vAlign w:val="center"/>
          </w:tcPr>
          <w:p w14:paraId="4327EC18">
            <w:pPr>
              <w:pStyle w:val="13"/>
              <w:rPr>
                <w:color w:val="auto"/>
                <w:sz w:val="24"/>
                <w:szCs w:val="24"/>
                <w:highlight w:val="none"/>
              </w:rPr>
            </w:pPr>
            <w:r>
              <w:rPr>
                <w:rFonts w:hint="eastAsia"/>
                <w:color w:val="auto"/>
                <w:sz w:val="24"/>
                <w:szCs w:val="24"/>
                <w:highlight w:val="none"/>
              </w:rPr>
              <w:t>2505-341723-04-01-349170</w:t>
            </w:r>
          </w:p>
        </w:tc>
      </w:tr>
      <w:tr w14:paraId="34D33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5" w:type="pct"/>
            <w:vAlign w:val="center"/>
          </w:tcPr>
          <w:p w14:paraId="282EBA8A">
            <w:pPr>
              <w:pStyle w:val="13"/>
              <w:rPr>
                <w:b/>
                <w:bCs/>
                <w:color w:val="auto"/>
                <w:sz w:val="24"/>
                <w:szCs w:val="24"/>
                <w:highlight w:val="none"/>
              </w:rPr>
            </w:pPr>
            <w:r>
              <w:rPr>
                <w:rFonts w:hint="eastAsia"/>
                <w:b/>
                <w:bCs/>
                <w:color w:val="auto"/>
                <w:sz w:val="24"/>
                <w:szCs w:val="24"/>
                <w:highlight w:val="none"/>
              </w:rPr>
              <w:t>建设单位</w:t>
            </w:r>
          </w:p>
          <w:p w14:paraId="23B6F64F">
            <w:pPr>
              <w:pStyle w:val="13"/>
              <w:rPr>
                <w:b/>
                <w:bCs/>
                <w:color w:val="auto"/>
                <w:sz w:val="24"/>
                <w:szCs w:val="24"/>
                <w:highlight w:val="none"/>
              </w:rPr>
            </w:pPr>
            <w:r>
              <w:rPr>
                <w:rFonts w:hint="eastAsia"/>
                <w:b/>
                <w:bCs/>
                <w:color w:val="auto"/>
                <w:sz w:val="24"/>
                <w:szCs w:val="24"/>
                <w:highlight w:val="none"/>
              </w:rPr>
              <w:t>联系人</w:t>
            </w:r>
          </w:p>
        </w:tc>
        <w:tc>
          <w:tcPr>
            <w:tcW w:w="1973" w:type="pct"/>
            <w:vAlign w:val="center"/>
          </w:tcPr>
          <w:p w14:paraId="3D13F4B0">
            <w:pPr>
              <w:pStyle w:val="13"/>
              <w:rPr>
                <w:color w:val="auto"/>
                <w:sz w:val="24"/>
                <w:szCs w:val="24"/>
                <w:highlight w:val="none"/>
              </w:rPr>
            </w:pPr>
            <w:r>
              <w:rPr>
                <w:rFonts w:hint="eastAsia"/>
                <w:color w:val="auto"/>
                <w:sz w:val="24"/>
                <w:szCs w:val="24"/>
                <w:highlight w:val="none"/>
              </w:rPr>
              <w:t>茅振民</w:t>
            </w:r>
          </w:p>
        </w:tc>
        <w:tc>
          <w:tcPr>
            <w:tcW w:w="639" w:type="pct"/>
            <w:vAlign w:val="center"/>
          </w:tcPr>
          <w:p w14:paraId="419EE26C">
            <w:pPr>
              <w:pStyle w:val="13"/>
              <w:rPr>
                <w:color w:val="auto"/>
                <w:sz w:val="24"/>
                <w:szCs w:val="24"/>
                <w:highlight w:val="none"/>
              </w:rPr>
            </w:pPr>
            <w:r>
              <w:rPr>
                <w:rFonts w:hint="eastAsia"/>
                <w:b/>
                <w:bCs/>
                <w:color w:val="auto"/>
                <w:sz w:val="24"/>
                <w:szCs w:val="24"/>
                <w:highlight w:val="none"/>
              </w:rPr>
              <w:t>联系方式</w:t>
            </w:r>
          </w:p>
        </w:tc>
        <w:tc>
          <w:tcPr>
            <w:tcW w:w="1742" w:type="pct"/>
            <w:vAlign w:val="center"/>
          </w:tcPr>
          <w:p w14:paraId="076124F3">
            <w:pPr>
              <w:pStyle w:val="13"/>
              <w:rPr>
                <w:color w:val="auto"/>
                <w:sz w:val="24"/>
                <w:szCs w:val="24"/>
                <w:highlight w:val="none"/>
              </w:rPr>
            </w:pPr>
            <w:r>
              <w:rPr>
                <w:rFonts w:hint="eastAsia"/>
                <w:color w:val="auto"/>
                <w:sz w:val="24"/>
                <w:szCs w:val="24"/>
                <w:highlight w:val="none"/>
              </w:rPr>
              <w:t>15305662222</w:t>
            </w:r>
          </w:p>
        </w:tc>
      </w:tr>
      <w:tr w14:paraId="15539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5" w:type="pct"/>
            <w:vAlign w:val="center"/>
          </w:tcPr>
          <w:p w14:paraId="270B750F">
            <w:pPr>
              <w:pStyle w:val="13"/>
              <w:rPr>
                <w:b/>
                <w:bCs/>
                <w:color w:val="auto"/>
                <w:sz w:val="24"/>
                <w:szCs w:val="24"/>
                <w:highlight w:val="none"/>
              </w:rPr>
            </w:pPr>
            <w:r>
              <w:rPr>
                <w:rFonts w:hint="eastAsia"/>
                <w:b/>
                <w:bCs/>
                <w:color w:val="auto"/>
                <w:sz w:val="24"/>
                <w:szCs w:val="24"/>
                <w:highlight w:val="none"/>
              </w:rPr>
              <w:t>建设地点</w:t>
            </w:r>
          </w:p>
        </w:tc>
        <w:tc>
          <w:tcPr>
            <w:tcW w:w="4354" w:type="pct"/>
            <w:gridSpan w:val="3"/>
            <w:vAlign w:val="center"/>
          </w:tcPr>
          <w:p w14:paraId="7D969809">
            <w:pPr>
              <w:pStyle w:val="13"/>
              <w:rPr>
                <w:color w:val="auto"/>
                <w:sz w:val="24"/>
                <w:szCs w:val="24"/>
                <w:highlight w:val="none"/>
              </w:rPr>
            </w:pPr>
            <w:r>
              <w:rPr>
                <w:rFonts w:hint="eastAsia"/>
                <w:color w:val="auto"/>
                <w:sz w:val="24"/>
                <w:szCs w:val="24"/>
                <w:highlight w:val="none"/>
              </w:rPr>
              <w:t>安徽省池州市青阳县酉华镇金峰村金元组</w:t>
            </w:r>
          </w:p>
        </w:tc>
      </w:tr>
      <w:tr w14:paraId="57C2C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5" w:type="pct"/>
            <w:vAlign w:val="center"/>
          </w:tcPr>
          <w:p w14:paraId="43F1EA41">
            <w:pPr>
              <w:pStyle w:val="13"/>
              <w:rPr>
                <w:b/>
                <w:bCs/>
                <w:color w:val="auto"/>
                <w:sz w:val="24"/>
                <w:szCs w:val="24"/>
                <w:highlight w:val="none"/>
              </w:rPr>
            </w:pPr>
            <w:r>
              <w:rPr>
                <w:rFonts w:hint="eastAsia"/>
                <w:b/>
                <w:bCs/>
                <w:color w:val="auto"/>
                <w:sz w:val="24"/>
                <w:szCs w:val="24"/>
                <w:highlight w:val="none"/>
              </w:rPr>
              <w:t>地理坐标</w:t>
            </w:r>
          </w:p>
        </w:tc>
        <w:tc>
          <w:tcPr>
            <w:tcW w:w="4354" w:type="pct"/>
            <w:gridSpan w:val="3"/>
            <w:vAlign w:val="center"/>
          </w:tcPr>
          <w:p w14:paraId="32B4A8F7">
            <w:pPr>
              <w:pStyle w:val="13"/>
              <w:rPr>
                <w:color w:val="auto"/>
                <w:sz w:val="24"/>
                <w:szCs w:val="24"/>
                <w:highlight w:val="none"/>
              </w:rPr>
            </w:pPr>
            <w:r>
              <w:rPr>
                <w:color w:val="auto"/>
                <w:sz w:val="24"/>
                <w:szCs w:val="24"/>
                <w:highlight w:val="none"/>
              </w:rPr>
              <w:t>（东经：</w:t>
            </w:r>
            <w:r>
              <w:rPr>
                <w:rFonts w:hint="eastAsia"/>
                <w:color w:val="auto"/>
                <w:sz w:val="24"/>
                <w:szCs w:val="24"/>
                <w:highlight w:val="none"/>
              </w:rPr>
              <w:t>118度2分20.49秒，北纬：30度41分18秒</w:t>
            </w:r>
            <w:r>
              <w:rPr>
                <w:color w:val="auto"/>
                <w:sz w:val="24"/>
                <w:szCs w:val="24"/>
                <w:highlight w:val="none"/>
              </w:rPr>
              <w:t>）</w:t>
            </w:r>
          </w:p>
        </w:tc>
      </w:tr>
      <w:tr w14:paraId="33A03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5" w:type="pct"/>
            <w:vAlign w:val="center"/>
          </w:tcPr>
          <w:p w14:paraId="67674C51">
            <w:pPr>
              <w:pStyle w:val="13"/>
              <w:rPr>
                <w:b/>
                <w:bCs/>
                <w:color w:val="auto"/>
                <w:sz w:val="24"/>
                <w:szCs w:val="24"/>
                <w:highlight w:val="none"/>
              </w:rPr>
            </w:pPr>
            <w:r>
              <w:rPr>
                <w:rFonts w:hint="eastAsia"/>
                <w:b/>
                <w:bCs/>
                <w:color w:val="auto"/>
                <w:sz w:val="24"/>
                <w:szCs w:val="24"/>
                <w:highlight w:val="none"/>
              </w:rPr>
              <w:t>国民经济</w:t>
            </w:r>
          </w:p>
          <w:p w14:paraId="00E7B4D8">
            <w:pPr>
              <w:pStyle w:val="13"/>
              <w:rPr>
                <w:b/>
                <w:bCs/>
                <w:color w:val="auto"/>
                <w:sz w:val="24"/>
                <w:szCs w:val="24"/>
                <w:highlight w:val="none"/>
              </w:rPr>
            </w:pPr>
            <w:r>
              <w:rPr>
                <w:rFonts w:hint="eastAsia"/>
                <w:b/>
                <w:bCs/>
                <w:color w:val="auto"/>
                <w:sz w:val="24"/>
                <w:szCs w:val="24"/>
                <w:highlight w:val="none"/>
              </w:rPr>
              <w:t>行业类别</w:t>
            </w:r>
          </w:p>
        </w:tc>
        <w:tc>
          <w:tcPr>
            <w:tcW w:w="1973" w:type="pct"/>
            <w:vAlign w:val="center"/>
          </w:tcPr>
          <w:p w14:paraId="541167C8">
            <w:pPr>
              <w:pStyle w:val="13"/>
              <w:rPr>
                <w:color w:val="auto"/>
                <w:sz w:val="24"/>
                <w:szCs w:val="24"/>
                <w:highlight w:val="none"/>
              </w:rPr>
            </w:pPr>
            <w:r>
              <w:rPr>
                <w:rFonts w:hint="eastAsia"/>
                <w:color w:val="auto"/>
                <w:sz w:val="24"/>
                <w:szCs w:val="24"/>
                <w:highlight w:val="none"/>
              </w:rPr>
              <w:t>C1329 其他饲料加工</w:t>
            </w:r>
          </w:p>
        </w:tc>
        <w:tc>
          <w:tcPr>
            <w:tcW w:w="639" w:type="pct"/>
            <w:vAlign w:val="center"/>
          </w:tcPr>
          <w:p w14:paraId="3AC74F08">
            <w:pPr>
              <w:pStyle w:val="13"/>
              <w:rPr>
                <w:b/>
                <w:bCs/>
                <w:color w:val="auto"/>
                <w:sz w:val="24"/>
                <w:szCs w:val="24"/>
                <w:highlight w:val="none"/>
              </w:rPr>
            </w:pPr>
            <w:r>
              <w:rPr>
                <w:rFonts w:hint="eastAsia"/>
                <w:b/>
                <w:bCs/>
                <w:color w:val="auto"/>
                <w:sz w:val="24"/>
                <w:szCs w:val="24"/>
                <w:highlight w:val="none"/>
              </w:rPr>
              <w:t>建设项目</w:t>
            </w:r>
          </w:p>
          <w:p w14:paraId="0B2FB004">
            <w:pPr>
              <w:pStyle w:val="13"/>
              <w:rPr>
                <w:b/>
                <w:bCs/>
                <w:color w:val="auto"/>
                <w:sz w:val="24"/>
                <w:szCs w:val="24"/>
                <w:highlight w:val="none"/>
              </w:rPr>
            </w:pPr>
            <w:r>
              <w:rPr>
                <w:rFonts w:hint="eastAsia"/>
                <w:b/>
                <w:bCs/>
                <w:color w:val="auto"/>
                <w:sz w:val="24"/>
                <w:szCs w:val="24"/>
                <w:highlight w:val="none"/>
              </w:rPr>
              <w:t>行业类别</w:t>
            </w:r>
          </w:p>
        </w:tc>
        <w:tc>
          <w:tcPr>
            <w:tcW w:w="1742" w:type="pct"/>
            <w:vAlign w:val="center"/>
          </w:tcPr>
          <w:p w14:paraId="3F802F38">
            <w:pPr>
              <w:pStyle w:val="13"/>
              <w:rPr>
                <w:color w:val="auto"/>
                <w:sz w:val="24"/>
                <w:szCs w:val="24"/>
                <w:highlight w:val="none"/>
              </w:rPr>
            </w:pPr>
            <w:r>
              <w:rPr>
                <w:rFonts w:hint="eastAsia"/>
                <w:color w:val="auto"/>
                <w:sz w:val="24"/>
                <w:szCs w:val="24"/>
                <w:highlight w:val="none"/>
              </w:rPr>
              <w:t>十、农副食品加工业 13、谷物磨制 131*；饲料加工 132*</w:t>
            </w:r>
          </w:p>
        </w:tc>
      </w:tr>
      <w:tr w14:paraId="73CD8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45" w:type="pct"/>
            <w:vAlign w:val="center"/>
          </w:tcPr>
          <w:p w14:paraId="25BC67C0">
            <w:pPr>
              <w:pStyle w:val="13"/>
              <w:rPr>
                <w:b/>
                <w:bCs/>
                <w:color w:val="auto"/>
                <w:sz w:val="24"/>
                <w:szCs w:val="24"/>
                <w:highlight w:val="none"/>
              </w:rPr>
            </w:pPr>
            <w:r>
              <w:rPr>
                <w:rFonts w:hint="eastAsia"/>
                <w:b/>
                <w:bCs/>
                <w:color w:val="auto"/>
                <w:sz w:val="24"/>
                <w:szCs w:val="24"/>
                <w:highlight w:val="none"/>
              </w:rPr>
              <w:t>建设性质</w:t>
            </w:r>
          </w:p>
        </w:tc>
        <w:tc>
          <w:tcPr>
            <w:tcW w:w="1973" w:type="pct"/>
            <w:vAlign w:val="center"/>
          </w:tcPr>
          <w:p w14:paraId="47E50724">
            <w:pPr>
              <w:pStyle w:val="13"/>
              <w:jc w:val="left"/>
              <w:rPr>
                <w:color w:val="auto"/>
                <w:sz w:val="24"/>
                <w:szCs w:val="24"/>
                <w:highlight w:val="none"/>
              </w:rPr>
            </w:pPr>
            <w:r>
              <w:rPr>
                <w:rFonts w:hint="eastAsia"/>
                <w:color w:val="auto"/>
                <w:sz w:val="24"/>
                <w:szCs w:val="24"/>
                <w:highlight w:val="none"/>
              </w:rPr>
              <w:t>☑新建（迁建）</w:t>
            </w:r>
          </w:p>
          <w:p w14:paraId="384FDA7A">
            <w:pPr>
              <w:pStyle w:val="13"/>
              <w:jc w:val="left"/>
              <w:rPr>
                <w:color w:val="auto"/>
                <w:sz w:val="24"/>
                <w:szCs w:val="24"/>
                <w:highlight w:val="none"/>
              </w:rPr>
            </w:pPr>
            <w:r>
              <w:rPr>
                <w:rFonts w:hint="eastAsia"/>
                <w:color w:val="auto"/>
                <w:sz w:val="24"/>
                <w:szCs w:val="24"/>
                <w:highlight w:val="none"/>
              </w:rPr>
              <w:t>□改建</w:t>
            </w:r>
          </w:p>
          <w:p w14:paraId="6A7D5176">
            <w:pPr>
              <w:pStyle w:val="13"/>
              <w:jc w:val="left"/>
              <w:rPr>
                <w:color w:val="auto"/>
                <w:sz w:val="24"/>
                <w:szCs w:val="24"/>
                <w:highlight w:val="none"/>
              </w:rPr>
            </w:pPr>
            <w:r>
              <w:rPr>
                <w:rFonts w:hint="eastAsia"/>
                <w:color w:val="auto"/>
                <w:sz w:val="24"/>
                <w:szCs w:val="24"/>
                <w:highlight w:val="none"/>
              </w:rPr>
              <w:t>□扩建</w:t>
            </w:r>
          </w:p>
          <w:p w14:paraId="64AAFF38">
            <w:pPr>
              <w:pStyle w:val="13"/>
              <w:jc w:val="left"/>
              <w:rPr>
                <w:color w:val="auto"/>
                <w:sz w:val="24"/>
                <w:szCs w:val="24"/>
                <w:highlight w:val="none"/>
              </w:rPr>
            </w:pPr>
            <w:r>
              <w:rPr>
                <w:rFonts w:hint="eastAsia"/>
                <w:color w:val="auto"/>
                <w:sz w:val="24"/>
                <w:szCs w:val="24"/>
                <w:highlight w:val="none"/>
              </w:rPr>
              <w:t>□技术改造</w:t>
            </w:r>
          </w:p>
        </w:tc>
        <w:tc>
          <w:tcPr>
            <w:tcW w:w="639" w:type="pct"/>
            <w:vAlign w:val="center"/>
          </w:tcPr>
          <w:p w14:paraId="0F0E0201">
            <w:pPr>
              <w:pStyle w:val="13"/>
              <w:rPr>
                <w:b/>
                <w:bCs/>
                <w:color w:val="auto"/>
                <w:sz w:val="24"/>
                <w:szCs w:val="24"/>
                <w:highlight w:val="none"/>
              </w:rPr>
            </w:pPr>
            <w:r>
              <w:rPr>
                <w:rFonts w:hint="eastAsia"/>
                <w:b/>
                <w:bCs/>
                <w:color w:val="auto"/>
                <w:sz w:val="24"/>
                <w:szCs w:val="24"/>
                <w:highlight w:val="none"/>
              </w:rPr>
              <w:t>建设项目</w:t>
            </w:r>
          </w:p>
          <w:p w14:paraId="276FA11A">
            <w:pPr>
              <w:pStyle w:val="13"/>
              <w:rPr>
                <w:b/>
                <w:bCs/>
                <w:color w:val="auto"/>
                <w:sz w:val="24"/>
                <w:szCs w:val="24"/>
                <w:highlight w:val="none"/>
              </w:rPr>
            </w:pPr>
            <w:r>
              <w:rPr>
                <w:rFonts w:hint="eastAsia"/>
                <w:b/>
                <w:bCs/>
                <w:color w:val="auto"/>
                <w:sz w:val="24"/>
                <w:szCs w:val="24"/>
                <w:highlight w:val="none"/>
              </w:rPr>
              <w:t>申报情形</w:t>
            </w:r>
          </w:p>
        </w:tc>
        <w:tc>
          <w:tcPr>
            <w:tcW w:w="1742" w:type="pct"/>
            <w:vAlign w:val="center"/>
          </w:tcPr>
          <w:p w14:paraId="008439E4">
            <w:pPr>
              <w:pStyle w:val="13"/>
              <w:jc w:val="left"/>
              <w:rPr>
                <w:color w:val="auto"/>
                <w:sz w:val="24"/>
                <w:szCs w:val="24"/>
                <w:highlight w:val="none"/>
              </w:rPr>
            </w:pPr>
            <w:r>
              <w:rPr>
                <w:rFonts w:hint="eastAsia"/>
                <w:color w:val="auto"/>
                <w:sz w:val="24"/>
                <w:szCs w:val="24"/>
                <w:highlight w:val="none"/>
              </w:rPr>
              <w:t>☑首次申报项目</w:t>
            </w:r>
          </w:p>
          <w:p w14:paraId="6BAD9254">
            <w:pPr>
              <w:pStyle w:val="13"/>
              <w:jc w:val="left"/>
              <w:rPr>
                <w:color w:val="auto"/>
                <w:sz w:val="24"/>
                <w:szCs w:val="24"/>
                <w:highlight w:val="none"/>
              </w:rPr>
            </w:pPr>
            <w:r>
              <w:rPr>
                <w:rFonts w:hint="eastAsia"/>
                <w:color w:val="auto"/>
                <w:sz w:val="24"/>
                <w:szCs w:val="24"/>
                <w:highlight w:val="none"/>
              </w:rPr>
              <w:t>□不予批准后再次申报项目</w:t>
            </w:r>
          </w:p>
          <w:p w14:paraId="7CD38AB0">
            <w:pPr>
              <w:pStyle w:val="13"/>
              <w:jc w:val="left"/>
              <w:rPr>
                <w:color w:val="auto"/>
                <w:sz w:val="24"/>
                <w:szCs w:val="24"/>
                <w:highlight w:val="none"/>
              </w:rPr>
            </w:pPr>
            <w:r>
              <w:rPr>
                <w:rFonts w:hint="eastAsia"/>
                <w:color w:val="auto"/>
                <w:sz w:val="24"/>
                <w:szCs w:val="24"/>
                <w:highlight w:val="none"/>
              </w:rPr>
              <w:t>□超五年重新审核项目</w:t>
            </w:r>
          </w:p>
          <w:p w14:paraId="5A7C7626">
            <w:pPr>
              <w:pStyle w:val="13"/>
              <w:jc w:val="left"/>
              <w:rPr>
                <w:color w:val="auto"/>
                <w:sz w:val="24"/>
                <w:szCs w:val="24"/>
                <w:highlight w:val="none"/>
              </w:rPr>
            </w:pPr>
            <w:r>
              <w:rPr>
                <w:rFonts w:hint="eastAsia"/>
                <w:color w:val="auto"/>
                <w:sz w:val="24"/>
                <w:szCs w:val="24"/>
                <w:highlight w:val="none"/>
              </w:rPr>
              <w:t>□重大变动重新报批项目</w:t>
            </w:r>
          </w:p>
        </w:tc>
      </w:tr>
      <w:tr w14:paraId="5A73C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45" w:type="pct"/>
            <w:vAlign w:val="center"/>
          </w:tcPr>
          <w:p w14:paraId="2E880081">
            <w:pPr>
              <w:pStyle w:val="13"/>
              <w:rPr>
                <w:b/>
                <w:bCs/>
                <w:color w:val="auto"/>
                <w:sz w:val="24"/>
                <w:szCs w:val="24"/>
                <w:highlight w:val="none"/>
              </w:rPr>
            </w:pPr>
            <w:r>
              <w:rPr>
                <w:rFonts w:hint="eastAsia"/>
                <w:b/>
                <w:bCs/>
                <w:color w:val="auto"/>
                <w:sz w:val="24"/>
                <w:szCs w:val="24"/>
                <w:highlight w:val="none"/>
              </w:rPr>
              <w:t>项目审批（核准/备案）部门（选填）</w:t>
            </w:r>
          </w:p>
        </w:tc>
        <w:tc>
          <w:tcPr>
            <w:tcW w:w="1973" w:type="pct"/>
            <w:vAlign w:val="center"/>
          </w:tcPr>
          <w:p w14:paraId="32882FE7">
            <w:pPr>
              <w:pStyle w:val="13"/>
              <w:rPr>
                <w:color w:val="auto"/>
                <w:sz w:val="24"/>
                <w:szCs w:val="24"/>
                <w:highlight w:val="none"/>
              </w:rPr>
            </w:pPr>
            <w:r>
              <w:rPr>
                <w:rFonts w:hint="eastAsia"/>
                <w:color w:val="auto"/>
                <w:sz w:val="24"/>
                <w:szCs w:val="24"/>
                <w:highlight w:val="none"/>
              </w:rPr>
              <w:t>青阳县发展和改革委员会</w:t>
            </w:r>
          </w:p>
        </w:tc>
        <w:tc>
          <w:tcPr>
            <w:tcW w:w="639" w:type="pct"/>
            <w:vAlign w:val="center"/>
          </w:tcPr>
          <w:p w14:paraId="2DA27EFF">
            <w:pPr>
              <w:pStyle w:val="13"/>
              <w:rPr>
                <w:b/>
                <w:bCs/>
                <w:color w:val="auto"/>
                <w:sz w:val="24"/>
                <w:szCs w:val="24"/>
                <w:highlight w:val="none"/>
              </w:rPr>
            </w:pPr>
            <w:r>
              <w:rPr>
                <w:b/>
                <w:bCs/>
                <w:color w:val="auto"/>
                <w:sz w:val="24"/>
                <w:szCs w:val="24"/>
                <w:highlight w:val="none"/>
              </w:rPr>
              <w:t>项目审批（核准/备案）文号（选填）</w:t>
            </w:r>
          </w:p>
        </w:tc>
        <w:tc>
          <w:tcPr>
            <w:tcW w:w="1742" w:type="pct"/>
            <w:vAlign w:val="center"/>
          </w:tcPr>
          <w:p w14:paraId="4DEEBA74">
            <w:pPr>
              <w:pStyle w:val="13"/>
              <w:rPr>
                <w:color w:val="auto"/>
                <w:sz w:val="24"/>
                <w:szCs w:val="24"/>
                <w:highlight w:val="none"/>
              </w:rPr>
            </w:pPr>
            <w:r>
              <w:rPr>
                <w:rFonts w:hint="eastAsia"/>
                <w:color w:val="auto"/>
                <w:sz w:val="24"/>
                <w:szCs w:val="24"/>
                <w:highlight w:val="none"/>
              </w:rPr>
              <w:t>青发改〔</w:t>
            </w:r>
            <w:r>
              <w:rPr>
                <w:color w:val="auto"/>
                <w:sz w:val="24"/>
                <w:szCs w:val="24"/>
                <w:highlight w:val="none"/>
              </w:rPr>
              <w:t>202</w:t>
            </w:r>
            <w:r>
              <w:rPr>
                <w:rFonts w:hint="eastAsia"/>
                <w:color w:val="auto"/>
                <w:sz w:val="24"/>
                <w:szCs w:val="24"/>
                <w:highlight w:val="none"/>
              </w:rPr>
              <w:t>5〕256</w:t>
            </w:r>
            <w:r>
              <w:rPr>
                <w:color w:val="auto"/>
                <w:sz w:val="24"/>
                <w:szCs w:val="24"/>
                <w:highlight w:val="none"/>
              </w:rPr>
              <w:t>号</w:t>
            </w:r>
          </w:p>
        </w:tc>
      </w:tr>
      <w:tr w14:paraId="2B7A6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5" w:type="pct"/>
            <w:vAlign w:val="center"/>
          </w:tcPr>
          <w:p w14:paraId="26DA518F">
            <w:pPr>
              <w:pStyle w:val="13"/>
              <w:rPr>
                <w:b/>
                <w:bCs/>
                <w:color w:val="auto"/>
                <w:sz w:val="24"/>
                <w:szCs w:val="24"/>
                <w:highlight w:val="none"/>
              </w:rPr>
            </w:pPr>
            <w:r>
              <w:rPr>
                <w:rFonts w:hint="eastAsia"/>
                <w:b/>
                <w:bCs/>
                <w:color w:val="auto"/>
                <w:sz w:val="24"/>
                <w:szCs w:val="24"/>
                <w:highlight w:val="none"/>
              </w:rPr>
              <w:t>总投资（万元）</w:t>
            </w:r>
          </w:p>
        </w:tc>
        <w:tc>
          <w:tcPr>
            <w:tcW w:w="1973" w:type="pct"/>
            <w:vAlign w:val="center"/>
          </w:tcPr>
          <w:p w14:paraId="20779027">
            <w:pPr>
              <w:pStyle w:val="13"/>
              <w:rPr>
                <w:color w:val="auto"/>
                <w:sz w:val="24"/>
                <w:szCs w:val="24"/>
                <w:highlight w:val="none"/>
              </w:rPr>
            </w:pPr>
            <w:r>
              <w:rPr>
                <w:rFonts w:hint="eastAsia"/>
                <w:color w:val="auto"/>
                <w:sz w:val="24"/>
                <w:szCs w:val="24"/>
                <w:highlight w:val="none"/>
              </w:rPr>
              <w:t>5645.3</w:t>
            </w:r>
          </w:p>
        </w:tc>
        <w:tc>
          <w:tcPr>
            <w:tcW w:w="639" w:type="pct"/>
            <w:vAlign w:val="center"/>
          </w:tcPr>
          <w:p w14:paraId="25E1DA4C">
            <w:pPr>
              <w:pStyle w:val="13"/>
              <w:rPr>
                <w:b/>
                <w:bCs/>
                <w:color w:val="auto"/>
                <w:sz w:val="24"/>
                <w:szCs w:val="24"/>
                <w:highlight w:val="none"/>
              </w:rPr>
            </w:pPr>
            <w:r>
              <w:rPr>
                <w:rFonts w:hint="eastAsia"/>
                <w:b/>
                <w:bCs/>
                <w:color w:val="auto"/>
                <w:sz w:val="24"/>
                <w:szCs w:val="24"/>
                <w:highlight w:val="none"/>
              </w:rPr>
              <w:t>环保投资（万元）</w:t>
            </w:r>
          </w:p>
        </w:tc>
        <w:tc>
          <w:tcPr>
            <w:tcW w:w="1742" w:type="pct"/>
            <w:vAlign w:val="center"/>
          </w:tcPr>
          <w:p w14:paraId="64805CF0">
            <w:pPr>
              <w:pStyle w:val="13"/>
              <w:rPr>
                <w:color w:val="auto"/>
                <w:sz w:val="24"/>
                <w:szCs w:val="24"/>
                <w:highlight w:val="none"/>
              </w:rPr>
            </w:pPr>
            <w:r>
              <w:rPr>
                <w:rFonts w:hint="eastAsia"/>
                <w:color w:val="auto"/>
                <w:sz w:val="24"/>
                <w:szCs w:val="24"/>
                <w:highlight w:val="none"/>
              </w:rPr>
              <w:t>100</w:t>
            </w:r>
          </w:p>
        </w:tc>
      </w:tr>
      <w:tr w14:paraId="20A4F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5" w:type="pct"/>
            <w:vAlign w:val="center"/>
          </w:tcPr>
          <w:p w14:paraId="10D0CA2D">
            <w:pPr>
              <w:pStyle w:val="13"/>
              <w:rPr>
                <w:b/>
                <w:bCs/>
                <w:color w:val="auto"/>
                <w:sz w:val="24"/>
                <w:szCs w:val="24"/>
                <w:highlight w:val="none"/>
              </w:rPr>
            </w:pPr>
            <w:r>
              <w:rPr>
                <w:rFonts w:hint="eastAsia"/>
                <w:b/>
                <w:bCs/>
                <w:color w:val="auto"/>
                <w:sz w:val="24"/>
                <w:szCs w:val="24"/>
                <w:highlight w:val="none"/>
              </w:rPr>
              <w:t>环保投资占比（%）</w:t>
            </w:r>
          </w:p>
        </w:tc>
        <w:tc>
          <w:tcPr>
            <w:tcW w:w="1973" w:type="pct"/>
            <w:vAlign w:val="center"/>
          </w:tcPr>
          <w:p w14:paraId="34E8DEC4">
            <w:pPr>
              <w:pStyle w:val="13"/>
              <w:rPr>
                <w:color w:val="auto"/>
                <w:sz w:val="24"/>
                <w:szCs w:val="24"/>
                <w:highlight w:val="none"/>
              </w:rPr>
            </w:pPr>
            <w:r>
              <w:rPr>
                <w:rFonts w:hint="eastAsia"/>
                <w:color w:val="auto"/>
                <w:sz w:val="24"/>
                <w:szCs w:val="24"/>
                <w:highlight w:val="none"/>
              </w:rPr>
              <w:t>1.77%</w:t>
            </w:r>
          </w:p>
        </w:tc>
        <w:tc>
          <w:tcPr>
            <w:tcW w:w="639" w:type="pct"/>
            <w:vAlign w:val="center"/>
          </w:tcPr>
          <w:p w14:paraId="64B6C471">
            <w:pPr>
              <w:pStyle w:val="13"/>
              <w:rPr>
                <w:b/>
                <w:bCs/>
                <w:color w:val="auto"/>
                <w:sz w:val="24"/>
                <w:szCs w:val="24"/>
                <w:highlight w:val="none"/>
              </w:rPr>
            </w:pPr>
            <w:r>
              <w:rPr>
                <w:rFonts w:hint="eastAsia"/>
                <w:b/>
                <w:bCs/>
                <w:color w:val="auto"/>
                <w:sz w:val="24"/>
                <w:szCs w:val="24"/>
                <w:highlight w:val="none"/>
              </w:rPr>
              <w:t>施工工期</w:t>
            </w:r>
          </w:p>
        </w:tc>
        <w:tc>
          <w:tcPr>
            <w:tcW w:w="1742" w:type="pct"/>
            <w:vAlign w:val="center"/>
          </w:tcPr>
          <w:p w14:paraId="529B0894">
            <w:pPr>
              <w:pStyle w:val="13"/>
              <w:rPr>
                <w:color w:val="auto"/>
                <w:sz w:val="24"/>
                <w:szCs w:val="24"/>
                <w:highlight w:val="none"/>
              </w:rPr>
            </w:pPr>
            <w:r>
              <w:rPr>
                <w:rFonts w:hint="eastAsia"/>
                <w:color w:val="auto"/>
                <w:sz w:val="24"/>
                <w:szCs w:val="24"/>
                <w:highlight w:val="none"/>
              </w:rPr>
              <w:t>12个月</w:t>
            </w:r>
          </w:p>
        </w:tc>
      </w:tr>
      <w:tr w14:paraId="283EA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45" w:type="pct"/>
            <w:vAlign w:val="center"/>
          </w:tcPr>
          <w:p w14:paraId="733DF6D5">
            <w:pPr>
              <w:pStyle w:val="13"/>
              <w:rPr>
                <w:b/>
                <w:bCs/>
                <w:color w:val="auto"/>
                <w:sz w:val="24"/>
                <w:szCs w:val="24"/>
                <w:highlight w:val="none"/>
              </w:rPr>
            </w:pPr>
            <w:r>
              <w:rPr>
                <w:rFonts w:hint="eastAsia"/>
                <w:b/>
                <w:bCs/>
                <w:color w:val="auto"/>
                <w:sz w:val="24"/>
                <w:szCs w:val="24"/>
                <w:highlight w:val="none"/>
              </w:rPr>
              <w:t>是否开工建设</w:t>
            </w:r>
          </w:p>
        </w:tc>
        <w:tc>
          <w:tcPr>
            <w:tcW w:w="1973" w:type="pct"/>
            <w:vAlign w:val="center"/>
          </w:tcPr>
          <w:p w14:paraId="2B332BB0">
            <w:pPr>
              <w:pStyle w:val="13"/>
              <w:jc w:val="left"/>
              <w:rPr>
                <w:color w:val="auto"/>
                <w:sz w:val="24"/>
                <w:szCs w:val="24"/>
                <w:highlight w:val="none"/>
              </w:rPr>
            </w:pPr>
            <w:r>
              <w:rPr>
                <w:rFonts w:hint="eastAsia"/>
                <w:color w:val="auto"/>
                <w:sz w:val="24"/>
                <w:szCs w:val="24"/>
                <w:highlight w:val="none"/>
              </w:rPr>
              <w:t>☑否</w:t>
            </w:r>
          </w:p>
          <w:p w14:paraId="651FBE66">
            <w:pPr>
              <w:pStyle w:val="13"/>
              <w:jc w:val="left"/>
              <w:rPr>
                <w:color w:val="auto"/>
                <w:sz w:val="24"/>
                <w:szCs w:val="24"/>
                <w:highlight w:val="none"/>
              </w:rPr>
            </w:pPr>
            <w:r>
              <w:rPr>
                <w:rFonts w:hint="eastAsia"/>
                <w:color w:val="auto"/>
                <w:sz w:val="24"/>
                <w:szCs w:val="24"/>
                <w:highlight w:val="none"/>
              </w:rPr>
              <w:t>□是：</w:t>
            </w:r>
            <w:r>
              <w:rPr>
                <w:rFonts w:hint="eastAsia"/>
                <w:color w:val="auto"/>
                <w:sz w:val="24"/>
                <w:szCs w:val="24"/>
                <w:highlight w:val="none"/>
                <w:u w:val="single"/>
              </w:rPr>
              <w:t xml:space="preserve">          </w:t>
            </w:r>
          </w:p>
        </w:tc>
        <w:tc>
          <w:tcPr>
            <w:tcW w:w="639" w:type="pct"/>
            <w:vAlign w:val="center"/>
          </w:tcPr>
          <w:p w14:paraId="0DD8497E">
            <w:pPr>
              <w:pStyle w:val="13"/>
              <w:rPr>
                <w:b/>
                <w:bCs/>
                <w:color w:val="auto"/>
                <w:sz w:val="24"/>
                <w:szCs w:val="24"/>
                <w:highlight w:val="none"/>
              </w:rPr>
            </w:pPr>
            <w:r>
              <w:rPr>
                <w:rFonts w:hint="eastAsia"/>
                <w:b/>
                <w:bCs/>
                <w:color w:val="auto"/>
                <w:sz w:val="24"/>
                <w:szCs w:val="24"/>
                <w:highlight w:val="none"/>
              </w:rPr>
              <w:t>用地（用海）面积（</w:t>
            </w:r>
            <w:r>
              <w:rPr>
                <w:b/>
                <w:bCs/>
                <w:color w:val="auto"/>
                <w:sz w:val="24"/>
                <w:szCs w:val="24"/>
                <w:highlight w:val="none"/>
              </w:rPr>
              <w:t>m²</w:t>
            </w:r>
            <w:r>
              <w:rPr>
                <w:rFonts w:hint="eastAsia"/>
                <w:b/>
                <w:bCs/>
                <w:color w:val="auto"/>
                <w:sz w:val="24"/>
                <w:szCs w:val="24"/>
                <w:highlight w:val="none"/>
              </w:rPr>
              <w:t>）</w:t>
            </w:r>
          </w:p>
        </w:tc>
        <w:tc>
          <w:tcPr>
            <w:tcW w:w="1742" w:type="pct"/>
            <w:vAlign w:val="center"/>
          </w:tcPr>
          <w:p w14:paraId="3D88129B">
            <w:pPr>
              <w:pStyle w:val="13"/>
              <w:rPr>
                <w:color w:val="auto"/>
                <w:sz w:val="24"/>
                <w:szCs w:val="24"/>
                <w:highlight w:val="none"/>
              </w:rPr>
            </w:pPr>
            <w:r>
              <w:rPr>
                <w:rFonts w:hint="eastAsia"/>
                <w:color w:val="auto"/>
                <w:sz w:val="24"/>
                <w:szCs w:val="24"/>
                <w:highlight w:val="none"/>
              </w:rPr>
              <w:t>17443</w:t>
            </w:r>
          </w:p>
        </w:tc>
      </w:tr>
      <w:tr w14:paraId="50805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45" w:type="pct"/>
            <w:vAlign w:val="center"/>
          </w:tcPr>
          <w:p w14:paraId="06C43848">
            <w:pPr>
              <w:pStyle w:val="13"/>
              <w:rPr>
                <w:b/>
                <w:bCs/>
                <w:color w:val="auto"/>
                <w:sz w:val="24"/>
                <w:szCs w:val="24"/>
                <w:highlight w:val="none"/>
              </w:rPr>
            </w:pPr>
            <w:r>
              <w:rPr>
                <w:rFonts w:hint="eastAsia"/>
                <w:b/>
                <w:bCs/>
                <w:color w:val="auto"/>
                <w:sz w:val="24"/>
                <w:szCs w:val="24"/>
                <w:highlight w:val="none"/>
              </w:rPr>
              <w:t>专项评价设置情况</w:t>
            </w:r>
          </w:p>
        </w:tc>
        <w:tc>
          <w:tcPr>
            <w:tcW w:w="4354" w:type="pct"/>
            <w:gridSpan w:val="3"/>
            <w:vAlign w:val="center"/>
          </w:tcPr>
          <w:p w14:paraId="30AFCA2B">
            <w:pPr>
              <w:ind w:firstLine="480"/>
              <w:rPr>
                <w:color w:val="auto"/>
                <w:szCs w:val="24"/>
                <w:highlight w:val="none"/>
              </w:rPr>
            </w:pPr>
            <w:r>
              <w:rPr>
                <w:rFonts w:hint="eastAsia"/>
                <w:color w:val="auto"/>
                <w:szCs w:val="24"/>
                <w:highlight w:val="none"/>
              </w:rPr>
              <w:t>本项目专项评价设置情况见下表：</w:t>
            </w:r>
          </w:p>
          <w:p w14:paraId="62EBAD4F">
            <w:pPr>
              <w:pStyle w:val="14"/>
              <w:spacing w:before="156"/>
              <w:rPr>
                <w:color w:val="auto"/>
                <w:highlight w:val="none"/>
              </w:rPr>
            </w:pPr>
            <w:r>
              <w:rPr>
                <w:rFonts w:hint="eastAsia"/>
                <w:color w:val="auto"/>
                <w:highlight w:val="none"/>
              </w:rPr>
              <w:t>表1-1  专项评价设置原则对比表</w:t>
            </w:r>
          </w:p>
          <w:tbl>
            <w:tblPr>
              <w:tblStyle w:val="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2"/>
              <w:gridCol w:w="3556"/>
              <w:gridCol w:w="3556"/>
            </w:tblGrid>
            <w:tr w14:paraId="2205B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691" w:type="pct"/>
                  <w:tcBorders>
                    <w:bottom w:val="single" w:color="auto" w:sz="4" w:space="0"/>
                    <w:right w:val="single" w:color="auto" w:sz="4" w:space="0"/>
                  </w:tcBorders>
                  <w:vAlign w:val="center"/>
                </w:tcPr>
                <w:p w14:paraId="066499CD">
                  <w:pPr>
                    <w:pStyle w:val="13"/>
                    <w:rPr>
                      <w:b/>
                      <w:bCs/>
                      <w:color w:val="auto"/>
                      <w:highlight w:val="none"/>
                    </w:rPr>
                  </w:pPr>
                  <w:r>
                    <w:rPr>
                      <w:rFonts w:hint="eastAsia"/>
                      <w:b/>
                      <w:bCs/>
                      <w:color w:val="auto"/>
                      <w:highlight w:val="none"/>
                    </w:rPr>
                    <w:t>专项评价的类别</w:t>
                  </w:r>
                </w:p>
              </w:tc>
              <w:tc>
                <w:tcPr>
                  <w:tcW w:w="2154" w:type="pct"/>
                  <w:tcBorders>
                    <w:left w:val="single" w:color="auto" w:sz="4" w:space="0"/>
                    <w:bottom w:val="single" w:color="auto" w:sz="4" w:space="0"/>
                    <w:right w:val="single" w:color="auto" w:sz="4" w:space="0"/>
                  </w:tcBorders>
                  <w:vAlign w:val="center"/>
                </w:tcPr>
                <w:p w14:paraId="5C6D08BD">
                  <w:pPr>
                    <w:pStyle w:val="13"/>
                    <w:rPr>
                      <w:b/>
                      <w:bCs/>
                      <w:color w:val="auto"/>
                      <w:highlight w:val="none"/>
                    </w:rPr>
                  </w:pPr>
                  <w:r>
                    <w:rPr>
                      <w:rFonts w:hint="eastAsia"/>
                      <w:b/>
                      <w:bCs/>
                      <w:color w:val="auto"/>
                      <w:highlight w:val="none"/>
                    </w:rPr>
                    <w:t>设置原则</w:t>
                  </w:r>
                </w:p>
              </w:tc>
              <w:tc>
                <w:tcPr>
                  <w:tcW w:w="2154" w:type="pct"/>
                  <w:tcBorders>
                    <w:left w:val="single" w:color="auto" w:sz="4" w:space="0"/>
                    <w:bottom w:val="single" w:color="auto" w:sz="4" w:space="0"/>
                  </w:tcBorders>
                  <w:vAlign w:val="center"/>
                </w:tcPr>
                <w:p w14:paraId="5DF52E7F">
                  <w:pPr>
                    <w:pStyle w:val="13"/>
                    <w:rPr>
                      <w:b/>
                      <w:bCs/>
                      <w:color w:val="auto"/>
                      <w:highlight w:val="none"/>
                    </w:rPr>
                  </w:pPr>
                  <w:r>
                    <w:rPr>
                      <w:rFonts w:hint="eastAsia"/>
                      <w:b/>
                      <w:bCs/>
                      <w:color w:val="auto"/>
                      <w:highlight w:val="none"/>
                    </w:rPr>
                    <w:t>本项目专项评价设置情况</w:t>
                  </w:r>
                </w:p>
              </w:tc>
            </w:tr>
            <w:tr w14:paraId="65EAA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trPr>
              <w:tc>
                <w:tcPr>
                  <w:tcW w:w="691" w:type="pct"/>
                  <w:tcBorders>
                    <w:top w:val="single" w:color="auto" w:sz="4" w:space="0"/>
                    <w:bottom w:val="single" w:color="auto" w:sz="4" w:space="0"/>
                    <w:right w:val="single" w:color="auto" w:sz="4" w:space="0"/>
                  </w:tcBorders>
                  <w:vAlign w:val="center"/>
                </w:tcPr>
                <w:p w14:paraId="5055AD6F">
                  <w:pPr>
                    <w:pStyle w:val="13"/>
                    <w:rPr>
                      <w:color w:val="auto"/>
                      <w:highlight w:val="none"/>
                    </w:rPr>
                  </w:pPr>
                  <w:r>
                    <w:rPr>
                      <w:rFonts w:hint="eastAsia"/>
                      <w:color w:val="auto"/>
                      <w:highlight w:val="none"/>
                    </w:rPr>
                    <w:t>大气</w:t>
                  </w:r>
                </w:p>
              </w:tc>
              <w:tc>
                <w:tcPr>
                  <w:tcW w:w="2154" w:type="pct"/>
                  <w:tcBorders>
                    <w:top w:val="single" w:color="auto" w:sz="4" w:space="0"/>
                    <w:left w:val="single" w:color="auto" w:sz="4" w:space="0"/>
                    <w:bottom w:val="single" w:color="auto" w:sz="4" w:space="0"/>
                    <w:right w:val="single" w:color="auto" w:sz="4" w:space="0"/>
                  </w:tcBorders>
                  <w:vAlign w:val="center"/>
                </w:tcPr>
                <w:p w14:paraId="01EB5877">
                  <w:pPr>
                    <w:pStyle w:val="13"/>
                    <w:rPr>
                      <w:color w:val="auto"/>
                      <w:highlight w:val="none"/>
                    </w:rPr>
                  </w:pPr>
                  <w:r>
                    <w:rPr>
                      <w:rFonts w:hint="eastAsia"/>
                      <w:color w:val="auto"/>
                      <w:highlight w:val="none"/>
                    </w:rPr>
                    <w:t>排放废气含有毒有害污染物、二噁英、苯并[a]芘、氰化物、氯气且厂界外500米范围内有环境空气保护目标的建设项目</w:t>
                  </w:r>
                </w:p>
              </w:tc>
              <w:tc>
                <w:tcPr>
                  <w:tcW w:w="2154" w:type="pct"/>
                  <w:tcBorders>
                    <w:top w:val="single" w:color="auto" w:sz="4" w:space="0"/>
                    <w:left w:val="single" w:color="auto" w:sz="4" w:space="0"/>
                    <w:bottom w:val="single" w:color="auto" w:sz="4" w:space="0"/>
                  </w:tcBorders>
                  <w:vAlign w:val="center"/>
                </w:tcPr>
                <w:p w14:paraId="3CAD783D">
                  <w:pPr>
                    <w:pStyle w:val="13"/>
                    <w:rPr>
                      <w:color w:val="auto"/>
                      <w:highlight w:val="none"/>
                    </w:rPr>
                  </w:pPr>
                  <w:r>
                    <w:rPr>
                      <w:rFonts w:hint="eastAsia"/>
                      <w:color w:val="auto"/>
                      <w:highlight w:val="none"/>
                    </w:rPr>
                    <w:t>本项目运营过程中无有毒有害气体排放，无需设置大气专项评价。</w:t>
                  </w:r>
                </w:p>
              </w:tc>
            </w:tr>
            <w:tr w14:paraId="63ED6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1" w:type="pct"/>
                  <w:tcBorders>
                    <w:top w:val="single" w:color="auto" w:sz="4" w:space="0"/>
                    <w:bottom w:val="single" w:color="auto" w:sz="4" w:space="0"/>
                    <w:right w:val="single" w:color="auto" w:sz="4" w:space="0"/>
                  </w:tcBorders>
                  <w:vAlign w:val="center"/>
                </w:tcPr>
                <w:p w14:paraId="750A9558">
                  <w:pPr>
                    <w:pStyle w:val="13"/>
                    <w:rPr>
                      <w:color w:val="auto"/>
                      <w:highlight w:val="none"/>
                    </w:rPr>
                  </w:pPr>
                  <w:r>
                    <w:rPr>
                      <w:rFonts w:hint="eastAsia"/>
                      <w:color w:val="auto"/>
                      <w:highlight w:val="none"/>
                    </w:rPr>
                    <w:t>地表水</w:t>
                  </w:r>
                </w:p>
              </w:tc>
              <w:tc>
                <w:tcPr>
                  <w:tcW w:w="2154" w:type="pct"/>
                  <w:tcBorders>
                    <w:top w:val="single" w:color="auto" w:sz="4" w:space="0"/>
                    <w:left w:val="single" w:color="auto" w:sz="4" w:space="0"/>
                    <w:bottom w:val="single" w:color="auto" w:sz="4" w:space="0"/>
                    <w:right w:val="single" w:color="auto" w:sz="4" w:space="0"/>
                  </w:tcBorders>
                  <w:vAlign w:val="center"/>
                </w:tcPr>
                <w:p w14:paraId="32103885">
                  <w:pPr>
                    <w:pStyle w:val="13"/>
                    <w:rPr>
                      <w:color w:val="auto"/>
                      <w:highlight w:val="none"/>
                    </w:rPr>
                  </w:pPr>
                  <w:r>
                    <w:rPr>
                      <w:rFonts w:hint="eastAsia"/>
                      <w:color w:val="auto"/>
                      <w:highlight w:val="none"/>
                    </w:rPr>
                    <w:t>新增工业废水直排建设项目（槽罐车外送污水处理站的除外）；新增废水直排的污水集中处理站</w:t>
                  </w:r>
                </w:p>
              </w:tc>
              <w:tc>
                <w:tcPr>
                  <w:tcW w:w="2154" w:type="pct"/>
                  <w:tcBorders>
                    <w:top w:val="single" w:color="auto" w:sz="4" w:space="0"/>
                    <w:left w:val="single" w:color="auto" w:sz="4" w:space="0"/>
                    <w:bottom w:val="single" w:color="auto" w:sz="4" w:space="0"/>
                  </w:tcBorders>
                  <w:vAlign w:val="center"/>
                </w:tcPr>
                <w:p w14:paraId="3355215B">
                  <w:pPr>
                    <w:pStyle w:val="13"/>
                    <w:rPr>
                      <w:color w:val="auto"/>
                      <w:highlight w:val="none"/>
                    </w:rPr>
                  </w:pPr>
                  <w:r>
                    <w:rPr>
                      <w:rFonts w:hint="eastAsia"/>
                      <w:color w:val="auto"/>
                      <w:highlight w:val="none"/>
                    </w:rPr>
                    <w:t>本项目运营期</w:t>
                  </w:r>
                  <w:r>
                    <w:rPr>
                      <w:rFonts w:hint="eastAsia"/>
                      <w:color w:val="auto"/>
                      <w:highlight w:val="none"/>
                      <w:lang w:eastAsia="zh-CN"/>
                    </w:rPr>
                    <w:t>生活污水经隔油池、化粪池处理达酉华镇污水处理站接管标准后，与调质废水一起纳管排入酉华镇污水处理站处理，达到《城镇污水处理站污染物排放标准》（GB 18918-2002）一级A标准后排入七星河</w:t>
                  </w:r>
                  <w:r>
                    <w:rPr>
                      <w:rFonts w:hint="eastAsia"/>
                      <w:color w:val="auto"/>
                      <w:highlight w:val="none"/>
                    </w:rPr>
                    <w:t>，无需设置地表水专项评价。</w:t>
                  </w:r>
                </w:p>
              </w:tc>
            </w:tr>
            <w:tr w14:paraId="705C4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691" w:type="pct"/>
                  <w:tcBorders>
                    <w:top w:val="single" w:color="auto" w:sz="4" w:space="0"/>
                    <w:bottom w:val="single" w:color="auto" w:sz="4" w:space="0"/>
                    <w:right w:val="single" w:color="auto" w:sz="4" w:space="0"/>
                  </w:tcBorders>
                  <w:vAlign w:val="center"/>
                </w:tcPr>
                <w:p w14:paraId="26A6F288">
                  <w:pPr>
                    <w:pStyle w:val="13"/>
                    <w:rPr>
                      <w:color w:val="auto"/>
                      <w:highlight w:val="none"/>
                    </w:rPr>
                  </w:pPr>
                  <w:r>
                    <w:rPr>
                      <w:rFonts w:hint="eastAsia"/>
                      <w:color w:val="auto"/>
                      <w:highlight w:val="none"/>
                    </w:rPr>
                    <w:t>环境风险</w:t>
                  </w:r>
                </w:p>
              </w:tc>
              <w:tc>
                <w:tcPr>
                  <w:tcW w:w="2154" w:type="pct"/>
                  <w:tcBorders>
                    <w:top w:val="single" w:color="auto" w:sz="4" w:space="0"/>
                    <w:left w:val="single" w:color="auto" w:sz="4" w:space="0"/>
                    <w:bottom w:val="single" w:color="auto" w:sz="4" w:space="0"/>
                    <w:right w:val="single" w:color="auto" w:sz="4" w:space="0"/>
                  </w:tcBorders>
                  <w:vAlign w:val="center"/>
                </w:tcPr>
                <w:p w14:paraId="6DB31FA0">
                  <w:pPr>
                    <w:pStyle w:val="13"/>
                    <w:rPr>
                      <w:color w:val="auto"/>
                      <w:highlight w:val="none"/>
                    </w:rPr>
                  </w:pPr>
                  <w:r>
                    <w:rPr>
                      <w:rFonts w:hint="eastAsia"/>
                      <w:color w:val="auto"/>
                      <w:highlight w:val="none"/>
                    </w:rPr>
                    <w:t>有毒有害和易燃易爆危险物质存储量超过临界量的建设项目</w:t>
                  </w:r>
                </w:p>
              </w:tc>
              <w:tc>
                <w:tcPr>
                  <w:tcW w:w="2154" w:type="pct"/>
                  <w:tcBorders>
                    <w:top w:val="single" w:color="auto" w:sz="4" w:space="0"/>
                    <w:left w:val="single" w:color="auto" w:sz="4" w:space="0"/>
                    <w:bottom w:val="single" w:color="auto" w:sz="4" w:space="0"/>
                  </w:tcBorders>
                  <w:vAlign w:val="center"/>
                </w:tcPr>
                <w:p w14:paraId="0BD11D43">
                  <w:pPr>
                    <w:pStyle w:val="13"/>
                    <w:rPr>
                      <w:color w:val="auto"/>
                      <w:highlight w:val="none"/>
                    </w:rPr>
                  </w:pPr>
                  <w:r>
                    <w:rPr>
                      <w:rFonts w:hint="eastAsia"/>
                      <w:color w:val="auto"/>
                      <w:highlight w:val="none"/>
                    </w:rPr>
                    <w:t>有毒有害和易燃易爆危险物质存储量未超过临界量，无须设置环境风险专项评价。</w:t>
                  </w:r>
                </w:p>
              </w:tc>
            </w:tr>
            <w:tr w14:paraId="52693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atLeast"/>
              </w:trPr>
              <w:tc>
                <w:tcPr>
                  <w:tcW w:w="691" w:type="pct"/>
                  <w:tcBorders>
                    <w:top w:val="single" w:color="auto" w:sz="4" w:space="0"/>
                    <w:bottom w:val="single" w:color="auto" w:sz="4" w:space="0"/>
                    <w:right w:val="single" w:color="auto" w:sz="4" w:space="0"/>
                  </w:tcBorders>
                  <w:vAlign w:val="center"/>
                </w:tcPr>
                <w:p w14:paraId="1F5A8E7F">
                  <w:pPr>
                    <w:pStyle w:val="13"/>
                    <w:rPr>
                      <w:color w:val="auto"/>
                      <w:highlight w:val="none"/>
                    </w:rPr>
                  </w:pPr>
                  <w:r>
                    <w:rPr>
                      <w:rFonts w:hint="eastAsia"/>
                      <w:color w:val="auto"/>
                      <w:highlight w:val="none"/>
                    </w:rPr>
                    <w:t>生态</w:t>
                  </w:r>
                </w:p>
              </w:tc>
              <w:tc>
                <w:tcPr>
                  <w:tcW w:w="2154" w:type="pct"/>
                  <w:tcBorders>
                    <w:top w:val="single" w:color="auto" w:sz="4" w:space="0"/>
                    <w:left w:val="single" w:color="auto" w:sz="4" w:space="0"/>
                    <w:bottom w:val="single" w:color="auto" w:sz="4" w:space="0"/>
                    <w:right w:val="single" w:color="auto" w:sz="4" w:space="0"/>
                  </w:tcBorders>
                  <w:vAlign w:val="center"/>
                </w:tcPr>
                <w:p w14:paraId="7019617F">
                  <w:pPr>
                    <w:pStyle w:val="13"/>
                    <w:rPr>
                      <w:color w:val="auto"/>
                      <w:highlight w:val="none"/>
                    </w:rPr>
                  </w:pPr>
                  <w:r>
                    <w:rPr>
                      <w:rFonts w:hint="eastAsia"/>
                      <w:color w:val="auto"/>
                      <w:highlight w:val="none"/>
                    </w:rPr>
                    <w:t>取水口下游500米范围内有重要水生生物的自然产卵场、索饵场、越冬场和洄游通道的新增河道取水的污染类建设项目</w:t>
                  </w:r>
                </w:p>
              </w:tc>
              <w:tc>
                <w:tcPr>
                  <w:tcW w:w="2154" w:type="pct"/>
                  <w:tcBorders>
                    <w:top w:val="single" w:color="auto" w:sz="4" w:space="0"/>
                    <w:left w:val="single" w:color="auto" w:sz="4" w:space="0"/>
                    <w:bottom w:val="single" w:color="auto" w:sz="4" w:space="0"/>
                  </w:tcBorders>
                  <w:vAlign w:val="center"/>
                </w:tcPr>
                <w:p w14:paraId="18BE2A4B">
                  <w:pPr>
                    <w:pStyle w:val="13"/>
                    <w:rPr>
                      <w:color w:val="auto"/>
                      <w:highlight w:val="none"/>
                    </w:rPr>
                  </w:pPr>
                  <w:r>
                    <w:rPr>
                      <w:rFonts w:hint="eastAsia"/>
                      <w:color w:val="auto"/>
                      <w:highlight w:val="none"/>
                    </w:rPr>
                    <w:t>本项目无取水口，无须设置生态专项评价。</w:t>
                  </w:r>
                </w:p>
              </w:tc>
            </w:tr>
            <w:tr w14:paraId="2D9D6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691" w:type="pct"/>
                  <w:tcBorders>
                    <w:top w:val="single" w:color="auto" w:sz="4" w:space="0"/>
                    <w:right w:val="single" w:color="auto" w:sz="4" w:space="0"/>
                  </w:tcBorders>
                  <w:vAlign w:val="center"/>
                </w:tcPr>
                <w:p w14:paraId="2A0DA665">
                  <w:pPr>
                    <w:pStyle w:val="13"/>
                    <w:rPr>
                      <w:color w:val="auto"/>
                      <w:highlight w:val="none"/>
                    </w:rPr>
                  </w:pPr>
                  <w:r>
                    <w:rPr>
                      <w:rFonts w:hint="eastAsia"/>
                      <w:color w:val="auto"/>
                      <w:highlight w:val="none"/>
                    </w:rPr>
                    <w:t>海洋</w:t>
                  </w:r>
                </w:p>
              </w:tc>
              <w:tc>
                <w:tcPr>
                  <w:tcW w:w="2154" w:type="pct"/>
                  <w:tcBorders>
                    <w:top w:val="single" w:color="auto" w:sz="4" w:space="0"/>
                    <w:left w:val="single" w:color="auto" w:sz="4" w:space="0"/>
                    <w:right w:val="single" w:color="auto" w:sz="4" w:space="0"/>
                  </w:tcBorders>
                  <w:vAlign w:val="center"/>
                </w:tcPr>
                <w:p w14:paraId="68B548E1">
                  <w:pPr>
                    <w:pStyle w:val="13"/>
                    <w:rPr>
                      <w:color w:val="auto"/>
                      <w:highlight w:val="none"/>
                    </w:rPr>
                  </w:pPr>
                  <w:r>
                    <w:rPr>
                      <w:rFonts w:hint="eastAsia"/>
                      <w:color w:val="auto"/>
                      <w:highlight w:val="none"/>
                    </w:rPr>
                    <w:t>直接向海排放污染物的海洋工程建设项目</w:t>
                  </w:r>
                </w:p>
              </w:tc>
              <w:tc>
                <w:tcPr>
                  <w:tcW w:w="2154" w:type="pct"/>
                  <w:tcBorders>
                    <w:top w:val="single" w:color="auto" w:sz="4" w:space="0"/>
                    <w:left w:val="single" w:color="auto" w:sz="4" w:space="0"/>
                  </w:tcBorders>
                  <w:vAlign w:val="center"/>
                </w:tcPr>
                <w:p w14:paraId="0DB9D7ED">
                  <w:pPr>
                    <w:pStyle w:val="13"/>
                    <w:rPr>
                      <w:color w:val="auto"/>
                      <w:highlight w:val="none"/>
                    </w:rPr>
                  </w:pPr>
                  <w:r>
                    <w:rPr>
                      <w:rFonts w:hint="eastAsia"/>
                      <w:color w:val="auto"/>
                      <w:highlight w:val="none"/>
                    </w:rPr>
                    <w:t>本项目不属于直接向海排放污染物的海洋工程建设项目，无需设置海洋专项评价。</w:t>
                  </w:r>
                </w:p>
              </w:tc>
            </w:tr>
          </w:tbl>
          <w:p w14:paraId="097B0BCD">
            <w:pPr>
              <w:ind w:firstLine="480"/>
              <w:rPr>
                <w:color w:val="auto"/>
                <w:szCs w:val="24"/>
                <w:highlight w:val="none"/>
              </w:rPr>
            </w:pPr>
          </w:p>
        </w:tc>
      </w:tr>
      <w:tr w14:paraId="3FD8E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5" w:type="pct"/>
            <w:vAlign w:val="center"/>
          </w:tcPr>
          <w:p w14:paraId="679414F8">
            <w:pPr>
              <w:pStyle w:val="13"/>
              <w:rPr>
                <w:b/>
                <w:bCs/>
                <w:color w:val="auto"/>
                <w:sz w:val="24"/>
                <w:szCs w:val="24"/>
                <w:highlight w:val="none"/>
              </w:rPr>
            </w:pPr>
            <w:r>
              <w:rPr>
                <w:rFonts w:hint="eastAsia"/>
                <w:b/>
                <w:bCs/>
                <w:color w:val="auto"/>
                <w:sz w:val="24"/>
                <w:szCs w:val="24"/>
                <w:highlight w:val="none"/>
              </w:rPr>
              <w:t>规划情况</w:t>
            </w:r>
          </w:p>
        </w:tc>
        <w:tc>
          <w:tcPr>
            <w:tcW w:w="4354" w:type="pct"/>
            <w:gridSpan w:val="3"/>
            <w:vAlign w:val="center"/>
          </w:tcPr>
          <w:p w14:paraId="36F54C21">
            <w:pPr>
              <w:ind w:firstLine="480"/>
              <w:rPr>
                <w:color w:val="auto"/>
                <w:szCs w:val="24"/>
                <w:highlight w:val="none"/>
              </w:rPr>
            </w:pPr>
            <w:r>
              <w:rPr>
                <w:rFonts w:hint="eastAsia"/>
                <w:color w:val="auto"/>
                <w:szCs w:val="24"/>
                <w:highlight w:val="none"/>
              </w:rPr>
              <w:t>规划名称：《酉华镇总体规划（2015-2030年）》；</w:t>
            </w:r>
          </w:p>
          <w:p w14:paraId="7B766640">
            <w:pPr>
              <w:ind w:firstLine="480"/>
              <w:rPr>
                <w:color w:val="auto"/>
                <w:szCs w:val="24"/>
                <w:highlight w:val="none"/>
              </w:rPr>
            </w:pPr>
            <w:r>
              <w:rPr>
                <w:rFonts w:hint="eastAsia"/>
                <w:color w:val="auto"/>
                <w:szCs w:val="24"/>
                <w:highlight w:val="none"/>
              </w:rPr>
              <w:t>审批机关：/；</w:t>
            </w:r>
          </w:p>
          <w:p w14:paraId="083DA468">
            <w:pPr>
              <w:ind w:firstLine="480"/>
              <w:rPr>
                <w:color w:val="auto"/>
                <w:szCs w:val="24"/>
                <w:highlight w:val="none"/>
              </w:rPr>
            </w:pPr>
            <w:r>
              <w:rPr>
                <w:rFonts w:hint="eastAsia"/>
                <w:color w:val="auto"/>
                <w:szCs w:val="24"/>
                <w:highlight w:val="none"/>
              </w:rPr>
              <w:t>审批文件及文号：/。</w:t>
            </w:r>
          </w:p>
        </w:tc>
      </w:tr>
      <w:tr w14:paraId="173A9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5" w:type="pct"/>
            <w:vAlign w:val="center"/>
          </w:tcPr>
          <w:p w14:paraId="7F172E5A">
            <w:pPr>
              <w:pStyle w:val="13"/>
              <w:rPr>
                <w:b/>
                <w:bCs/>
                <w:color w:val="auto"/>
                <w:sz w:val="24"/>
                <w:szCs w:val="24"/>
                <w:highlight w:val="none"/>
              </w:rPr>
            </w:pPr>
            <w:r>
              <w:rPr>
                <w:rFonts w:hint="eastAsia"/>
                <w:b/>
                <w:bCs/>
                <w:color w:val="auto"/>
                <w:sz w:val="24"/>
                <w:szCs w:val="24"/>
                <w:highlight w:val="none"/>
              </w:rPr>
              <w:t>规划环境影响评价情况</w:t>
            </w:r>
          </w:p>
        </w:tc>
        <w:tc>
          <w:tcPr>
            <w:tcW w:w="4354" w:type="pct"/>
            <w:gridSpan w:val="3"/>
            <w:vAlign w:val="center"/>
          </w:tcPr>
          <w:p w14:paraId="375A1DEB">
            <w:pPr>
              <w:ind w:firstLine="480"/>
              <w:rPr>
                <w:color w:val="auto"/>
                <w:highlight w:val="none"/>
              </w:rPr>
            </w:pPr>
            <w:r>
              <w:rPr>
                <w:rFonts w:hint="eastAsia"/>
                <w:color w:val="auto"/>
                <w:szCs w:val="24"/>
                <w:highlight w:val="none"/>
              </w:rPr>
              <w:t>/</w:t>
            </w:r>
          </w:p>
        </w:tc>
      </w:tr>
      <w:tr w14:paraId="2DED5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5" w:type="pct"/>
            <w:vAlign w:val="center"/>
          </w:tcPr>
          <w:p w14:paraId="3DD35FF2">
            <w:pPr>
              <w:pStyle w:val="13"/>
              <w:rPr>
                <w:b/>
                <w:bCs/>
                <w:color w:val="auto"/>
                <w:sz w:val="24"/>
                <w:szCs w:val="24"/>
                <w:highlight w:val="none"/>
              </w:rPr>
            </w:pPr>
            <w:r>
              <w:rPr>
                <w:rFonts w:hint="eastAsia"/>
                <w:b/>
                <w:bCs/>
                <w:color w:val="auto"/>
                <w:sz w:val="24"/>
                <w:szCs w:val="24"/>
                <w:highlight w:val="none"/>
              </w:rPr>
              <w:t>规划及规划环境影响评价符合性分析</w:t>
            </w:r>
          </w:p>
        </w:tc>
        <w:tc>
          <w:tcPr>
            <w:tcW w:w="4354" w:type="pct"/>
            <w:gridSpan w:val="3"/>
            <w:vAlign w:val="center"/>
          </w:tcPr>
          <w:p w14:paraId="71149B35">
            <w:pPr>
              <w:pStyle w:val="2"/>
              <w:ind w:firstLine="482"/>
              <w:rPr>
                <w:color w:val="auto"/>
                <w:highlight w:val="none"/>
              </w:rPr>
            </w:pPr>
            <w:r>
              <w:rPr>
                <w:rFonts w:hint="eastAsia"/>
                <w:color w:val="auto"/>
                <w:highlight w:val="none"/>
              </w:rPr>
              <w:t>1、与《酉华镇总体规划（2015-2030年）》符合性分析</w:t>
            </w:r>
          </w:p>
          <w:p w14:paraId="3E93275B">
            <w:pPr>
              <w:ind w:firstLine="480"/>
              <w:rPr>
                <w:color w:val="auto"/>
                <w:highlight w:val="none"/>
              </w:rPr>
            </w:pPr>
            <w:r>
              <w:rPr>
                <w:rFonts w:hint="eastAsia"/>
                <w:color w:val="auto"/>
                <w:highlight w:val="none"/>
              </w:rPr>
              <w:t>规划期限：近期：2015～2018年；中期：2019～2023年；远期：2024～2030年。</w:t>
            </w:r>
          </w:p>
          <w:p w14:paraId="2E59A580">
            <w:pPr>
              <w:ind w:firstLine="480"/>
              <w:rPr>
                <w:color w:val="auto"/>
                <w:highlight w:val="none"/>
              </w:rPr>
            </w:pPr>
            <w:r>
              <w:rPr>
                <w:rFonts w:hint="eastAsia"/>
                <w:color w:val="auto"/>
                <w:highlight w:val="none"/>
              </w:rPr>
              <w:t>规划范围：规划的范围以镇域与集镇规划区两个层面来控制，镇域城镇体系规划范围为酉华镇现行行政区范围，规划总用地面为117.7平方公里。</w:t>
            </w:r>
          </w:p>
          <w:p w14:paraId="402EF85E">
            <w:pPr>
              <w:ind w:firstLine="480"/>
              <w:rPr>
                <w:color w:val="auto"/>
                <w:highlight w:val="none"/>
              </w:rPr>
            </w:pPr>
            <w:r>
              <w:rPr>
                <w:rFonts w:hint="eastAsia"/>
                <w:color w:val="auto"/>
                <w:highlight w:val="none"/>
              </w:rPr>
              <w:t>村镇总体发展目标：统筹城乡经济社会发展，加强区域协作与分工，到2030年，力争将酉华镇建设成为经济发达、设施完善、生态文明的矿业发展与旅游经济并重的乡镇，努力将酉华镇发展为华东地区的非金属材料基地。</w:t>
            </w:r>
          </w:p>
          <w:p w14:paraId="64FAF1F5">
            <w:pPr>
              <w:ind w:firstLine="480"/>
              <w:rPr>
                <w:color w:val="auto"/>
                <w:highlight w:val="none"/>
              </w:rPr>
            </w:pPr>
            <w:r>
              <w:rPr>
                <w:rFonts w:hint="eastAsia"/>
                <w:color w:val="auto"/>
                <w:highlight w:val="none"/>
              </w:rPr>
              <w:t>空间布局结构：酉华集镇分为两片，分别为镇驻地片区和石安副片区，形成南居住、北工业的格局，即“一主、一副、两区、一轴”。其中</w:t>
            </w:r>
          </w:p>
          <w:p w14:paraId="0A212C9B">
            <w:pPr>
              <w:ind w:firstLine="480"/>
              <w:rPr>
                <w:color w:val="auto"/>
                <w:highlight w:val="none"/>
              </w:rPr>
            </w:pPr>
            <w:r>
              <w:rPr>
                <w:rFonts w:hint="eastAsia"/>
                <w:color w:val="auto"/>
                <w:highlight w:val="none"/>
              </w:rPr>
              <w:t>【一主】：酉华镇酉华集镇；</w:t>
            </w:r>
          </w:p>
          <w:p w14:paraId="35B8FFAA">
            <w:pPr>
              <w:ind w:firstLine="480"/>
              <w:rPr>
                <w:color w:val="auto"/>
                <w:highlight w:val="none"/>
              </w:rPr>
            </w:pPr>
            <w:r>
              <w:rPr>
                <w:rFonts w:hint="eastAsia"/>
                <w:color w:val="auto"/>
                <w:highlight w:val="none"/>
              </w:rPr>
              <w:t>【一副】：以石安村产业集中区为主的副中心；</w:t>
            </w:r>
          </w:p>
          <w:p w14:paraId="1534EFEE">
            <w:pPr>
              <w:ind w:firstLine="480"/>
              <w:rPr>
                <w:color w:val="auto"/>
                <w:highlight w:val="none"/>
              </w:rPr>
            </w:pPr>
            <w:r>
              <w:rPr>
                <w:rFonts w:hint="eastAsia"/>
                <w:color w:val="auto"/>
                <w:highlight w:val="none"/>
              </w:rPr>
              <w:t>【两区】：以线域500KV高压线为界划分的南部生态保育区和北部城市建设区；</w:t>
            </w:r>
          </w:p>
          <w:p w14:paraId="2AE548C4">
            <w:pPr>
              <w:ind w:firstLine="480"/>
              <w:rPr>
                <w:color w:val="auto"/>
                <w:highlight w:val="none"/>
              </w:rPr>
            </w:pPr>
            <w:r>
              <w:rPr>
                <w:rFonts w:hint="eastAsia"/>
                <w:color w:val="auto"/>
                <w:highlight w:val="none"/>
              </w:rPr>
              <w:t>【一轴】：沿X032县道镇域发展主轴线。</w:t>
            </w:r>
          </w:p>
          <w:p w14:paraId="39254FBC">
            <w:pPr>
              <w:ind w:firstLine="480"/>
              <w:rPr>
                <w:color w:val="auto"/>
                <w:szCs w:val="24"/>
                <w:highlight w:val="none"/>
              </w:rPr>
            </w:pPr>
            <w:r>
              <w:rPr>
                <w:rFonts w:hint="eastAsia"/>
                <w:color w:val="auto"/>
                <w:highlight w:val="none"/>
              </w:rPr>
              <w:t>本项目位于酉华镇金峰村金元组</w:t>
            </w:r>
            <w:r>
              <w:rPr>
                <w:rFonts w:hint="eastAsia"/>
                <w:color w:val="auto"/>
                <w:szCs w:val="24"/>
                <w:highlight w:val="none"/>
              </w:rPr>
              <w:t>，预计2027年建设完成，在酉华镇总体规划的规划范围和规划期限内。</w:t>
            </w:r>
          </w:p>
          <w:p w14:paraId="6770B28A">
            <w:pPr>
              <w:ind w:firstLine="480"/>
              <w:rPr>
                <w:color w:val="auto"/>
                <w:szCs w:val="24"/>
                <w:highlight w:val="none"/>
              </w:rPr>
            </w:pPr>
            <w:r>
              <w:rPr>
                <w:rFonts w:hint="eastAsia"/>
                <w:color w:val="auto"/>
                <w:szCs w:val="24"/>
                <w:highlight w:val="none"/>
              </w:rPr>
              <w:t>本项目属于“十、农副食品加工业 13、谷物磨制 131*；饲料加工 132*”，符合于酉华镇“</w:t>
            </w:r>
            <w:r>
              <w:rPr>
                <w:rFonts w:hint="eastAsia"/>
                <w:color w:val="auto"/>
                <w:highlight w:val="none"/>
              </w:rPr>
              <w:t>经济发达、设施完善、生态文明乡镇</w:t>
            </w:r>
            <w:r>
              <w:rPr>
                <w:rFonts w:hint="eastAsia"/>
                <w:color w:val="auto"/>
                <w:szCs w:val="24"/>
                <w:highlight w:val="none"/>
              </w:rPr>
              <w:t>”的总体发展目标。</w:t>
            </w:r>
          </w:p>
          <w:p w14:paraId="697E50C4">
            <w:pPr>
              <w:ind w:firstLine="480"/>
              <w:rPr>
                <w:color w:val="auto"/>
                <w:highlight w:val="none"/>
              </w:rPr>
            </w:pPr>
            <w:r>
              <w:rPr>
                <w:rFonts w:hint="eastAsia"/>
                <w:color w:val="auto"/>
                <w:szCs w:val="24"/>
                <w:highlight w:val="none"/>
              </w:rPr>
              <w:t>项目位于</w:t>
            </w:r>
            <w:r>
              <w:rPr>
                <w:rFonts w:hint="eastAsia"/>
                <w:color w:val="auto"/>
                <w:highlight w:val="none"/>
              </w:rPr>
              <w:t>北部城市建设区，项目能为南部生态保育区提供畜牧饲料，符合酉华镇总体规划空间布局结构的划分。</w:t>
            </w:r>
          </w:p>
        </w:tc>
      </w:tr>
      <w:tr w14:paraId="36EAE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5" w:type="pct"/>
            <w:vAlign w:val="center"/>
          </w:tcPr>
          <w:p w14:paraId="05A19F72">
            <w:pPr>
              <w:pStyle w:val="13"/>
              <w:rPr>
                <w:b/>
                <w:bCs/>
                <w:color w:val="auto"/>
                <w:sz w:val="24"/>
                <w:szCs w:val="24"/>
                <w:highlight w:val="none"/>
              </w:rPr>
            </w:pPr>
            <w:r>
              <w:rPr>
                <w:rFonts w:hint="eastAsia"/>
                <w:b/>
                <w:bCs/>
                <w:color w:val="auto"/>
                <w:sz w:val="24"/>
                <w:szCs w:val="24"/>
                <w:highlight w:val="none"/>
              </w:rPr>
              <w:t>其他符合性分析</w:t>
            </w:r>
          </w:p>
        </w:tc>
        <w:tc>
          <w:tcPr>
            <w:tcW w:w="4354" w:type="pct"/>
            <w:gridSpan w:val="3"/>
            <w:vAlign w:val="center"/>
          </w:tcPr>
          <w:p w14:paraId="246E80CD">
            <w:pPr>
              <w:pStyle w:val="2"/>
              <w:ind w:firstLine="482"/>
              <w:rPr>
                <w:color w:val="auto"/>
                <w:highlight w:val="none"/>
              </w:rPr>
            </w:pPr>
            <w:r>
              <w:rPr>
                <w:rFonts w:hint="eastAsia"/>
                <w:color w:val="auto"/>
                <w:highlight w:val="none"/>
              </w:rPr>
              <w:t>1、产业政策符合性分析</w:t>
            </w:r>
          </w:p>
          <w:p w14:paraId="3E500EA4">
            <w:pPr>
              <w:ind w:firstLine="480"/>
              <w:rPr>
                <w:color w:val="auto"/>
                <w:highlight w:val="none"/>
              </w:rPr>
            </w:pPr>
            <w:r>
              <w:rPr>
                <w:rFonts w:hint="eastAsia"/>
                <w:color w:val="auto"/>
                <w:highlight w:val="none"/>
              </w:rPr>
              <w:t>本项目属于C1329 其他饲料加工，是对农作物秸秆综合利用，对照《产业结构调整指导目录（2024年本）》，项目属于“第一类 鼓励类”中“一、农林牧渔业 17．可再生资源综合利用：农作物秸秆综合利用（秸秆饲料化利用）”，项目为鼓励类项目。</w:t>
            </w:r>
          </w:p>
          <w:p w14:paraId="204E7F13">
            <w:pPr>
              <w:ind w:firstLine="480"/>
              <w:rPr>
                <w:color w:val="auto"/>
                <w:highlight w:val="none"/>
              </w:rPr>
            </w:pPr>
            <w:r>
              <w:rPr>
                <w:rFonts w:hint="eastAsia"/>
                <w:color w:val="auto"/>
                <w:highlight w:val="none"/>
              </w:rPr>
              <w:t>项目位于酉华镇金峰村金元组，已在青阳县发展和改革委员会备案，备案号：青发改〔2025〕256号，项目代码：2505-341723-04-01-349170。</w:t>
            </w:r>
          </w:p>
          <w:p w14:paraId="7E6DB90A">
            <w:pPr>
              <w:ind w:firstLine="480"/>
              <w:rPr>
                <w:color w:val="auto"/>
                <w:highlight w:val="none"/>
              </w:rPr>
            </w:pPr>
            <w:r>
              <w:rPr>
                <w:rFonts w:hint="eastAsia"/>
                <w:color w:val="auto"/>
                <w:highlight w:val="none"/>
              </w:rPr>
              <w:t>因此，本项目的建设符合国家和地方的产业政策。</w:t>
            </w:r>
          </w:p>
          <w:p w14:paraId="5260BD3A">
            <w:pPr>
              <w:pStyle w:val="2"/>
              <w:ind w:firstLine="482"/>
              <w:rPr>
                <w:color w:val="auto"/>
                <w:highlight w:val="none"/>
              </w:rPr>
            </w:pPr>
            <w:r>
              <w:rPr>
                <w:rFonts w:hint="eastAsia"/>
                <w:color w:val="auto"/>
                <w:highlight w:val="none"/>
              </w:rPr>
              <w:t>2、选址合理性分析</w:t>
            </w:r>
          </w:p>
          <w:p w14:paraId="64483901">
            <w:pPr>
              <w:pStyle w:val="3"/>
              <w:ind w:firstLine="482"/>
              <w:rPr>
                <w:color w:val="auto"/>
                <w:highlight w:val="none"/>
              </w:rPr>
            </w:pPr>
            <w:r>
              <w:rPr>
                <w:rFonts w:hint="eastAsia"/>
                <w:color w:val="auto"/>
                <w:highlight w:val="none"/>
              </w:rPr>
              <w:t>（1）用地性质符合性</w:t>
            </w:r>
          </w:p>
          <w:p w14:paraId="41BFBA86">
            <w:pPr>
              <w:ind w:firstLine="480"/>
              <w:rPr>
                <w:color w:val="auto"/>
                <w:highlight w:val="none"/>
              </w:rPr>
            </w:pPr>
            <w:r>
              <w:rPr>
                <w:rFonts w:hint="eastAsia"/>
                <w:color w:val="auto"/>
                <w:highlight w:val="none"/>
              </w:rPr>
              <w:t>本项目选址于酉华镇金峰村金元组，购买安徽省青阳县荣华炉料有限公司现有闲置的1.7443公顷土地，用地性质属于城镇发展用地。对照《自然资源要素支撑产业高质量发展指导目录（2024年本）》，本项目属于鼓励类项目。</w:t>
            </w:r>
          </w:p>
          <w:p w14:paraId="73637461">
            <w:pPr>
              <w:ind w:firstLine="480"/>
              <w:rPr>
                <w:color w:val="auto"/>
                <w:highlight w:val="none"/>
              </w:rPr>
            </w:pPr>
            <w:r>
              <w:rPr>
                <w:rFonts w:hint="eastAsia"/>
                <w:color w:val="auto"/>
                <w:highlight w:val="none"/>
              </w:rPr>
              <w:t>项目用地符合土地利用现状要求。</w:t>
            </w:r>
          </w:p>
          <w:p w14:paraId="497494F0">
            <w:pPr>
              <w:pStyle w:val="3"/>
              <w:ind w:firstLine="482"/>
              <w:rPr>
                <w:color w:val="auto"/>
                <w:highlight w:val="none"/>
              </w:rPr>
            </w:pPr>
            <w:r>
              <w:rPr>
                <w:rFonts w:hint="eastAsia"/>
                <w:color w:val="auto"/>
                <w:highlight w:val="none"/>
              </w:rPr>
              <w:t>（2）周边环境相容性分析</w:t>
            </w:r>
          </w:p>
          <w:p w14:paraId="1882A404">
            <w:pPr>
              <w:ind w:firstLine="480"/>
              <w:rPr>
                <w:color w:val="auto"/>
                <w:highlight w:val="none"/>
              </w:rPr>
            </w:pPr>
            <w:r>
              <w:rPr>
                <w:rFonts w:hint="eastAsia"/>
                <w:color w:val="auto"/>
                <w:highlight w:val="none"/>
              </w:rPr>
              <w:t>本项目选址于酉华镇金峰村金元组，周边分布有大量农户及集体用地，项目实施可实现农作物秸秆综合利用与畜牧业协同发展，具有良好的资源利用与产业带动效益，区域产业配套条件较好。项目西侧与安徽省青阳县荣华炉料有限公司毗邻。项目周边环境概况详见附图3。</w:t>
            </w:r>
          </w:p>
          <w:p w14:paraId="42C9DF33">
            <w:pPr>
              <w:ind w:firstLine="480"/>
              <w:rPr>
                <w:rFonts w:hint="eastAsia"/>
                <w:color w:val="auto"/>
                <w:highlight w:val="none"/>
              </w:rPr>
            </w:pPr>
            <w:r>
              <w:rPr>
                <w:rFonts w:hint="eastAsia"/>
                <w:color w:val="auto"/>
                <w:highlight w:val="none"/>
              </w:rPr>
              <w:t>项目50m内没有声环境敏感区，500m范围内有大气环境保护目标，周边无自然保护区、风景名胜区、饮用水水源保护区等其他环境敏感点，详见附图4。</w:t>
            </w:r>
            <w:r>
              <w:rPr>
                <w:rFonts w:hint="eastAsia"/>
                <w:color w:val="auto"/>
                <w:highlight w:val="none"/>
              </w:rPr>
              <w:t>本项目距离与长江岸线距离约31km，距离长江二级支流南河岸线距离约2151m。</w:t>
            </w:r>
          </w:p>
          <w:p w14:paraId="769D7480">
            <w:pPr>
              <w:ind w:firstLine="480"/>
              <w:rPr>
                <w:color w:val="auto"/>
                <w:highlight w:val="none"/>
              </w:rPr>
            </w:pPr>
            <w:r>
              <w:rPr>
                <w:rFonts w:hint="eastAsia"/>
                <w:color w:val="auto"/>
                <w:highlight w:val="none"/>
              </w:rPr>
              <w:t>项目运营期污染物可达标排放，对周边环境影响较小，与周边环境相容。</w:t>
            </w:r>
          </w:p>
          <w:p w14:paraId="118B454B">
            <w:pPr>
              <w:pStyle w:val="3"/>
              <w:ind w:firstLine="482"/>
              <w:rPr>
                <w:color w:val="auto"/>
                <w:highlight w:val="none"/>
              </w:rPr>
            </w:pPr>
            <w:r>
              <w:rPr>
                <w:rFonts w:hint="eastAsia"/>
                <w:color w:val="auto"/>
                <w:highlight w:val="none"/>
              </w:rPr>
              <w:t>（3）外部建设条件可行性</w:t>
            </w:r>
          </w:p>
          <w:p w14:paraId="26EE0C37">
            <w:pPr>
              <w:ind w:firstLine="480"/>
              <w:rPr>
                <w:color w:val="auto"/>
                <w:highlight w:val="none"/>
              </w:rPr>
            </w:pPr>
            <w:r>
              <w:rPr>
                <w:rFonts w:hint="eastAsia"/>
                <w:color w:val="auto"/>
                <w:highlight w:val="none"/>
              </w:rPr>
              <w:t>本项目位于酉华镇金峰村金元组内，所在地理位置条件较好，交通便利，区域水、电、通讯等基础配套设施齐全。</w:t>
            </w:r>
          </w:p>
          <w:p w14:paraId="6F62A899">
            <w:pPr>
              <w:ind w:firstLine="480"/>
              <w:rPr>
                <w:color w:val="auto"/>
                <w:highlight w:val="none"/>
              </w:rPr>
            </w:pPr>
            <w:r>
              <w:rPr>
                <w:rFonts w:hint="eastAsia"/>
                <w:color w:val="auto"/>
                <w:highlight w:val="none"/>
              </w:rPr>
              <w:t>综上，项目选址与周边环境具有相容性。</w:t>
            </w:r>
          </w:p>
        </w:tc>
      </w:tr>
    </w:tbl>
    <w:p w14:paraId="6DA20040">
      <w:pPr>
        <w:ind w:firstLine="480"/>
        <w:rPr>
          <w:color w:val="auto"/>
          <w:highlight w:val="none"/>
        </w:rPr>
        <w:sectPr>
          <w:footerReference r:id="rId11" w:type="default"/>
          <w:pgSz w:w="11906" w:h="16838"/>
          <w:pgMar w:top="1134" w:right="1247" w:bottom="1247" w:left="1134" w:header="851" w:footer="850" w:gutter="0"/>
          <w:pgNumType w:start="1"/>
          <w:cols w:space="425" w:num="1"/>
          <w:docGrid w:type="lines" w:linePitch="312" w:charSpace="0"/>
        </w:sect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73"/>
      </w:tblGrid>
      <w:tr w14:paraId="13485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73" w:type="dxa"/>
          </w:tcPr>
          <w:p w14:paraId="7AF078CE">
            <w:pPr>
              <w:pStyle w:val="2"/>
              <w:ind w:firstLine="482"/>
              <w:rPr>
                <w:color w:val="auto"/>
                <w:highlight w:val="none"/>
              </w:rPr>
            </w:pPr>
            <w:r>
              <w:rPr>
                <w:rFonts w:hint="eastAsia"/>
                <w:color w:val="auto"/>
                <w:highlight w:val="none"/>
              </w:rPr>
              <w:t>3、“三线一单”符合性分析</w:t>
            </w:r>
          </w:p>
          <w:p w14:paraId="765763DB">
            <w:pPr>
              <w:ind w:firstLine="480"/>
              <w:rPr>
                <w:color w:val="auto"/>
                <w:highlight w:val="none"/>
              </w:rPr>
            </w:pPr>
            <w:r>
              <w:rPr>
                <w:color w:val="auto"/>
                <w:highlight w:val="none"/>
              </w:rPr>
              <w:t>根据《安徽省</w:t>
            </w:r>
            <w:r>
              <w:rPr>
                <w:rFonts w:hint="eastAsia"/>
                <w:color w:val="auto"/>
                <w:highlight w:val="none"/>
              </w:rPr>
              <w:t>“</w:t>
            </w:r>
            <w:r>
              <w:rPr>
                <w:color w:val="auto"/>
                <w:highlight w:val="none"/>
              </w:rPr>
              <w:t>三线一单</w:t>
            </w:r>
            <w:r>
              <w:rPr>
                <w:rFonts w:hint="eastAsia"/>
                <w:color w:val="auto"/>
                <w:highlight w:val="none"/>
              </w:rPr>
              <w:t>”</w:t>
            </w:r>
            <w:r>
              <w:rPr>
                <w:color w:val="auto"/>
                <w:highlight w:val="none"/>
              </w:rPr>
              <w:t>生态环境分区管控管理办法（暂行）》（皖环发</w:t>
            </w:r>
            <w:r>
              <w:rPr>
                <w:rFonts w:hint="eastAsia"/>
                <w:color w:val="auto"/>
                <w:highlight w:val="none"/>
              </w:rPr>
              <w:t>〔</w:t>
            </w:r>
            <w:r>
              <w:rPr>
                <w:color w:val="auto"/>
                <w:highlight w:val="none"/>
              </w:rPr>
              <w:t>2022</w:t>
            </w:r>
            <w:r>
              <w:rPr>
                <w:rFonts w:hint="eastAsia"/>
                <w:color w:val="auto"/>
                <w:highlight w:val="none"/>
              </w:rPr>
              <w:t>〕</w:t>
            </w:r>
            <w:r>
              <w:rPr>
                <w:color w:val="auto"/>
                <w:highlight w:val="none"/>
              </w:rPr>
              <w:t>5号）要求，在建设项目环评中，做好与</w:t>
            </w:r>
            <w:r>
              <w:rPr>
                <w:rFonts w:hint="eastAsia"/>
                <w:color w:val="auto"/>
                <w:highlight w:val="none"/>
              </w:rPr>
              <w:t>“</w:t>
            </w:r>
            <w:r>
              <w:rPr>
                <w:color w:val="auto"/>
                <w:highlight w:val="none"/>
              </w:rPr>
              <w:t>三线一单</w:t>
            </w:r>
            <w:r>
              <w:rPr>
                <w:rFonts w:hint="eastAsia"/>
                <w:color w:val="auto"/>
                <w:highlight w:val="none"/>
              </w:rPr>
              <w:t>”</w:t>
            </w:r>
            <w:r>
              <w:rPr>
                <w:color w:val="auto"/>
                <w:highlight w:val="none"/>
              </w:rPr>
              <w:t>生态环境分区管控相符性分析，充分论证是否符合生态环境准入清单要求，对不符合的依法不予审批。以及生态环境部《关于以改善环境质量为核心加强环境影响评价管理的通知》（环环评</w:t>
            </w:r>
            <w:r>
              <w:rPr>
                <w:rFonts w:hint="eastAsia"/>
                <w:color w:val="auto"/>
                <w:highlight w:val="none"/>
              </w:rPr>
              <w:t>〔</w:t>
            </w:r>
            <w:r>
              <w:rPr>
                <w:color w:val="auto"/>
                <w:highlight w:val="none"/>
              </w:rPr>
              <w:t>2016</w:t>
            </w:r>
            <w:r>
              <w:rPr>
                <w:rFonts w:hint="eastAsia"/>
                <w:color w:val="auto"/>
                <w:highlight w:val="none"/>
              </w:rPr>
              <w:t>〕</w:t>
            </w:r>
            <w:r>
              <w:rPr>
                <w:color w:val="auto"/>
                <w:highlight w:val="none"/>
              </w:rPr>
              <w:t>150号）要求：切实加强环境影响评价管理，落实</w:t>
            </w:r>
            <w:r>
              <w:rPr>
                <w:rFonts w:hint="eastAsia"/>
                <w:color w:val="auto"/>
                <w:highlight w:val="none"/>
              </w:rPr>
              <w:t>“</w:t>
            </w:r>
            <w:r>
              <w:rPr>
                <w:color w:val="auto"/>
                <w:highlight w:val="none"/>
              </w:rPr>
              <w:t>生态保护红线、环境质量底线、资源利用上线和环境准入负面清单</w:t>
            </w:r>
            <w:r>
              <w:rPr>
                <w:rFonts w:hint="eastAsia"/>
                <w:color w:val="auto"/>
                <w:highlight w:val="none"/>
              </w:rPr>
              <w:t>”</w:t>
            </w:r>
            <w:r>
              <w:rPr>
                <w:color w:val="auto"/>
                <w:highlight w:val="none"/>
              </w:rPr>
              <w:t>约束，建立项目环评审批与规划环评、现有项目环境管理、区域环境质量联动机制，更好地发挥环评制度从源头防范环境污染和生态破坏的作用，加快推进改善环境质量。判定本项目与</w:t>
            </w:r>
            <w:r>
              <w:rPr>
                <w:rFonts w:hint="eastAsia"/>
                <w:color w:val="auto"/>
                <w:highlight w:val="none"/>
              </w:rPr>
              <w:t>“</w:t>
            </w:r>
            <w:r>
              <w:rPr>
                <w:color w:val="auto"/>
                <w:highlight w:val="none"/>
              </w:rPr>
              <w:t>三线一单</w:t>
            </w:r>
            <w:r>
              <w:rPr>
                <w:rFonts w:hint="eastAsia"/>
                <w:color w:val="auto"/>
                <w:highlight w:val="none"/>
              </w:rPr>
              <w:t>”</w:t>
            </w:r>
            <w:r>
              <w:rPr>
                <w:color w:val="auto"/>
                <w:highlight w:val="none"/>
              </w:rPr>
              <w:t>相符性如下：</w:t>
            </w:r>
          </w:p>
          <w:p w14:paraId="119EAD7D">
            <w:pPr>
              <w:pStyle w:val="14"/>
              <w:spacing w:before="0" w:beforeLines="0"/>
              <w:rPr>
                <w:color w:val="auto"/>
                <w:highlight w:val="none"/>
              </w:rPr>
            </w:pPr>
            <w:r>
              <w:rPr>
                <w:color w:val="auto"/>
                <w:highlight w:val="none"/>
              </w:rPr>
              <w:t>表1-</w:t>
            </w:r>
            <w:r>
              <w:rPr>
                <w:rFonts w:hint="eastAsia"/>
                <w:color w:val="auto"/>
                <w:highlight w:val="none"/>
                <w:lang w:val="en-US" w:eastAsia="zh-CN"/>
              </w:rPr>
              <w:t>2</w:t>
            </w:r>
            <w:r>
              <w:rPr>
                <w:color w:val="auto"/>
                <w:highlight w:val="none"/>
              </w:rPr>
              <w:t xml:space="preserve">  </w:t>
            </w:r>
            <w:r>
              <w:rPr>
                <w:rFonts w:hint="eastAsia"/>
                <w:color w:val="auto"/>
                <w:highlight w:val="none"/>
              </w:rPr>
              <w:t>“</w:t>
            </w:r>
            <w:r>
              <w:rPr>
                <w:color w:val="auto"/>
                <w:highlight w:val="none"/>
              </w:rPr>
              <w:t>三线一单</w:t>
            </w:r>
            <w:r>
              <w:rPr>
                <w:rFonts w:hint="eastAsia"/>
                <w:color w:val="auto"/>
                <w:highlight w:val="none"/>
              </w:rPr>
              <w:t>”</w:t>
            </w:r>
            <w:r>
              <w:rPr>
                <w:color w:val="auto"/>
                <w:highlight w:val="none"/>
              </w:rPr>
              <w:t>相符性分析</w:t>
            </w:r>
          </w:p>
          <w:tbl>
            <w:tblPr>
              <w:tblStyle w:val="10"/>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8"/>
              <w:gridCol w:w="372"/>
              <w:gridCol w:w="8946"/>
              <w:gridCol w:w="4318"/>
              <w:gridCol w:w="439"/>
            </w:tblGrid>
            <w:tr w14:paraId="3E36C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3351" w:type="pct"/>
                  <w:gridSpan w:val="3"/>
                  <w:vAlign w:val="center"/>
                </w:tcPr>
                <w:p w14:paraId="0F7261AA">
                  <w:pPr>
                    <w:pStyle w:val="13"/>
                    <w:rPr>
                      <w:b/>
                      <w:bCs/>
                      <w:color w:val="auto"/>
                      <w:highlight w:val="none"/>
                    </w:rPr>
                  </w:pPr>
                  <w:r>
                    <w:rPr>
                      <w:b/>
                      <w:bCs/>
                      <w:color w:val="auto"/>
                      <w:highlight w:val="none"/>
                    </w:rPr>
                    <w:t>《长江经济带战略环境评价池州市</w:t>
                  </w:r>
                  <w:r>
                    <w:rPr>
                      <w:rFonts w:hint="eastAsia"/>
                      <w:b/>
                      <w:bCs/>
                      <w:color w:val="auto"/>
                      <w:highlight w:val="none"/>
                    </w:rPr>
                    <w:t>“</w:t>
                  </w:r>
                  <w:r>
                    <w:rPr>
                      <w:b/>
                      <w:bCs/>
                      <w:color w:val="auto"/>
                      <w:highlight w:val="none"/>
                    </w:rPr>
                    <w:t>三线一单</w:t>
                  </w:r>
                  <w:r>
                    <w:rPr>
                      <w:rFonts w:hint="eastAsia"/>
                      <w:b/>
                      <w:bCs/>
                      <w:color w:val="auto"/>
                      <w:highlight w:val="none"/>
                    </w:rPr>
                    <w:t>”</w:t>
                  </w:r>
                  <w:r>
                    <w:rPr>
                      <w:b/>
                      <w:bCs/>
                      <w:color w:val="auto"/>
                      <w:highlight w:val="none"/>
                    </w:rPr>
                    <w:t>文本》要求</w:t>
                  </w:r>
                </w:p>
              </w:tc>
              <w:tc>
                <w:tcPr>
                  <w:tcW w:w="1496" w:type="pct"/>
                  <w:vAlign w:val="center"/>
                </w:tcPr>
                <w:p w14:paraId="321974A6">
                  <w:pPr>
                    <w:pStyle w:val="13"/>
                    <w:rPr>
                      <w:b/>
                      <w:bCs/>
                      <w:color w:val="auto"/>
                      <w:highlight w:val="none"/>
                    </w:rPr>
                  </w:pPr>
                  <w:r>
                    <w:rPr>
                      <w:b/>
                      <w:bCs/>
                      <w:color w:val="auto"/>
                      <w:highlight w:val="none"/>
                    </w:rPr>
                    <w:t>本项目情况</w:t>
                  </w:r>
                </w:p>
              </w:tc>
              <w:tc>
                <w:tcPr>
                  <w:tcW w:w="152" w:type="pct"/>
                  <w:vAlign w:val="center"/>
                </w:tcPr>
                <w:p w14:paraId="159CDF7F">
                  <w:pPr>
                    <w:pStyle w:val="13"/>
                    <w:rPr>
                      <w:b/>
                      <w:bCs/>
                      <w:color w:val="auto"/>
                      <w:highlight w:val="none"/>
                    </w:rPr>
                  </w:pPr>
                  <w:r>
                    <w:rPr>
                      <w:rFonts w:hint="eastAsia"/>
                      <w:b/>
                      <w:bCs/>
                      <w:color w:val="auto"/>
                      <w:highlight w:val="none"/>
                    </w:rPr>
                    <w:t>符合性</w:t>
                  </w:r>
                </w:p>
              </w:tc>
            </w:tr>
            <w:tr w14:paraId="49514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53" w:type="pct"/>
                  <w:gridSpan w:val="2"/>
                  <w:vAlign w:val="center"/>
                </w:tcPr>
                <w:p w14:paraId="558EBAF5">
                  <w:pPr>
                    <w:pStyle w:val="13"/>
                    <w:rPr>
                      <w:color w:val="auto"/>
                      <w:highlight w:val="none"/>
                    </w:rPr>
                  </w:pPr>
                  <w:r>
                    <w:rPr>
                      <w:rFonts w:hint="eastAsia"/>
                      <w:color w:val="auto"/>
                      <w:highlight w:val="none"/>
                    </w:rPr>
                    <w:t>生态保护红线</w:t>
                  </w:r>
                </w:p>
              </w:tc>
              <w:tc>
                <w:tcPr>
                  <w:tcW w:w="3097" w:type="pct"/>
                  <w:vAlign w:val="center"/>
                </w:tcPr>
                <w:p w14:paraId="5FA71DF9">
                  <w:pPr>
                    <w:pStyle w:val="13"/>
                    <w:jc w:val="left"/>
                    <w:rPr>
                      <w:color w:val="auto"/>
                      <w:highlight w:val="none"/>
                    </w:rPr>
                  </w:pPr>
                  <w:r>
                    <w:rPr>
                      <w:color w:val="auto"/>
                      <w:highlight w:val="none"/>
                    </w:rPr>
                    <w:t>①生态红线：</w:t>
                  </w:r>
                  <w:r>
                    <w:rPr>
                      <w:rFonts w:hint="eastAsia"/>
                      <w:color w:val="auto"/>
                      <w:highlight w:val="none"/>
                    </w:rPr>
                    <w:t>根据《关于在全国开展“三区三线”划定工作的函》（自然资函〔2022〕47号）和《关于印发安徽省“三区三线”划定工作方案的通知》（皖自然资〔2022〕194号），池州市生态保护红线更新后面积为2640.17k</w:t>
                  </w:r>
                  <w:r>
                    <w:rPr>
                      <w:color w:val="auto"/>
                      <w:highlight w:val="none"/>
                    </w:rPr>
                    <w:t>m²</w:t>
                  </w:r>
                  <w:r>
                    <w:rPr>
                      <w:rFonts w:hint="eastAsia"/>
                      <w:color w:val="auto"/>
                      <w:highlight w:val="none"/>
                    </w:rPr>
                    <w:t>，占全市国土面积的31.56%。池州市生态保护红线空间格局呈现为东部山区集中连片多，南北两翼分散的特点，其主要生态功能为水源涵养、水土保持和生物多样性维持。</w:t>
                  </w:r>
                </w:p>
              </w:tc>
              <w:tc>
                <w:tcPr>
                  <w:tcW w:w="1496" w:type="pct"/>
                  <w:vAlign w:val="center"/>
                </w:tcPr>
                <w:p w14:paraId="2935B28C">
                  <w:pPr>
                    <w:pStyle w:val="13"/>
                    <w:rPr>
                      <w:color w:val="auto"/>
                      <w:highlight w:val="none"/>
                    </w:rPr>
                  </w:pPr>
                  <w:r>
                    <w:rPr>
                      <w:rFonts w:hint="eastAsia"/>
                      <w:color w:val="auto"/>
                      <w:highlight w:val="none"/>
                    </w:rPr>
                    <w:t>本项目位于酉华镇金峰村金元组，根据《池州市生态保护红线》，项目所在地不属于自然生态红线区，不涉及生态环境保护红线范围内用地，符合生态保护红线要求。详见</w:t>
                  </w:r>
                  <w:r>
                    <w:rPr>
                      <w:color w:val="auto"/>
                      <w:highlight w:val="none"/>
                    </w:rPr>
                    <w:t>图</w:t>
                  </w:r>
                  <w:r>
                    <w:rPr>
                      <w:rFonts w:hint="eastAsia"/>
                      <w:color w:val="auto"/>
                      <w:highlight w:val="none"/>
                    </w:rPr>
                    <w:t>1-2</w:t>
                  </w:r>
                  <w:r>
                    <w:rPr>
                      <w:color w:val="auto"/>
                      <w:highlight w:val="none"/>
                    </w:rPr>
                    <w:t>。</w:t>
                  </w:r>
                </w:p>
              </w:tc>
              <w:tc>
                <w:tcPr>
                  <w:tcW w:w="152" w:type="pct"/>
                  <w:vAlign w:val="center"/>
                </w:tcPr>
                <w:p w14:paraId="0C0F7D94">
                  <w:pPr>
                    <w:pStyle w:val="13"/>
                    <w:rPr>
                      <w:color w:val="auto"/>
                      <w:highlight w:val="none"/>
                    </w:rPr>
                  </w:pPr>
                  <w:r>
                    <w:rPr>
                      <w:rFonts w:hint="eastAsia"/>
                      <w:color w:val="auto"/>
                      <w:highlight w:val="none"/>
                    </w:rPr>
                    <w:t>符合</w:t>
                  </w:r>
                </w:p>
              </w:tc>
            </w:tr>
            <w:tr w14:paraId="3DE3A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24" w:type="pct"/>
                  <w:vMerge w:val="restart"/>
                  <w:vAlign w:val="center"/>
                </w:tcPr>
                <w:p w14:paraId="4EF5FA0E">
                  <w:pPr>
                    <w:pStyle w:val="13"/>
                    <w:rPr>
                      <w:color w:val="auto"/>
                      <w:highlight w:val="none"/>
                    </w:rPr>
                  </w:pPr>
                  <w:r>
                    <w:rPr>
                      <w:rFonts w:hint="eastAsia"/>
                      <w:color w:val="auto"/>
                      <w:highlight w:val="none"/>
                    </w:rPr>
                    <w:t>环境质量底线</w:t>
                  </w:r>
                </w:p>
              </w:tc>
              <w:tc>
                <w:tcPr>
                  <w:tcW w:w="129" w:type="pct"/>
                  <w:vAlign w:val="center"/>
                </w:tcPr>
                <w:p w14:paraId="4D86DA0E">
                  <w:pPr>
                    <w:pStyle w:val="13"/>
                    <w:rPr>
                      <w:color w:val="auto"/>
                      <w:highlight w:val="none"/>
                    </w:rPr>
                  </w:pPr>
                  <w:r>
                    <w:rPr>
                      <w:color w:val="auto"/>
                      <w:highlight w:val="none"/>
                    </w:rPr>
                    <w:t>大气环境</w:t>
                  </w:r>
                </w:p>
              </w:tc>
              <w:tc>
                <w:tcPr>
                  <w:tcW w:w="3097" w:type="pct"/>
                  <w:vAlign w:val="center"/>
                </w:tcPr>
                <w:p w14:paraId="4968254D">
                  <w:pPr>
                    <w:pStyle w:val="13"/>
                    <w:jc w:val="left"/>
                    <w:rPr>
                      <w:color w:val="auto"/>
                      <w:highlight w:val="none"/>
                    </w:rPr>
                  </w:pPr>
                  <w:r>
                    <w:rPr>
                      <w:color w:val="auto"/>
                      <w:highlight w:val="none"/>
                    </w:rPr>
                    <w:t>依据《中华人民共和国大气污染防治法》</w:t>
                  </w:r>
                  <w:r>
                    <w:rPr>
                      <w:rFonts w:hint="eastAsia"/>
                      <w:color w:val="auto"/>
                      <w:highlight w:val="none"/>
                    </w:rPr>
                    <w:t>、</w:t>
                  </w:r>
                  <w:r>
                    <w:rPr>
                      <w:color w:val="auto"/>
                      <w:highlight w:val="none"/>
                    </w:rPr>
                    <w:t>《安徽省大气污染防治条例》等法律法规和规章对优先保护区实施管控；依据《国家森林公园管理条例》</w:t>
                  </w:r>
                  <w:r>
                    <w:rPr>
                      <w:rFonts w:hint="eastAsia"/>
                      <w:color w:val="auto"/>
                      <w:highlight w:val="none"/>
                    </w:rPr>
                    <w:t>、</w:t>
                  </w:r>
                  <w:r>
                    <w:rPr>
                      <w:color w:val="auto"/>
                      <w:highlight w:val="none"/>
                    </w:rPr>
                    <w:t>《安徽省森林公园管理条例》等法律法规和规章对森林公园实施管控；依据《地质遗迹保护管理规定》对地质公园实施管控；依据《国家风景名胜区管理条例》</w:t>
                  </w:r>
                  <w:r>
                    <w:rPr>
                      <w:rFonts w:hint="eastAsia"/>
                      <w:color w:val="auto"/>
                      <w:highlight w:val="none"/>
                    </w:rPr>
                    <w:t>、</w:t>
                  </w:r>
                  <w:r>
                    <w:rPr>
                      <w:color w:val="auto"/>
                      <w:highlight w:val="none"/>
                    </w:rPr>
                    <w:t>《安徽省九华山风景名胜区管理条例》以及安徽省人民政府办公厅《关于加强风景名胜区规划建设管理工作的意见》等法律法规和规章对各类风景名胜区实施管控；依据《中华人民共和国自然保护区条例》等法律法规和规章对各类自然保护区实施管控。</w:t>
                  </w:r>
                </w:p>
              </w:tc>
              <w:tc>
                <w:tcPr>
                  <w:tcW w:w="1496" w:type="pct"/>
                  <w:vAlign w:val="center"/>
                </w:tcPr>
                <w:p w14:paraId="3B6BC920">
                  <w:pPr>
                    <w:pStyle w:val="13"/>
                    <w:rPr>
                      <w:color w:val="auto"/>
                      <w:highlight w:val="none"/>
                    </w:rPr>
                  </w:pPr>
                  <w:r>
                    <w:rPr>
                      <w:color w:val="auto"/>
                      <w:highlight w:val="none"/>
                    </w:rPr>
                    <w:t>根据《202</w:t>
                  </w:r>
                  <w:r>
                    <w:rPr>
                      <w:rFonts w:hint="eastAsia"/>
                      <w:color w:val="auto"/>
                      <w:highlight w:val="none"/>
                    </w:rPr>
                    <w:t>4</w:t>
                  </w:r>
                  <w:r>
                    <w:rPr>
                      <w:color w:val="auto"/>
                      <w:highlight w:val="none"/>
                    </w:rPr>
                    <w:t>年青阳县环境质量状况公报》，项目</w:t>
                  </w:r>
                  <w:r>
                    <w:rPr>
                      <w:rFonts w:hint="eastAsia"/>
                      <w:color w:val="auto"/>
                      <w:highlight w:val="none"/>
                    </w:rPr>
                    <w:t>处</w:t>
                  </w:r>
                  <w:r>
                    <w:rPr>
                      <w:color w:val="auto"/>
                      <w:highlight w:val="none"/>
                    </w:rPr>
                    <w:t>于大气环境质量达标区，</w:t>
                  </w:r>
                  <w:r>
                    <w:rPr>
                      <w:rFonts w:hint="eastAsia"/>
                      <w:color w:val="auto"/>
                      <w:highlight w:val="none"/>
                      <w:lang w:val="en-US" w:eastAsia="zh-CN"/>
                    </w:rPr>
                    <w:t>废气</w:t>
                  </w:r>
                  <w:r>
                    <w:rPr>
                      <w:rFonts w:hint="eastAsia"/>
                      <w:color w:val="auto"/>
                      <w:highlight w:val="none"/>
                    </w:rPr>
                    <w:t>经处理后达标排放</w:t>
                  </w:r>
                  <w:r>
                    <w:rPr>
                      <w:color w:val="auto"/>
                      <w:highlight w:val="none"/>
                    </w:rPr>
                    <w:t>。项目位于</w:t>
                  </w:r>
                  <w:r>
                    <w:rPr>
                      <w:rFonts w:hint="eastAsia"/>
                      <w:color w:val="auto"/>
                      <w:highlight w:val="none"/>
                    </w:rPr>
                    <w:t>大气环境分区管控其他区域，详</w:t>
                  </w:r>
                  <w:r>
                    <w:rPr>
                      <w:color w:val="auto"/>
                      <w:highlight w:val="none"/>
                    </w:rPr>
                    <w:t>见图1-</w:t>
                  </w:r>
                  <w:r>
                    <w:rPr>
                      <w:rFonts w:hint="eastAsia"/>
                      <w:color w:val="auto"/>
                      <w:highlight w:val="none"/>
                    </w:rPr>
                    <w:t>3</w:t>
                  </w:r>
                  <w:r>
                    <w:rPr>
                      <w:color w:val="auto"/>
                      <w:highlight w:val="none"/>
                    </w:rPr>
                    <w:t>。</w:t>
                  </w:r>
                </w:p>
              </w:tc>
              <w:tc>
                <w:tcPr>
                  <w:tcW w:w="152" w:type="pct"/>
                  <w:vAlign w:val="center"/>
                </w:tcPr>
                <w:p w14:paraId="310F9569">
                  <w:pPr>
                    <w:pStyle w:val="13"/>
                    <w:rPr>
                      <w:color w:val="auto"/>
                      <w:highlight w:val="none"/>
                    </w:rPr>
                  </w:pPr>
                  <w:r>
                    <w:rPr>
                      <w:rFonts w:hint="eastAsia"/>
                      <w:color w:val="auto"/>
                      <w:highlight w:val="none"/>
                    </w:rPr>
                    <w:t>符合</w:t>
                  </w:r>
                </w:p>
              </w:tc>
            </w:tr>
            <w:tr w14:paraId="78ABE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24" w:type="pct"/>
                  <w:vMerge w:val="continue"/>
                  <w:vAlign w:val="center"/>
                </w:tcPr>
                <w:p w14:paraId="627A0408">
                  <w:pPr>
                    <w:pStyle w:val="13"/>
                    <w:rPr>
                      <w:color w:val="auto"/>
                      <w:highlight w:val="none"/>
                    </w:rPr>
                  </w:pPr>
                </w:p>
              </w:tc>
              <w:tc>
                <w:tcPr>
                  <w:tcW w:w="129" w:type="pct"/>
                  <w:vAlign w:val="center"/>
                </w:tcPr>
                <w:p w14:paraId="7DF97EF2">
                  <w:pPr>
                    <w:pStyle w:val="13"/>
                    <w:rPr>
                      <w:color w:val="auto"/>
                      <w:highlight w:val="none"/>
                    </w:rPr>
                  </w:pPr>
                  <w:r>
                    <w:rPr>
                      <w:color w:val="auto"/>
                      <w:highlight w:val="none"/>
                    </w:rPr>
                    <w:t>水环境</w:t>
                  </w:r>
                </w:p>
              </w:tc>
              <w:tc>
                <w:tcPr>
                  <w:tcW w:w="3097" w:type="pct"/>
                  <w:vAlign w:val="center"/>
                </w:tcPr>
                <w:p w14:paraId="6787F429">
                  <w:pPr>
                    <w:pStyle w:val="13"/>
                    <w:jc w:val="left"/>
                    <w:rPr>
                      <w:color w:val="auto"/>
                      <w:highlight w:val="none"/>
                    </w:rPr>
                  </w:pPr>
                  <w:r>
                    <w:rPr>
                      <w:color w:val="auto"/>
                      <w:highlight w:val="none"/>
                    </w:rPr>
                    <w:t>依据《中华人民共和国水污染防治法》</w:t>
                  </w:r>
                  <w:r>
                    <w:rPr>
                      <w:rFonts w:hint="eastAsia"/>
                      <w:color w:val="auto"/>
                      <w:highlight w:val="none"/>
                    </w:rPr>
                    <w:t>、</w:t>
                  </w:r>
                  <w:r>
                    <w:rPr>
                      <w:color w:val="auto"/>
                      <w:highlight w:val="none"/>
                    </w:rPr>
                    <w:t>《水污染防治行动计划》《安徽省水污染防治工作方案》及池州市水污染防治工作方案对重点管控区实施管控；依据《长江经济带工业园区水污染整治专项行动工作方案》、池州市相关开发区规划、规划环评及审查意见相关要求对开发区实施管控；落实《安徽省</w:t>
                  </w:r>
                  <w:r>
                    <w:rPr>
                      <w:rFonts w:hint="eastAsia"/>
                      <w:color w:val="auto"/>
                      <w:highlight w:val="none"/>
                    </w:rPr>
                    <w:t>“</w:t>
                  </w:r>
                  <w:r>
                    <w:rPr>
                      <w:color w:val="auto"/>
                      <w:highlight w:val="none"/>
                    </w:rPr>
                    <w:t>十四五</w:t>
                  </w:r>
                  <w:r>
                    <w:rPr>
                      <w:rFonts w:hint="eastAsia"/>
                      <w:color w:val="auto"/>
                      <w:highlight w:val="none"/>
                    </w:rPr>
                    <w:t>”</w:t>
                  </w:r>
                  <w:r>
                    <w:rPr>
                      <w:color w:val="auto"/>
                      <w:highlight w:val="none"/>
                    </w:rPr>
                    <w:t>生态环境保护规划》</w:t>
                  </w:r>
                  <w:r>
                    <w:rPr>
                      <w:rFonts w:hint="eastAsia"/>
                      <w:color w:val="auto"/>
                      <w:highlight w:val="none"/>
                    </w:rPr>
                    <w:t>、</w:t>
                  </w:r>
                  <w:r>
                    <w:rPr>
                      <w:color w:val="auto"/>
                      <w:highlight w:val="none"/>
                    </w:rPr>
                    <w:t>《安徽省</w:t>
                  </w:r>
                  <w:r>
                    <w:rPr>
                      <w:rFonts w:hint="eastAsia"/>
                      <w:color w:val="auto"/>
                      <w:highlight w:val="none"/>
                    </w:rPr>
                    <w:t>“</w:t>
                  </w:r>
                  <w:r>
                    <w:rPr>
                      <w:color w:val="auto"/>
                      <w:highlight w:val="none"/>
                    </w:rPr>
                    <w:t>十四五</w:t>
                  </w:r>
                  <w:r>
                    <w:rPr>
                      <w:rFonts w:hint="eastAsia"/>
                      <w:color w:val="auto"/>
                      <w:highlight w:val="none"/>
                    </w:rPr>
                    <w:t>”</w:t>
                  </w:r>
                  <w:r>
                    <w:rPr>
                      <w:color w:val="auto"/>
                      <w:highlight w:val="none"/>
                    </w:rPr>
                    <w:t>节能减排实施方案》</w:t>
                  </w:r>
                  <w:r>
                    <w:rPr>
                      <w:rFonts w:hint="eastAsia"/>
                      <w:color w:val="auto"/>
                      <w:highlight w:val="none"/>
                    </w:rPr>
                    <w:t>、</w:t>
                  </w:r>
                  <w:r>
                    <w:rPr>
                      <w:color w:val="auto"/>
                      <w:highlight w:val="none"/>
                    </w:rPr>
                    <w:t>《池州市</w:t>
                  </w:r>
                  <w:r>
                    <w:rPr>
                      <w:rFonts w:hint="eastAsia"/>
                      <w:color w:val="auto"/>
                      <w:highlight w:val="none"/>
                    </w:rPr>
                    <w:t>“</w:t>
                  </w:r>
                  <w:r>
                    <w:rPr>
                      <w:color w:val="auto"/>
                      <w:highlight w:val="none"/>
                    </w:rPr>
                    <w:t>十四五</w:t>
                  </w:r>
                  <w:r>
                    <w:rPr>
                      <w:rFonts w:hint="eastAsia"/>
                      <w:color w:val="auto"/>
                      <w:highlight w:val="none"/>
                    </w:rPr>
                    <w:t>”</w:t>
                  </w:r>
                  <w:r>
                    <w:rPr>
                      <w:color w:val="auto"/>
                      <w:highlight w:val="none"/>
                    </w:rPr>
                    <w:t>生态环境保护规划》</w:t>
                  </w:r>
                  <w:r>
                    <w:rPr>
                      <w:rFonts w:hint="eastAsia"/>
                      <w:color w:val="auto"/>
                      <w:highlight w:val="none"/>
                    </w:rPr>
                    <w:t>、</w:t>
                  </w:r>
                  <w:r>
                    <w:rPr>
                      <w:color w:val="auto"/>
                      <w:highlight w:val="none"/>
                    </w:rPr>
                    <w:t>《池州市</w:t>
                  </w:r>
                  <w:r>
                    <w:rPr>
                      <w:rFonts w:hint="eastAsia"/>
                      <w:color w:val="auto"/>
                      <w:highlight w:val="none"/>
                    </w:rPr>
                    <w:t>“</w:t>
                  </w:r>
                  <w:r>
                    <w:rPr>
                      <w:color w:val="auto"/>
                      <w:highlight w:val="none"/>
                    </w:rPr>
                    <w:t>十四五</w:t>
                  </w:r>
                  <w:r>
                    <w:rPr>
                      <w:rFonts w:hint="eastAsia"/>
                      <w:color w:val="auto"/>
                      <w:highlight w:val="none"/>
                    </w:rPr>
                    <w:t>”</w:t>
                  </w:r>
                  <w:r>
                    <w:rPr>
                      <w:color w:val="auto"/>
                      <w:highlight w:val="none"/>
                    </w:rPr>
                    <w:t>水生态环境保护专项规划》</w:t>
                  </w:r>
                  <w:r>
                    <w:rPr>
                      <w:rFonts w:hint="eastAsia"/>
                      <w:color w:val="auto"/>
                      <w:highlight w:val="none"/>
                    </w:rPr>
                    <w:t>、</w:t>
                  </w:r>
                  <w:r>
                    <w:rPr>
                      <w:color w:val="auto"/>
                      <w:highlight w:val="none"/>
                    </w:rPr>
                    <w:t>《池州市</w:t>
                  </w:r>
                  <w:r>
                    <w:rPr>
                      <w:rFonts w:hint="eastAsia"/>
                      <w:color w:val="auto"/>
                      <w:highlight w:val="none"/>
                    </w:rPr>
                    <w:t>“</w:t>
                  </w:r>
                  <w:r>
                    <w:rPr>
                      <w:color w:val="auto"/>
                      <w:highlight w:val="none"/>
                    </w:rPr>
                    <w:t>十四五</w:t>
                  </w:r>
                  <w:r>
                    <w:rPr>
                      <w:rFonts w:hint="eastAsia"/>
                      <w:color w:val="auto"/>
                      <w:highlight w:val="none"/>
                    </w:rPr>
                    <w:t>”</w:t>
                  </w:r>
                  <w:r>
                    <w:rPr>
                      <w:color w:val="auto"/>
                      <w:highlight w:val="none"/>
                    </w:rPr>
                    <w:t>节能减排方案》</w:t>
                  </w:r>
                  <w:r>
                    <w:rPr>
                      <w:rFonts w:hint="eastAsia"/>
                      <w:color w:val="auto"/>
                      <w:highlight w:val="none"/>
                    </w:rPr>
                    <w:t>、</w:t>
                  </w:r>
                  <w:r>
                    <w:rPr>
                      <w:color w:val="auto"/>
                      <w:highlight w:val="none"/>
                    </w:rPr>
                    <w:t>《池州市水污染防治工作方案》等要求；新建、改建和扩建项目水污染物实施</w:t>
                  </w:r>
                  <w:r>
                    <w:rPr>
                      <w:rFonts w:hint="eastAsia"/>
                      <w:color w:val="auto"/>
                      <w:highlight w:val="none"/>
                    </w:rPr>
                    <w:t>“</w:t>
                  </w:r>
                  <w:r>
                    <w:rPr>
                      <w:color w:val="auto"/>
                      <w:highlight w:val="none"/>
                    </w:rPr>
                    <w:t>等量替代</w:t>
                  </w:r>
                  <w:r>
                    <w:rPr>
                      <w:rFonts w:hint="eastAsia"/>
                      <w:color w:val="auto"/>
                      <w:highlight w:val="none"/>
                    </w:rPr>
                    <w:t>”</w:t>
                  </w:r>
                  <w:r>
                    <w:rPr>
                      <w:color w:val="auto"/>
                      <w:highlight w:val="none"/>
                    </w:rPr>
                    <w:t>。</w:t>
                  </w:r>
                </w:p>
              </w:tc>
              <w:tc>
                <w:tcPr>
                  <w:tcW w:w="1496" w:type="pct"/>
                  <w:vAlign w:val="center"/>
                </w:tcPr>
                <w:p w14:paraId="65AEB89C">
                  <w:pPr>
                    <w:pStyle w:val="13"/>
                    <w:rPr>
                      <w:color w:val="auto"/>
                      <w:highlight w:val="none"/>
                    </w:rPr>
                  </w:pPr>
                  <w:r>
                    <w:rPr>
                      <w:rFonts w:hint="eastAsia"/>
                      <w:color w:val="auto"/>
                      <w:highlight w:val="none"/>
                    </w:rPr>
                    <w:t>本项目</w:t>
                  </w:r>
                  <w:r>
                    <w:rPr>
                      <w:color w:val="auto"/>
                      <w:highlight w:val="none"/>
                    </w:rPr>
                    <w:t>污水受纳水体</w:t>
                  </w:r>
                  <w:r>
                    <w:rPr>
                      <w:rFonts w:hint="eastAsia"/>
                      <w:color w:val="auto"/>
                      <w:highlight w:val="none"/>
                    </w:rPr>
                    <w:t>为七星河，不</w:t>
                  </w:r>
                  <w:r>
                    <w:rPr>
                      <w:color w:val="auto"/>
                      <w:highlight w:val="none"/>
                    </w:rPr>
                    <w:t>为长江，水质执行《地表水环境质量标准</w:t>
                  </w:r>
                  <w:r>
                    <w:rPr>
                      <w:rFonts w:hint="eastAsia"/>
                      <w:color w:val="auto"/>
                      <w:highlight w:val="none"/>
                    </w:rPr>
                    <w:t>》</w:t>
                  </w:r>
                  <w:r>
                    <w:rPr>
                      <w:color w:val="auto"/>
                      <w:highlight w:val="none"/>
                    </w:rPr>
                    <w:t>（GB</w:t>
                  </w:r>
                  <w:r>
                    <w:rPr>
                      <w:rFonts w:hint="eastAsia"/>
                      <w:color w:val="auto"/>
                      <w:highlight w:val="none"/>
                    </w:rPr>
                    <w:t xml:space="preserve"> </w:t>
                  </w:r>
                  <w:r>
                    <w:rPr>
                      <w:color w:val="auto"/>
                      <w:highlight w:val="none"/>
                    </w:rPr>
                    <w:t>3838-2002）中的Ⅲ类标准。</w:t>
                  </w:r>
                  <w:r>
                    <w:rPr>
                      <w:rFonts w:hint="eastAsia"/>
                      <w:color w:val="auto"/>
                      <w:highlight w:val="none"/>
                      <w:lang w:val="en-US" w:eastAsia="zh-CN"/>
                    </w:rPr>
                    <w:t>废水</w:t>
                  </w:r>
                  <w:r>
                    <w:rPr>
                      <w:rFonts w:hint="eastAsia"/>
                      <w:color w:val="auto"/>
                      <w:highlight w:val="none"/>
                    </w:rPr>
                    <w:t>达标排放</w:t>
                  </w:r>
                  <w:r>
                    <w:rPr>
                      <w:color w:val="auto"/>
                      <w:highlight w:val="none"/>
                    </w:rPr>
                    <w:t>。项目位于</w:t>
                  </w:r>
                  <w:r>
                    <w:rPr>
                      <w:rFonts w:hint="eastAsia"/>
                      <w:color w:val="auto"/>
                      <w:highlight w:val="none"/>
                    </w:rPr>
                    <w:t>水环境一般管控区，详</w:t>
                  </w:r>
                  <w:r>
                    <w:rPr>
                      <w:color w:val="auto"/>
                      <w:highlight w:val="none"/>
                    </w:rPr>
                    <w:t>见图1-</w:t>
                  </w:r>
                  <w:r>
                    <w:rPr>
                      <w:rFonts w:hint="eastAsia"/>
                      <w:color w:val="auto"/>
                      <w:highlight w:val="none"/>
                    </w:rPr>
                    <w:t>4</w:t>
                  </w:r>
                  <w:r>
                    <w:rPr>
                      <w:color w:val="auto"/>
                      <w:highlight w:val="none"/>
                    </w:rPr>
                    <w:t>。</w:t>
                  </w:r>
                </w:p>
              </w:tc>
              <w:tc>
                <w:tcPr>
                  <w:tcW w:w="152" w:type="pct"/>
                  <w:vAlign w:val="center"/>
                </w:tcPr>
                <w:p w14:paraId="7AED3234">
                  <w:pPr>
                    <w:pStyle w:val="13"/>
                    <w:rPr>
                      <w:color w:val="auto"/>
                      <w:highlight w:val="none"/>
                    </w:rPr>
                  </w:pPr>
                  <w:r>
                    <w:rPr>
                      <w:rFonts w:hint="eastAsia"/>
                      <w:color w:val="auto"/>
                      <w:highlight w:val="none"/>
                    </w:rPr>
                    <w:t>符合</w:t>
                  </w:r>
                </w:p>
              </w:tc>
            </w:tr>
            <w:tr w14:paraId="2DD34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24" w:type="pct"/>
                  <w:vMerge w:val="continue"/>
                  <w:vAlign w:val="center"/>
                </w:tcPr>
                <w:p w14:paraId="75B8C48D">
                  <w:pPr>
                    <w:pStyle w:val="13"/>
                    <w:rPr>
                      <w:color w:val="auto"/>
                      <w:highlight w:val="none"/>
                    </w:rPr>
                  </w:pPr>
                </w:p>
              </w:tc>
              <w:tc>
                <w:tcPr>
                  <w:tcW w:w="129" w:type="pct"/>
                  <w:vAlign w:val="center"/>
                </w:tcPr>
                <w:p w14:paraId="4C5955E0">
                  <w:pPr>
                    <w:pStyle w:val="13"/>
                    <w:rPr>
                      <w:color w:val="auto"/>
                      <w:highlight w:val="none"/>
                    </w:rPr>
                  </w:pPr>
                  <w:r>
                    <w:rPr>
                      <w:color w:val="auto"/>
                      <w:highlight w:val="none"/>
                    </w:rPr>
                    <w:t>土壤环境</w:t>
                  </w:r>
                </w:p>
              </w:tc>
              <w:tc>
                <w:tcPr>
                  <w:tcW w:w="3097" w:type="pct"/>
                  <w:vAlign w:val="center"/>
                </w:tcPr>
                <w:p w14:paraId="1A404792">
                  <w:pPr>
                    <w:pStyle w:val="13"/>
                    <w:jc w:val="left"/>
                    <w:rPr>
                      <w:color w:val="auto"/>
                      <w:highlight w:val="none"/>
                    </w:rPr>
                  </w:pPr>
                  <w:r>
                    <w:rPr>
                      <w:color w:val="auto"/>
                      <w:highlight w:val="none"/>
                    </w:rPr>
                    <w:t>依据《中华人民共和国土壤污染防治法》</w:t>
                  </w:r>
                  <w:r>
                    <w:rPr>
                      <w:rFonts w:hint="eastAsia"/>
                      <w:color w:val="auto"/>
                      <w:highlight w:val="none"/>
                    </w:rPr>
                    <w:t>、</w:t>
                  </w:r>
                  <w:r>
                    <w:rPr>
                      <w:color w:val="auto"/>
                      <w:highlight w:val="none"/>
                    </w:rPr>
                    <w:t>《基本农田保护条例》</w:t>
                  </w:r>
                  <w:r>
                    <w:rPr>
                      <w:rFonts w:hint="eastAsia"/>
                      <w:color w:val="auto"/>
                      <w:highlight w:val="none"/>
                    </w:rPr>
                    <w:t>、</w:t>
                  </w:r>
                  <w:r>
                    <w:rPr>
                      <w:color w:val="auto"/>
                      <w:highlight w:val="none"/>
                    </w:rPr>
                    <w:t>《土壤污染防治行动计划》</w:t>
                  </w:r>
                  <w:r>
                    <w:rPr>
                      <w:rFonts w:hint="eastAsia"/>
                      <w:color w:val="auto"/>
                      <w:highlight w:val="none"/>
                    </w:rPr>
                    <w:t>、</w:t>
                  </w:r>
                  <w:r>
                    <w:rPr>
                      <w:color w:val="auto"/>
                      <w:highlight w:val="none"/>
                    </w:rPr>
                    <w:t>《安徽省土壤污染防治工作方案》</w:t>
                  </w:r>
                  <w:r>
                    <w:rPr>
                      <w:rFonts w:hint="eastAsia"/>
                      <w:color w:val="auto"/>
                      <w:highlight w:val="none"/>
                    </w:rPr>
                    <w:t>、</w:t>
                  </w:r>
                  <w:r>
                    <w:rPr>
                      <w:color w:val="auto"/>
                      <w:highlight w:val="none"/>
                    </w:rPr>
                    <w:t>《安徽省</w:t>
                  </w:r>
                  <w:r>
                    <w:rPr>
                      <w:rFonts w:hint="eastAsia"/>
                      <w:color w:val="auto"/>
                      <w:highlight w:val="none"/>
                    </w:rPr>
                    <w:t>“</w:t>
                  </w:r>
                  <w:r>
                    <w:rPr>
                      <w:color w:val="auto"/>
                      <w:highlight w:val="none"/>
                    </w:rPr>
                    <w:t>十四五</w:t>
                  </w:r>
                  <w:r>
                    <w:rPr>
                      <w:rFonts w:hint="eastAsia"/>
                      <w:color w:val="auto"/>
                      <w:highlight w:val="none"/>
                    </w:rPr>
                    <w:t>”</w:t>
                  </w:r>
                  <w:r>
                    <w:rPr>
                      <w:color w:val="auto"/>
                      <w:highlight w:val="none"/>
                    </w:rPr>
                    <w:t>土壤、地下水和农村生态环境保护规划》</w:t>
                  </w:r>
                  <w:r>
                    <w:rPr>
                      <w:rFonts w:hint="eastAsia"/>
                      <w:color w:val="auto"/>
                      <w:highlight w:val="none"/>
                    </w:rPr>
                    <w:t>、</w:t>
                  </w:r>
                  <w:r>
                    <w:rPr>
                      <w:color w:val="auto"/>
                      <w:highlight w:val="none"/>
                    </w:rPr>
                    <w:t>《池州市</w:t>
                  </w:r>
                  <w:r>
                    <w:rPr>
                      <w:rFonts w:hint="eastAsia"/>
                      <w:color w:val="auto"/>
                      <w:highlight w:val="none"/>
                    </w:rPr>
                    <w:t>“</w:t>
                  </w:r>
                  <w:r>
                    <w:rPr>
                      <w:color w:val="auto"/>
                      <w:highlight w:val="none"/>
                    </w:rPr>
                    <w:t>十四五</w:t>
                  </w:r>
                  <w:r>
                    <w:rPr>
                      <w:rFonts w:hint="eastAsia"/>
                      <w:color w:val="auto"/>
                      <w:highlight w:val="none"/>
                    </w:rPr>
                    <w:t>”</w:t>
                  </w:r>
                  <w:r>
                    <w:rPr>
                      <w:color w:val="auto"/>
                      <w:highlight w:val="none"/>
                    </w:rPr>
                    <w:t>土壤污染防治专项规划》</w:t>
                  </w:r>
                  <w:r>
                    <w:rPr>
                      <w:rFonts w:hint="eastAsia"/>
                      <w:color w:val="auto"/>
                      <w:highlight w:val="none"/>
                    </w:rPr>
                    <w:t>、</w:t>
                  </w:r>
                  <w:r>
                    <w:rPr>
                      <w:color w:val="auto"/>
                      <w:highlight w:val="none"/>
                    </w:rPr>
                    <w:t>《池州市</w:t>
                  </w:r>
                  <w:r>
                    <w:rPr>
                      <w:rFonts w:hint="eastAsia"/>
                      <w:color w:val="auto"/>
                      <w:highlight w:val="none"/>
                    </w:rPr>
                    <w:t>“</w:t>
                  </w:r>
                  <w:r>
                    <w:rPr>
                      <w:color w:val="auto"/>
                      <w:highlight w:val="none"/>
                    </w:rPr>
                    <w:t>十四五</w:t>
                  </w:r>
                  <w:r>
                    <w:rPr>
                      <w:rFonts w:hint="eastAsia"/>
                      <w:color w:val="auto"/>
                      <w:highlight w:val="none"/>
                    </w:rPr>
                    <w:t>”</w:t>
                  </w:r>
                  <w:r>
                    <w:rPr>
                      <w:color w:val="auto"/>
                      <w:highlight w:val="none"/>
                    </w:rPr>
                    <w:t>农村生态环境保护专项规划》等要求对优先保护区实施管控，实行严格保护，确保其面积不减少、环境质量不下降，除法律规定的重点建设项目选址确实无法避让外，其他任何建设不得占用；推行秸秆还田、增施有机肥、少耕免耕、粮豆轮作、农膜减量与回收利用等措施；避免过度施肥、滥用农药导致的土壤环境质量下降；严格控制在优先保护类耕地集中区域内新建有色金属冶炼、石油加工、化工、焦化、电镀、制革等行业企业，防控企业污染。</w:t>
                  </w:r>
                </w:p>
              </w:tc>
              <w:tc>
                <w:tcPr>
                  <w:tcW w:w="1496" w:type="pct"/>
                  <w:vAlign w:val="center"/>
                </w:tcPr>
                <w:p w14:paraId="2F0673AC">
                  <w:pPr>
                    <w:pStyle w:val="13"/>
                    <w:rPr>
                      <w:color w:val="auto"/>
                      <w:highlight w:val="none"/>
                    </w:rPr>
                  </w:pPr>
                  <w:r>
                    <w:rPr>
                      <w:rFonts w:hint="eastAsia"/>
                      <w:color w:val="auto"/>
                      <w:highlight w:val="none"/>
                    </w:rPr>
                    <w:t>项目</w:t>
                  </w:r>
                  <w:r>
                    <w:rPr>
                      <w:color w:val="auto"/>
                      <w:highlight w:val="none"/>
                    </w:rPr>
                    <w:t>厂房</w:t>
                  </w:r>
                  <w:r>
                    <w:rPr>
                      <w:rFonts w:hint="eastAsia"/>
                      <w:color w:val="auto"/>
                      <w:highlight w:val="none"/>
                    </w:rPr>
                    <w:t>、</w:t>
                  </w:r>
                  <w:r>
                    <w:rPr>
                      <w:color w:val="auto"/>
                      <w:highlight w:val="none"/>
                    </w:rPr>
                    <w:t>环保设施</w:t>
                  </w:r>
                  <w:r>
                    <w:rPr>
                      <w:rFonts w:hint="eastAsia"/>
                      <w:color w:val="auto"/>
                      <w:highlight w:val="none"/>
                    </w:rPr>
                    <w:t>和场地均已</w:t>
                  </w:r>
                  <w:r>
                    <w:rPr>
                      <w:color w:val="auto"/>
                      <w:highlight w:val="none"/>
                    </w:rPr>
                    <w:t>采取地面硬化、分区防渗措施、导流、收集措施，对周边土壤环境影响较小。项目位于</w:t>
                  </w:r>
                  <w:r>
                    <w:rPr>
                      <w:rFonts w:hint="eastAsia"/>
                      <w:color w:val="auto"/>
                      <w:highlight w:val="none"/>
                    </w:rPr>
                    <w:t>一般管控区，详</w:t>
                  </w:r>
                  <w:r>
                    <w:rPr>
                      <w:color w:val="auto"/>
                      <w:highlight w:val="none"/>
                    </w:rPr>
                    <w:t>见图1-</w:t>
                  </w:r>
                  <w:r>
                    <w:rPr>
                      <w:rFonts w:hint="eastAsia"/>
                      <w:color w:val="auto"/>
                      <w:highlight w:val="none"/>
                    </w:rPr>
                    <w:t>5</w:t>
                  </w:r>
                  <w:r>
                    <w:rPr>
                      <w:color w:val="auto"/>
                      <w:highlight w:val="none"/>
                    </w:rPr>
                    <w:t>。</w:t>
                  </w:r>
                </w:p>
              </w:tc>
              <w:tc>
                <w:tcPr>
                  <w:tcW w:w="152" w:type="pct"/>
                  <w:vAlign w:val="center"/>
                </w:tcPr>
                <w:p w14:paraId="259059D7">
                  <w:pPr>
                    <w:pStyle w:val="13"/>
                    <w:rPr>
                      <w:color w:val="auto"/>
                      <w:highlight w:val="none"/>
                    </w:rPr>
                  </w:pPr>
                  <w:r>
                    <w:rPr>
                      <w:rFonts w:hint="eastAsia"/>
                      <w:color w:val="auto"/>
                      <w:highlight w:val="none"/>
                    </w:rPr>
                    <w:t>符合</w:t>
                  </w:r>
                </w:p>
              </w:tc>
            </w:tr>
            <w:tr w14:paraId="2C25A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24" w:type="pct"/>
                  <w:vMerge w:val="restart"/>
                  <w:vAlign w:val="center"/>
                </w:tcPr>
                <w:p w14:paraId="1CE87FBA">
                  <w:pPr>
                    <w:pStyle w:val="13"/>
                    <w:rPr>
                      <w:color w:val="auto"/>
                      <w:highlight w:val="none"/>
                    </w:rPr>
                  </w:pPr>
                  <w:r>
                    <w:rPr>
                      <w:rFonts w:hint="eastAsia"/>
                      <w:color w:val="auto"/>
                      <w:highlight w:val="none"/>
                    </w:rPr>
                    <w:t>资源利用上线</w:t>
                  </w:r>
                </w:p>
              </w:tc>
              <w:tc>
                <w:tcPr>
                  <w:tcW w:w="129" w:type="pct"/>
                  <w:vAlign w:val="center"/>
                </w:tcPr>
                <w:p w14:paraId="1E78B3BA">
                  <w:pPr>
                    <w:pStyle w:val="13"/>
                    <w:rPr>
                      <w:color w:val="auto"/>
                      <w:highlight w:val="none"/>
                    </w:rPr>
                  </w:pPr>
                  <w:r>
                    <w:rPr>
                      <w:rFonts w:hint="eastAsia"/>
                      <w:color w:val="auto"/>
                      <w:highlight w:val="none"/>
                    </w:rPr>
                    <w:t>煤炭资源</w:t>
                  </w:r>
                </w:p>
              </w:tc>
              <w:tc>
                <w:tcPr>
                  <w:tcW w:w="3097" w:type="pct"/>
                  <w:vAlign w:val="center"/>
                </w:tcPr>
                <w:p w14:paraId="1793A00B">
                  <w:pPr>
                    <w:pStyle w:val="13"/>
                    <w:jc w:val="left"/>
                    <w:rPr>
                      <w:color w:val="auto"/>
                      <w:highlight w:val="none"/>
                    </w:rPr>
                  </w:pPr>
                  <w:r>
                    <w:rPr>
                      <w:color w:val="auto"/>
                      <w:highlight w:val="none"/>
                    </w:rPr>
                    <w:t>根据池州市《关于进一步做好高污染燃料禁燃区管理工作的通知》（池大气办</w:t>
                  </w:r>
                  <w:r>
                    <w:rPr>
                      <w:rFonts w:hint="eastAsia"/>
                      <w:color w:val="auto"/>
                      <w:highlight w:val="none"/>
                    </w:rPr>
                    <w:t>〔</w:t>
                  </w:r>
                  <w:r>
                    <w:rPr>
                      <w:color w:val="auto"/>
                      <w:highlight w:val="none"/>
                    </w:rPr>
                    <w:t>2017</w:t>
                  </w:r>
                  <w:r>
                    <w:rPr>
                      <w:rFonts w:hint="eastAsia"/>
                      <w:color w:val="auto"/>
                      <w:highlight w:val="none"/>
                    </w:rPr>
                    <w:t>〕</w:t>
                  </w:r>
                  <w:r>
                    <w:rPr>
                      <w:color w:val="auto"/>
                      <w:highlight w:val="none"/>
                    </w:rPr>
                    <w:t>10号）规定，禁燃区内禁止销售、使用、转运、存放高污染燃料；禁止新建、扩建燃用高污染燃料的锅炉、炉窑、炉灶等燃烧设施（集中供热锅炉除外）；东至县、石台县、青阳县、贵池区、市经济开发区、九华山风景区、平天湖风景区按划定的禁燃区范围负责辖区内高污染燃料的控制工作，督促经营、使用高污染燃料的单位和个人，按期完成整改及改用清洁燃料工作；各禁燃区责任单位，应在禁燃区内全面禁止销售、使用、转运、存放高污染燃料，并结合各自职责，细化工作措施，切实抓好落实。市大气污染防治联席会议领导小组对禁燃区的管控情况进行督查，督查发现禁燃区仍违规经营、使用高污染燃料的，将通报批评相关责任单位。市政府将对禁燃区工作开展情况进行跟踪督查，对工作责任不落实，影响大气污染防治工作的失职渎职行为，将按规定追究有关责任单位及责任人的责任；落实《池州市</w:t>
                  </w:r>
                  <w:r>
                    <w:rPr>
                      <w:rFonts w:hint="eastAsia"/>
                      <w:color w:val="auto"/>
                      <w:highlight w:val="none"/>
                    </w:rPr>
                    <w:t>“</w:t>
                  </w:r>
                  <w:r>
                    <w:rPr>
                      <w:color w:val="auto"/>
                      <w:highlight w:val="none"/>
                    </w:rPr>
                    <w:t>十四五</w:t>
                  </w:r>
                  <w:r>
                    <w:rPr>
                      <w:rFonts w:hint="eastAsia"/>
                      <w:color w:val="auto"/>
                      <w:highlight w:val="none"/>
                    </w:rPr>
                    <w:t>”</w:t>
                  </w:r>
                  <w:r>
                    <w:rPr>
                      <w:color w:val="auto"/>
                      <w:highlight w:val="none"/>
                    </w:rPr>
                    <w:t>生态环境保护规划》</w:t>
                  </w:r>
                  <w:r>
                    <w:rPr>
                      <w:rFonts w:hint="eastAsia"/>
                      <w:color w:val="auto"/>
                      <w:highlight w:val="none"/>
                    </w:rPr>
                    <w:t>、</w:t>
                  </w:r>
                  <w:r>
                    <w:rPr>
                      <w:color w:val="auto"/>
                      <w:highlight w:val="none"/>
                    </w:rPr>
                    <w:t>《池州市</w:t>
                  </w:r>
                  <w:r>
                    <w:rPr>
                      <w:rFonts w:hint="eastAsia"/>
                      <w:color w:val="auto"/>
                      <w:highlight w:val="none"/>
                    </w:rPr>
                    <w:t>“</w:t>
                  </w:r>
                  <w:r>
                    <w:rPr>
                      <w:color w:val="auto"/>
                      <w:highlight w:val="none"/>
                    </w:rPr>
                    <w:t>十四五</w:t>
                  </w:r>
                  <w:r>
                    <w:rPr>
                      <w:rFonts w:hint="eastAsia"/>
                      <w:color w:val="auto"/>
                      <w:highlight w:val="none"/>
                    </w:rPr>
                    <w:t>”</w:t>
                  </w:r>
                  <w:r>
                    <w:rPr>
                      <w:color w:val="auto"/>
                      <w:highlight w:val="none"/>
                    </w:rPr>
                    <w:t>节能减排方案》</w:t>
                  </w:r>
                  <w:r>
                    <w:rPr>
                      <w:rFonts w:hint="eastAsia"/>
                      <w:color w:val="auto"/>
                      <w:highlight w:val="none"/>
                    </w:rPr>
                    <w:t>、</w:t>
                  </w:r>
                  <w:r>
                    <w:rPr>
                      <w:color w:val="auto"/>
                      <w:highlight w:val="none"/>
                    </w:rPr>
                    <w:t>《池州市碳达峰碳中和工作领导小组办公室关于印发池州市</w:t>
                  </w:r>
                  <w:r>
                    <w:rPr>
                      <w:rFonts w:hint="eastAsia"/>
                      <w:color w:val="auto"/>
                      <w:highlight w:val="none"/>
                    </w:rPr>
                    <w:t>“</w:t>
                  </w:r>
                  <w:r>
                    <w:rPr>
                      <w:color w:val="auto"/>
                      <w:highlight w:val="none"/>
                    </w:rPr>
                    <w:t>十四五</w:t>
                  </w:r>
                  <w:r>
                    <w:rPr>
                      <w:rFonts w:hint="eastAsia"/>
                      <w:color w:val="auto"/>
                      <w:highlight w:val="none"/>
                    </w:rPr>
                    <w:t>”</w:t>
                  </w:r>
                  <w:r>
                    <w:rPr>
                      <w:color w:val="auto"/>
                      <w:highlight w:val="none"/>
                    </w:rPr>
                    <w:t>煤炭消费减量替代工作方案的通知》（池双碳办</w:t>
                  </w:r>
                  <w:r>
                    <w:rPr>
                      <w:rFonts w:hint="eastAsia"/>
                      <w:color w:val="auto"/>
                      <w:highlight w:val="none"/>
                    </w:rPr>
                    <w:t>〔</w:t>
                  </w:r>
                  <w:r>
                    <w:rPr>
                      <w:color w:val="auto"/>
                      <w:highlight w:val="none"/>
                    </w:rPr>
                    <w:t>2023</w:t>
                  </w:r>
                  <w:r>
                    <w:rPr>
                      <w:rFonts w:hint="eastAsia"/>
                      <w:color w:val="auto"/>
                      <w:highlight w:val="none"/>
                    </w:rPr>
                    <w:t>〕</w:t>
                  </w:r>
                  <w:r>
                    <w:rPr>
                      <w:color w:val="auto"/>
                      <w:highlight w:val="none"/>
                    </w:rPr>
                    <w:t>3号）要求。</w:t>
                  </w:r>
                </w:p>
              </w:tc>
              <w:tc>
                <w:tcPr>
                  <w:tcW w:w="1496" w:type="pct"/>
                  <w:vAlign w:val="center"/>
                </w:tcPr>
                <w:p w14:paraId="156F85B0">
                  <w:pPr>
                    <w:pStyle w:val="13"/>
                    <w:rPr>
                      <w:color w:val="auto"/>
                      <w:highlight w:val="none"/>
                    </w:rPr>
                  </w:pPr>
                  <w:r>
                    <w:rPr>
                      <w:rFonts w:hint="eastAsia"/>
                      <w:color w:val="auto"/>
                      <w:highlight w:val="none"/>
                    </w:rPr>
                    <w:t>本项目能源为电能、生物质颗粒，</w:t>
                  </w:r>
                  <w:r>
                    <w:rPr>
                      <w:color w:val="auto"/>
                      <w:highlight w:val="none"/>
                    </w:rPr>
                    <w:t>不使用煤炭资源</w:t>
                  </w:r>
                  <w:r>
                    <w:rPr>
                      <w:rFonts w:hint="eastAsia"/>
                      <w:color w:val="auto"/>
                      <w:highlight w:val="none"/>
                    </w:rPr>
                    <w:t>，</w:t>
                  </w:r>
                  <w:r>
                    <w:rPr>
                      <w:color w:val="auto"/>
                      <w:highlight w:val="none"/>
                    </w:rPr>
                    <w:t>不涉及高污染燃料使用。项目位于高污染燃料禁燃区一般管控区</w:t>
                  </w:r>
                  <w:r>
                    <w:rPr>
                      <w:rFonts w:hint="eastAsia"/>
                      <w:color w:val="auto"/>
                      <w:highlight w:val="none"/>
                    </w:rPr>
                    <w:t>，详</w:t>
                  </w:r>
                  <w:r>
                    <w:rPr>
                      <w:color w:val="auto"/>
                      <w:highlight w:val="none"/>
                    </w:rPr>
                    <w:t>见图1-</w:t>
                  </w:r>
                  <w:r>
                    <w:rPr>
                      <w:rFonts w:hint="eastAsia"/>
                      <w:color w:val="auto"/>
                      <w:highlight w:val="none"/>
                    </w:rPr>
                    <w:t>6</w:t>
                  </w:r>
                  <w:r>
                    <w:rPr>
                      <w:color w:val="auto"/>
                      <w:highlight w:val="none"/>
                    </w:rPr>
                    <w:t>。</w:t>
                  </w:r>
                </w:p>
              </w:tc>
              <w:tc>
                <w:tcPr>
                  <w:tcW w:w="152" w:type="pct"/>
                  <w:vAlign w:val="center"/>
                </w:tcPr>
                <w:p w14:paraId="7268738C">
                  <w:pPr>
                    <w:pStyle w:val="13"/>
                    <w:rPr>
                      <w:color w:val="auto"/>
                      <w:highlight w:val="none"/>
                    </w:rPr>
                  </w:pPr>
                  <w:r>
                    <w:rPr>
                      <w:rFonts w:hint="eastAsia"/>
                      <w:color w:val="auto"/>
                      <w:highlight w:val="none"/>
                    </w:rPr>
                    <w:t>符合</w:t>
                  </w:r>
                </w:p>
              </w:tc>
            </w:tr>
            <w:tr w14:paraId="4B24D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24" w:type="pct"/>
                  <w:vMerge w:val="continue"/>
                  <w:vAlign w:val="center"/>
                </w:tcPr>
                <w:p w14:paraId="3C933404">
                  <w:pPr>
                    <w:pStyle w:val="13"/>
                    <w:rPr>
                      <w:color w:val="auto"/>
                      <w:highlight w:val="none"/>
                    </w:rPr>
                  </w:pPr>
                </w:p>
              </w:tc>
              <w:tc>
                <w:tcPr>
                  <w:tcW w:w="129" w:type="pct"/>
                  <w:vAlign w:val="center"/>
                </w:tcPr>
                <w:p w14:paraId="763F4AA0">
                  <w:pPr>
                    <w:pStyle w:val="13"/>
                    <w:rPr>
                      <w:color w:val="auto"/>
                      <w:highlight w:val="none"/>
                    </w:rPr>
                  </w:pPr>
                  <w:r>
                    <w:rPr>
                      <w:color w:val="auto"/>
                      <w:highlight w:val="none"/>
                    </w:rPr>
                    <w:t>水资源</w:t>
                  </w:r>
                </w:p>
              </w:tc>
              <w:tc>
                <w:tcPr>
                  <w:tcW w:w="3097" w:type="pct"/>
                  <w:vAlign w:val="center"/>
                </w:tcPr>
                <w:p w14:paraId="751EDFC5">
                  <w:pPr>
                    <w:pStyle w:val="13"/>
                    <w:jc w:val="left"/>
                    <w:rPr>
                      <w:color w:val="auto"/>
                      <w:highlight w:val="none"/>
                    </w:rPr>
                  </w:pPr>
                  <w:r>
                    <w:rPr>
                      <w:color w:val="auto"/>
                      <w:highlight w:val="none"/>
                    </w:rPr>
                    <w:t>落实《安徽省2025年用水总量和用水效率控制指标的函》</w:t>
                  </w:r>
                  <w:r>
                    <w:rPr>
                      <w:rFonts w:hint="eastAsia"/>
                      <w:color w:val="auto"/>
                      <w:highlight w:val="none"/>
                    </w:rPr>
                    <w:t>、</w:t>
                  </w:r>
                  <w:r>
                    <w:rPr>
                      <w:color w:val="auto"/>
                      <w:highlight w:val="none"/>
                    </w:rPr>
                    <w:t>《池州市水利发展</w:t>
                  </w:r>
                  <w:r>
                    <w:rPr>
                      <w:rFonts w:hint="eastAsia"/>
                      <w:color w:val="auto"/>
                      <w:highlight w:val="none"/>
                    </w:rPr>
                    <w:t>“</w:t>
                  </w:r>
                  <w:r>
                    <w:rPr>
                      <w:color w:val="auto"/>
                      <w:highlight w:val="none"/>
                    </w:rPr>
                    <w:t>十四五</w:t>
                  </w:r>
                  <w:r>
                    <w:rPr>
                      <w:rFonts w:hint="eastAsia"/>
                      <w:color w:val="auto"/>
                      <w:highlight w:val="none"/>
                    </w:rPr>
                    <w:t>”</w:t>
                  </w:r>
                  <w:r>
                    <w:rPr>
                      <w:color w:val="auto"/>
                      <w:highlight w:val="none"/>
                    </w:rPr>
                    <w:t>规划》</w:t>
                  </w:r>
                  <w:r>
                    <w:rPr>
                      <w:rFonts w:hint="eastAsia"/>
                      <w:color w:val="auto"/>
                      <w:highlight w:val="none"/>
                    </w:rPr>
                    <w:t>、</w:t>
                  </w:r>
                  <w:r>
                    <w:rPr>
                      <w:color w:val="auto"/>
                      <w:highlight w:val="none"/>
                    </w:rPr>
                    <w:t>《池州市</w:t>
                  </w:r>
                  <w:r>
                    <w:rPr>
                      <w:rFonts w:hint="eastAsia"/>
                      <w:color w:val="auto"/>
                      <w:highlight w:val="none"/>
                    </w:rPr>
                    <w:t>“</w:t>
                  </w:r>
                  <w:r>
                    <w:rPr>
                      <w:color w:val="auto"/>
                      <w:highlight w:val="none"/>
                    </w:rPr>
                    <w:t>十四五</w:t>
                  </w:r>
                  <w:r>
                    <w:rPr>
                      <w:rFonts w:hint="eastAsia"/>
                      <w:color w:val="auto"/>
                      <w:highlight w:val="none"/>
                    </w:rPr>
                    <w:t>”</w:t>
                  </w:r>
                  <w:r>
                    <w:rPr>
                      <w:color w:val="auto"/>
                      <w:highlight w:val="none"/>
                    </w:rPr>
                    <w:t>节能减排方案》</w:t>
                  </w:r>
                  <w:r>
                    <w:rPr>
                      <w:rFonts w:hint="eastAsia"/>
                      <w:color w:val="auto"/>
                      <w:highlight w:val="none"/>
                    </w:rPr>
                    <w:t>、</w:t>
                  </w:r>
                  <w:r>
                    <w:rPr>
                      <w:color w:val="auto"/>
                      <w:highlight w:val="none"/>
                    </w:rPr>
                    <w:t>《关于落实池州市</w:t>
                  </w:r>
                  <w:r>
                    <w:rPr>
                      <w:rFonts w:hint="eastAsia"/>
                      <w:color w:val="auto"/>
                      <w:highlight w:val="none"/>
                    </w:rPr>
                    <w:t>“</w:t>
                  </w:r>
                  <w:r>
                    <w:rPr>
                      <w:color w:val="auto"/>
                      <w:highlight w:val="none"/>
                    </w:rPr>
                    <w:t>十四五</w:t>
                  </w:r>
                  <w:r>
                    <w:rPr>
                      <w:rFonts w:hint="eastAsia"/>
                      <w:color w:val="auto"/>
                      <w:highlight w:val="none"/>
                    </w:rPr>
                    <w:t>”</w:t>
                  </w:r>
                  <w:r>
                    <w:rPr>
                      <w:color w:val="auto"/>
                      <w:highlight w:val="none"/>
                    </w:rPr>
                    <w:t>用水总量和强度双控目标的通知》等要求。</w:t>
                  </w:r>
                </w:p>
              </w:tc>
              <w:tc>
                <w:tcPr>
                  <w:tcW w:w="1496" w:type="pct"/>
                  <w:vAlign w:val="center"/>
                </w:tcPr>
                <w:p w14:paraId="3C7B8E50">
                  <w:pPr>
                    <w:pStyle w:val="13"/>
                    <w:rPr>
                      <w:color w:val="auto"/>
                      <w:highlight w:val="none"/>
                    </w:rPr>
                  </w:pPr>
                  <w:r>
                    <w:rPr>
                      <w:rFonts w:hint="eastAsia"/>
                      <w:color w:val="auto"/>
                      <w:highlight w:val="none"/>
                    </w:rPr>
                    <w:t>本项目由</w:t>
                  </w:r>
                  <w:r>
                    <w:rPr>
                      <w:color w:val="auto"/>
                      <w:highlight w:val="none"/>
                    </w:rPr>
                    <w:t>市政给水管网</w:t>
                  </w:r>
                  <w:r>
                    <w:rPr>
                      <w:rFonts w:hint="eastAsia"/>
                      <w:color w:val="auto"/>
                      <w:highlight w:val="none"/>
                    </w:rPr>
                    <w:t>供水</w:t>
                  </w:r>
                  <w:r>
                    <w:rPr>
                      <w:color w:val="auto"/>
                      <w:highlight w:val="none"/>
                    </w:rPr>
                    <w:t>，供水能力满足项目新鲜水使用需求</w:t>
                  </w:r>
                  <w:r>
                    <w:rPr>
                      <w:rFonts w:hint="eastAsia"/>
                      <w:color w:val="auto"/>
                      <w:highlight w:val="none"/>
                    </w:rPr>
                    <w:t>。</w:t>
                  </w:r>
                  <w:r>
                    <w:rPr>
                      <w:color w:val="auto"/>
                      <w:highlight w:val="none"/>
                    </w:rPr>
                    <w:t>项目不属于高耗水高耗能行业项目，总体用水量为</w:t>
                  </w:r>
                  <w:r>
                    <w:rPr>
                      <w:rFonts w:hint="eastAsia"/>
                      <w:color w:val="auto"/>
                      <w:highlight w:val="none"/>
                      <w:lang w:val="en-US" w:eastAsia="zh-CN"/>
                    </w:rPr>
                    <w:t>10</w:t>
                  </w:r>
                  <w:r>
                    <w:rPr>
                      <w:rFonts w:hint="eastAsia"/>
                      <w:color w:val="auto"/>
                      <w:highlight w:val="none"/>
                    </w:rPr>
                    <w:t>10</w:t>
                  </w:r>
                  <w:r>
                    <w:rPr>
                      <w:color w:val="auto"/>
                      <w:highlight w:val="none"/>
                    </w:rPr>
                    <w:t>t/</w:t>
                  </w:r>
                  <w:r>
                    <w:rPr>
                      <w:rFonts w:hint="eastAsia"/>
                      <w:color w:val="auto"/>
                      <w:highlight w:val="none"/>
                    </w:rPr>
                    <w:t>a</w:t>
                  </w:r>
                  <w:r>
                    <w:rPr>
                      <w:color w:val="auto"/>
                      <w:highlight w:val="none"/>
                    </w:rPr>
                    <w:t>，</w:t>
                  </w:r>
                  <w:r>
                    <w:rPr>
                      <w:rFonts w:hint="eastAsia"/>
                      <w:color w:val="auto"/>
                      <w:highlight w:val="none"/>
                    </w:rPr>
                    <w:t>（生活用水660</w:t>
                  </w:r>
                  <w:r>
                    <w:rPr>
                      <w:color w:val="auto"/>
                      <w:highlight w:val="none"/>
                    </w:rPr>
                    <w:t>t/</w:t>
                  </w:r>
                  <w:r>
                    <w:rPr>
                      <w:rFonts w:hint="eastAsia"/>
                      <w:color w:val="auto"/>
                      <w:highlight w:val="none"/>
                    </w:rPr>
                    <w:t>a）</w:t>
                  </w:r>
                  <w:r>
                    <w:rPr>
                      <w:color w:val="auto"/>
                      <w:highlight w:val="none"/>
                    </w:rPr>
                    <w:t>低于区域水资源利用</w:t>
                  </w:r>
                  <w:r>
                    <w:rPr>
                      <w:rFonts w:hint="eastAsia"/>
                      <w:color w:val="auto"/>
                      <w:highlight w:val="none"/>
                    </w:rPr>
                    <w:t>上限</w:t>
                  </w:r>
                  <w:r>
                    <w:rPr>
                      <w:color w:val="auto"/>
                      <w:highlight w:val="none"/>
                    </w:rPr>
                    <w:t>。项目位于水资源一般管控区</w:t>
                  </w:r>
                  <w:r>
                    <w:rPr>
                      <w:rFonts w:hint="eastAsia"/>
                      <w:color w:val="auto"/>
                      <w:highlight w:val="none"/>
                    </w:rPr>
                    <w:t>，详见</w:t>
                  </w:r>
                  <w:r>
                    <w:rPr>
                      <w:color w:val="auto"/>
                      <w:highlight w:val="none"/>
                    </w:rPr>
                    <w:t>图1-</w:t>
                  </w:r>
                  <w:r>
                    <w:rPr>
                      <w:rFonts w:hint="eastAsia"/>
                      <w:color w:val="auto"/>
                      <w:highlight w:val="none"/>
                    </w:rPr>
                    <w:t>7</w:t>
                  </w:r>
                  <w:r>
                    <w:rPr>
                      <w:color w:val="auto"/>
                      <w:highlight w:val="none"/>
                    </w:rPr>
                    <w:t>。</w:t>
                  </w:r>
                </w:p>
              </w:tc>
              <w:tc>
                <w:tcPr>
                  <w:tcW w:w="152" w:type="pct"/>
                  <w:vAlign w:val="center"/>
                </w:tcPr>
                <w:p w14:paraId="6B0F75BE">
                  <w:pPr>
                    <w:pStyle w:val="13"/>
                    <w:rPr>
                      <w:color w:val="auto"/>
                      <w:highlight w:val="none"/>
                    </w:rPr>
                  </w:pPr>
                  <w:r>
                    <w:rPr>
                      <w:rFonts w:hint="eastAsia"/>
                      <w:color w:val="auto"/>
                      <w:highlight w:val="none"/>
                    </w:rPr>
                    <w:t>符合</w:t>
                  </w:r>
                </w:p>
              </w:tc>
            </w:tr>
            <w:tr w14:paraId="70893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24" w:type="pct"/>
                  <w:vMerge w:val="continue"/>
                  <w:vAlign w:val="center"/>
                </w:tcPr>
                <w:p w14:paraId="60256857">
                  <w:pPr>
                    <w:pStyle w:val="13"/>
                    <w:rPr>
                      <w:color w:val="auto"/>
                      <w:highlight w:val="none"/>
                    </w:rPr>
                  </w:pPr>
                </w:p>
              </w:tc>
              <w:tc>
                <w:tcPr>
                  <w:tcW w:w="129" w:type="pct"/>
                  <w:vAlign w:val="center"/>
                </w:tcPr>
                <w:p w14:paraId="1620CC0B">
                  <w:pPr>
                    <w:pStyle w:val="13"/>
                    <w:rPr>
                      <w:color w:val="auto"/>
                      <w:highlight w:val="none"/>
                    </w:rPr>
                  </w:pPr>
                  <w:r>
                    <w:rPr>
                      <w:color w:val="auto"/>
                      <w:highlight w:val="none"/>
                    </w:rPr>
                    <w:t>土地资源</w:t>
                  </w:r>
                </w:p>
              </w:tc>
              <w:tc>
                <w:tcPr>
                  <w:tcW w:w="3097" w:type="pct"/>
                  <w:vAlign w:val="center"/>
                </w:tcPr>
                <w:p w14:paraId="03406DD5">
                  <w:pPr>
                    <w:pStyle w:val="13"/>
                    <w:jc w:val="left"/>
                    <w:rPr>
                      <w:color w:val="auto"/>
                      <w:highlight w:val="none"/>
                    </w:rPr>
                  </w:pPr>
                  <w:r>
                    <w:rPr>
                      <w:color w:val="auto"/>
                      <w:highlight w:val="none"/>
                    </w:rPr>
                    <w:t>落实《池州市国土空间总体规划》（2021-2035年）等要求。</w:t>
                  </w:r>
                </w:p>
              </w:tc>
              <w:tc>
                <w:tcPr>
                  <w:tcW w:w="1496" w:type="pct"/>
                  <w:vAlign w:val="center"/>
                </w:tcPr>
                <w:p w14:paraId="59C241D2">
                  <w:pPr>
                    <w:pStyle w:val="13"/>
                    <w:rPr>
                      <w:color w:val="auto"/>
                      <w:highlight w:val="none"/>
                    </w:rPr>
                  </w:pPr>
                  <w:r>
                    <w:rPr>
                      <w:color w:val="auto"/>
                      <w:highlight w:val="none"/>
                    </w:rPr>
                    <w:t>项目用地属于工业用地。项目用地不占用生态保护红线，不占用永久基本农田。项目位于土地资源管控</w:t>
                  </w:r>
                  <w:r>
                    <w:rPr>
                      <w:rFonts w:hint="eastAsia"/>
                      <w:color w:val="auto"/>
                      <w:highlight w:val="none"/>
                    </w:rPr>
                    <w:t>其他区域，详</w:t>
                  </w:r>
                  <w:r>
                    <w:rPr>
                      <w:color w:val="auto"/>
                      <w:highlight w:val="none"/>
                    </w:rPr>
                    <w:t>见图1-</w:t>
                  </w:r>
                  <w:r>
                    <w:rPr>
                      <w:rFonts w:hint="eastAsia"/>
                      <w:color w:val="auto"/>
                      <w:highlight w:val="none"/>
                    </w:rPr>
                    <w:t>8</w:t>
                  </w:r>
                  <w:r>
                    <w:rPr>
                      <w:color w:val="auto"/>
                      <w:highlight w:val="none"/>
                    </w:rPr>
                    <w:t>。</w:t>
                  </w:r>
                </w:p>
              </w:tc>
              <w:tc>
                <w:tcPr>
                  <w:tcW w:w="152" w:type="pct"/>
                  <w:vAlign w:val="center"/>
                </w:tcPr>
                <w:p w14:paraId="0C63ED09">
                  <w:pPr>
                    <w:pStyle w:val="13"/>
                    <w:rPr>
                      <w:color w:val="auto"/>
                      <w:highlight w:val="none"/>
                    </w:rPr>
                  </w:pPr>
                  <w:r>
                    <w:rPr>
                      <w:rFonts w:hint="eastAsia"/>
                      <w:color w:val="auto"/>
                      <w:highlight w:val="none"/>
                    </w:rPr>
                    <w:t>符合</w:t>
                  </w:r>
                </w:p>
              </w:tc>
            </w:tr>
            <w:tr w14:paraId="66B99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53" w:type="pct"/>
                  <w:gridSpan w:val="2"/>
                  <w:vAlign w:val="center"/>
                </w:tcPr>
                <w:p w14:paraId="5A348E24">
                  <w:pPr>
                    <w:pStyle w:val="13"/>
                    <w:rPr>
                      <w:color w:val="auto"/>
                      <w:highlight w:val="none"/>
                    </w:rPr>
                  </w:pPr>
                  <w:r>
                    <w:rPr>
                      <w:color w:val="auto"/>
                      <w:highlight w:val="none"/>
                    </w:rPr>
                    <w:t>环境准入负面清单</w:t>
                  </w:r>
                </w:p>
              </w:tc>
              <w:tc>
                <w:tcPr>
                  <w:tcW w:w="3097" w:type="pct"/>
                  <w:vAlign w:val="center"/>
                </w:tcPr>
                <w:p w14:paraId="2D3DE601">
                  <w:pPr>
                    <w:pStyle w:val="13"/>
                    <w:jc w:val="left"/>
                    <w:rPr>
                      <w:color w:val="auto"/>
                      <w:highlight w:val="none"/>
                    </w:rPr>
                  </w:pPr>
                  <w:r>
                    <w:rPr>
                      <w:rFonts w:hint="eastAsia"/>
                      <w:color w:val="auto"/>
                      <w:highlight w:val="none"/>
                    </w:rPr>
                    <w:t>禁止类项目、工艺、产品：</w:t>
                  </w:r>
                </w:p>
                <w:p w14:paraId="3AAD6F8F">
                  <w:pPr>
                    <w:pStyle w:val="13"/>
                    <w:jc w:val="left"/>
                    <w:rPr>
                      <w:color w:val="auto"/>
                      <w:highlight w:val="none"/>
                    </w:rPr>
                  </w:pPr>
                  <w:r>
                    <w:rPr>
                      <w:rFonts w:hint="eastAsia"/>
                      <w:color w:val="auto"/>
                      <w:highlight w:val="none"/>
                    </w:rPr>
                    <w:t>1.国家明令禁止建设或投资的、不符合《产业结构调整指导目录》、《市场准入负面清单草案（试点版）》要求的建设项目不得进入开发区。</w:t>
                  </w:r>
                </w:p>
                <w:p w14:paraId="2A9D8775">
                  <w:pPr>
                    <w:pStyle w:val="13"/>
                    <w:jc w:val="left"/>
                    <w:rPr>
                      <w:color w:val="auto"/>
                      <w:highlight w:val="none"/>
                    </w:rPr>
                  </w:pPr>
                  <w:r>
                    <w:rPr>
                      <w:rFonts w:hint="eastAsia"/>
                      <w:color w:val="auto"/>
                      <w:highlight w:val="none"/>
                    </w:rPr>
                    <w:t>2.规模效益差、能源资源消耗大、环境影响严重的企业，严格控制高污染、高能耗、高水耗项目的进入</w:t>
                  </w:r>
                </w:p>
                <w:p w14:paraId="78626A6B">
                  <w:pPr>
                    <w:pStyle w:val="13"/>
                    <w:jc w:val="left"/>
                    <w:rPr>
                      <w:color w:val="auto"/>
                      <w:highlight w:val="none"/>
                    </w:rPr>
                  </w:pPr>
                  <w:r>
                    <w:rPr>
                      <w:rFonts w:hint="eastAsia"/>
                      <w:color w:val="auto"/>
                      <w:highlight w:val="none"/>
                    </w:rPr>
                    <w:t>限值类项目、工艺、产品：</w:t>
                  </w:r>
                </w:p>
                <w:p w14:paraId="72997FAE">
                  <w:pPr>
                    <w:pStyle w:val="13"/>
                    <w:jc w:val="left"/>
                    <w:rPr>
                      <w:color w:val="auto"/>
                      <w:highlight w:val="none"/>
                    </w:rPr>
                  </w:pPr>
                  <w:r>
                    <w:rPr>
                      <w:rFonts w:hint="eastAsia"/>
                      <w:color w:val="auto"/>
                      <w:highlight w:val="none"/>
                    </w:rPr>
                    <w:t>1.与规划区主导产业和优先进入行业不符合，低污染、低能耗、低水耗、对周边企业影响、环境质量影响不大的建设项目；</w:t>
                  </w:r>
                </w:p>
                <w:p w14:paraId="05C43D4F">
                  <w:pPr>
                    <w:pStyle w:val="13"/>
                    <w:jc w:val="left"/>
                    <w:rPr>
                      <w:color w:val="auto"/>
                      <w:highlight w:val="none"/>
                    </w:rPr>
                  </w:pPr>
                  <w:r>
                    <w:rPr>
                      <w:rFonts w:hint="eastAsia"/>
                      <w:color w:val="auto"/>
                      <w:highlight w:val="none"/>
                    </w:rPr>
                    <w:t>2.与规划区主导产业和优先进入行业相配套，但高污染、高能耗、高水耗、对环境影响较大的建设项目。</w:t>
                  </w:r>
                </w:p>
                <w:p w14:paraId="5470C65B">
                  <w:pPr>
                    <w:pStyle w:val="13"/>
                    <w:jc w:val="left"/>
                    <w:rPr>
                      <w:color w:val="auto"/>
                      <w:highlight w:val="none"/>
                    </w:rPr>
                  </w:pPr>
                  <w:r>
                    <w:rPr>
                      <w:rFonts w:hint="eastAsia"/>
                      <w:color w:val="auto"/>
                      <w:highlight w:val="none"/>
                    </w:rPr>
                    <w:t>鼓励类项目、工艺、产品：</w:t>
                  </w:r>
                </w:p>
                <w:p w14:paraId="057675EA">
                  <w:pPr>
                    <w:pStyle w:val="13"/>
                    <w:jc w:val="left"/>
                    <w:rPr>
                      <w:color w:val="auto"/>
                      <w:highlight w:val="none"/>
                    </w:rPr>
                  </w:pPr>
                  <w:r>
                    <w:rPr>
                      <w:rFonts w:hint="eastAsia"/>
                      <w:color w:val="auto"/>
                      <w:highlight w:val="none"/>
                    </w:rPr>
                    <w:t>1.电子信息产业：重点发展以半导体为核心产业，加快建设电子信息产业园，承接集聚电子长三角电子信息大企业、大项目，重点发展电子基础材料、核心电子器件、集成电路、高阶封装测试、应用电子产品、物联网等产业。</w:t>
                  </w:r>
                </w:p>
                <w:p w14:paraId="2C965838">
                  <w:pPr>
                    <w:pStyle w:val="13"/>
                    <w:jc w:val="left"/>
                    <w:rPr>
                      <w:color w:val="auto"/>
                      <w:highlight w:val="none"/>
                    </w:rPr>
                  </w:pPr>
                  <w:r>
                    <w:rPr>
                      <w:rFonts w:hint="eastAsia"/>
                      <w:color w:val="auto"/>
                      <w:highlight w:val="none"/>
                    </w:rPr>
                    <w:t>2.高端装备制造业：重点发展汽车零部件、专业设备制造、智能装备制造、健康设备制造</w:t>
                  </w:r>
                </w:p>
                <w:p w14:paraId="1EC31764">
                  <w:pPr>
                    <w:pStyle w:val="13"/>
                    <w:jc w:val="left"/>
                    <w:rPr>
                      <w:color w:val="auto"/>
                      <w:highlight w:val="none"/>
                    </w:rPr>
                  </w:pPr>
                  <w:r>
                    <w:rPr>
                      <w:rFonts w:hint="eastAsia"/>
                      <w:color w:val="auto"/>
                      <w:highlight w:val="none"/>
                    </w:rPr>
                    <w:t>3.新能源新材料产业：有色金属材料——重点发展铅锌铜有色金属材料和钨钼稀贵金属材料，积极推进有色金属回收加工基地建设，扶持发展铜、铅、锌、钨、钼等新材料加工业，着力打造世界级有色金属产业基地；非金属材料——白云石基耐火材料、非金属粉体功能材料、复合新材料及环保涂料骨干企业，其他新材料——不锈钢板、钢金属制品、彩钢夹芯板等特种钢材料加工业，引进仿生与生物医用材料、生态环境材料、磁性及微电子等新材料加工项目，不断拓展新材料发展领域。</w:t>
                  </w:r>
                </w:p>
                <w:p w14:paraId="3D650FE6">
                  <w:pPr>
                    <w:pStyle w:val="13"/>
                    <w:jc w:val="left"/>
                    <w:rPr>
                      <w:color w:val="auto"/>
                      <w:highlight w:val="none"/>
                    </w:rPr>
                  </w:pPr>
                  <w:r>
                    <w:rPr>
                      <w:rFonts w:hint="eastAsia"/>
                      <w:color w:val="auto"/>
                      <w:highlight w:val="none"/>
                    </w:rPr>
                    <w:t>4.节能环保产业：</w:t>
                  </w:r>
                </w:p>
                <w:p w14:paraId="691FC9B6">
                  <w:pPr>
                    <w:pStyle w:val="13"/>
                    <w:jc w:val="left"/>
                    <w:rPr>
                      <w:color w:val="auto"/>
                      <w:highlight w:val="none"/>
                    </w:rPr>
                  </w:pPr>
                  <w:r>
                    <w:rPr>
                      <w:rFonts w:hint="eastAsia"/>
                      <w:color w:val="auto"/>
                      <w:highlight w:val="none"/>
                    </w:rPr>
                    <w:t>节能装备——重点发展变频电动机、永磁同步电机、电动机拖动用节能调速装置等电机及拖动设备；低温低压余热发电、低温余热能量转换器等技术和装备；低热值高炉煤气燃气—蒸汽联合循环发电装置；超大容量、低耗、低噪音、低局放的节能变压器；高压、中低压变频器。</w:t>
                  </w:r>
                </w:p>
                <w:p w14:paraId="038A3F2F">
                  <w:pPr>
                    <w:pStyle w:val="13"/>
                    <w:jc w:val="left"/>
                    <w:rPr>
                      <w:color w:val="auto"/>
                      <w:highlight w:val="none"/>
                    </w:rPr>
                  </w:pPr>
                  <w:r>
                    <w:rPr>
                      <w:rFonts w:hint="eastAsia"/>
                      <w:color w:val="auto"/>
                      <w:highlight w:val="none"/>
                    </w:rPr>
                    <w:t>环保装备——重点发展新型高效膜分离、微滤净化处理设备，高浓度有机废水处理设备，污水处理站脱氮除磷设备等水污染防治与再生利用装备；烟气脱硫脱硝、高效除尘、工业有机废气治理等各类气体净化装置；固体废物处置与综合利用装备；环境监测仪器和自动监控设备。</w:t>
                  </w:r>
                </w:p>
                <w:p w14:paraId="69A6AF69">
                  <w:pPr>
                    <w:pStyle w:val="13"/>
                    <w:jc w:val="left"/>
                    <w:rPr>
                      <w:color w:val="auto"/>
                      <w:highlight w:val="none"/>
                    </w:rPr>
                  </w:pPr>
                  <w:r>
                    <w:rPr>
                      <w:rFonts w:hint="eastAsia"/>
                      <w:color w:val="auto"/>
                      <w:highlight w:val="none"/>
                    </w:rPr>
                    <w:t>资源循环利用装备——重点支持废旧汽车、工程机械、机床等产品零部件再制造关键设备的研发；研发和推广废旧沥青混合料、水泥混凝土就地再生利用技术装备。</w:t>
                  </w:r>
                </w:p>
                <w:p w14:paraId="3AA437F8">
                  <w:pPr>
                    <w:pStyle w:val="13"/>
                    <w:jc w:val="left"/>
                    <w:rPr>
                      <w:color w:val="auto"/>
                      <w:highlight w:val="none"/>
                    </w:rPr>
                  </w:pPr>
                  <w:r>
                    <w:rPr>
                      <w:rFonts w:hint="eastAsia"/>
                      <w:color w:val="auto"/>
                      <w:highlight w:val="none"/>
                    </w:rPr>
                    <w:t>绿色再制造——培育具有成套处理装备研发、设计、制造能力并具有一定规模的装备制造企业，打造汽车零部件、工程机械及机电产品再制造产业基地。</w:t>
                  </w:r>
                </w:p>
              </w:tc>
              <w:tc>
                <w:tcPr>
                  <w:tcW w:w="1496" w:type="pct"/>
                  <w:vAlign w:val="center"/>
                </w:tcPr>
                <w:p w14:paraId="4904035A">
                  <w:pPr>
                    <w:pStyle w:val="13"/>
                    <w:rPr>
                      <w:color w:val="auto"/>
                      <w:highlight w:val="none"/>
                    </w:rPr>
                  </w:pPr>
                  <w:r>
                    <w:rPr>
                      <w:color w:val="auto"/>
                      <w:highlight w:val="none"/>
                    </w:rPr>
                    <w:t>属于</w:t>
                  </w:r>
                  <w:r>
                    <w:rPr>
                      <w:rFonts w:hint="eastAsia"/>
                      <w:color w:val="auto"/>
                      <w:highlight w:val="none"/>
                    </w:rPr>
                    <w:t>“</w:t>
                  </w:r>
                  <w:r>
                    <w:rPr>
                      <w:color w:val="auto"/>
                      <w:highlight w:val="none"/>
                    </w:rPr>
                    <w:t>鼓励类</w:t>
                  </w:r>
                  <w:r>
                    <w:rPr>
                      <w:rFonts w:hint="eastAsia"/>
                      <w:color w:val="auto"/>
                      <w:highlight w:val="none"/>
                    </w:rPr>
                    <w:t>”项目。</w:t>
                  </w:r>
                </w:p>
              </w:tc>
              <w:tc>
                <w:tcPr>
                  <w:tcW w:w="152" w:type="pct"/>
                  <w:vAlign w:val="center"/>
                </w:tcPr>
                <w:p w14:paraId="3A0180DE">
                  <w:pPr>
                    <w:pStyle w:val="13"/>
                    <w:rPr>
                      <w:color w:val="auto"/>
                      <w:highlight w:val="none"/>
                    </w:rPr>
                  </w:pPr>
                  <w:r>
                    <w:rPr>
                      <w:rFonts w:hint="eastAsia"/>
                      <w:color w:val="auto"/>
                      <w:highlight w:val="none"/>
                    </w:rPr>
                    <w:t>符合</w:t>
                  </w:r>
                </w:p>
              </w:tc>
            </w:tr>
          </w:tbl>
          <w:p w14:paraId="77FF6A3A">
            <w:pPr>
              <w:ind w:firstLine="480"/>
              <w:rPr>
                <w:color w:val="auto"/>
                <w:highlight w:val="none"/>
              </w:rPr>
            </w:pPr>
            <w:r>
              <w:rPr>
                <w:rFonts w:hint="eastAsia"/>
                <w:color w:val="auto"/>
                <w:highlight w:val="none"/>
              </w:rPr>
              <w:t>对照安徽省“三线一单”公众服务平台，本项目点位的管控单元编号为ZH34172330003。具体管控单元要求分析见下表。</w:t>
            </w:r>
          </w:p>
          <w:p w14:paraId="1C9B3B98">
            <w:pPr>
              <w:pStyle w:val="14"/>
              <w:spacing w:before="0" w:beforeLines="0"/>
              <w:rPr>
                <w:color w:val="auto"/>
                <w:highlight w:val="none"/>
              </w:rPr>
            </w:pPr>
            <w:r>
              <w:rPr>
                <w:rFonts w:hint="eastAsia"/>
                <w:color w:val="auto"/>
                <w:highlight w:val="none"/>
              </w:rPr>
              <w:t>表1-</w:t>
            </w:r>
            <w:r>
              <w:rPr>
                <w:rFonts w:hint="eastAsia"/>
                <w:color w:val="auto"/>
                <w:highlight w:val="none"/>
                <w:lang w:val="en-US" w:eastAsia="zh-CN"/>
              </w:rPr>
              <w:t>3</w:t>
            </w:r>
            <w:r>
              <w:rPr>
                <w:rFonts w:hint="eastAsia"/>
                <w:color w:val="auto"/>
                <w:highlight w:val="none"/>
              </w:rPr>
              <w:t xml:space="preserve">  项目所在地管控要求一览表</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673"/>
              <w:gridCol w:w="659"/>
              <w:gridCol w:w="7362"/>
              <w:gridCol w:w="4242"/>
              <w:gridCol w:w="847"/>
            </w:tblGrid>
            <w:tr w14:paraId="72765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230" w:type="pct"/>
                  <w:vAlign w:val="center"/>
                </w:tcPr>
                <w:p w14:paraId="0A49E7E6">
                  <w:pPr>
                    <w:pStyle w:val="13"/>
                    <w:rPr>
                      <w:b/>
                      <w:bCs/>
                      <w:color w:val="auto"/>
                      <w:highlight w:val="none"/>
                    </w:rPr>
                  </w:pPr>
                  <w:r>
                    <w:rPr>
                      <w:b/>
                      <w:bCs/>
                      <w:color w:val="auto"/>
                      <w:highlight w:val="none"/>
                    </w:rPr>
                    <w:t>单元</w:t>
                  </w:r>
                  <w:r>
                    <w:rPr>
                      <w:rFonts w:hint="eastAsia"/>
                      <w:b/>
                      <w:bCs/>
                      <w:color w:val="auto"/>
                      <w:highlight w:val="none"/>
                    </w:rPr>
                    <w:t>代码</w:t>
                  </w:r>
                </w:p>
              </w:tc>
              <w:tc>
                <w:tcPr>
                  <w:tcW w:w="233" w:type="pct"/>
                  <w:vAlign w:val="center"/>
                </w:tcPr>
                <w:p w14:paraId="50522670">
                  <w:pPr>
                    <w:pStyle w:val="13"/>
                    <w:rPr>
                      <w:b/>
                      <w:bCs/>
                      <w:color w:val="auto"/>
                      <w:highlight w:val="none"/>
                    </w:rPr>
                  </w:pPr>
                  <w:r>
                    <w:rPr>
                      <w:b/>
                      <w:bCs/>
                      <w:color w:val="auto"/>
                      <w:highlight w:val="none"/>
                    </w:rPr>
                    <w:t>单元分类</w:t>
                  </w:r>
                </w:p>
              </w:tc>
              <w:tc>
                <w:tcPr>
                  <w:tcW w:w="228" w:type="pct"/>
                  <w:vAlign w:val="center"/>
                </w:tcPr>
                <w:p w14:paraId="7A998641">
                  <w:pPr>
                    <w:pStyle w:val="13"/>
                    <w:rPr>
                      <w:b/>
                      <w:bCs/>
                      <w:color w:val="auto"/>
                      <w:highlight w:val="none"/>
                    </w:rPr>
                  </w:pPr>
                  <w:r>
                    <w:rPr>
                      <w:b/>
                      <w:bCs/>
                      <w:color w:val="auto"/>
                      <w:highlight w:val="none"/>
                    </w:rPr>
                    <w:t>管控类别</w:t>
                  </w:r>
                </w:p>
              </w:tc>
              <w:tc>
                <w:tcPr>
                  <w:tcW w:w="2546" w:type="pct"/>
                  <w:vAlign w:val="center"/>
                </w:tcPr>
                <w:p w14:paraId="6EC05735">
                  <w:pPr>
                    <w:pStyle w:val="13"/>
                    <w:rPr>
                      <w:b/>
                      <w:bCs/>
                      <w:color w:val="auto"/>
                      <w:highlight w:val="none"/>
                    </w:rPr>
                  </w:pPr>
                  <w:r>
                    <w:rPr>
                      <w:b/>
                      <w:bCs/>
                      <w:color w:val="auto"/>
                      <w:highlight w:val="none"/>
                    </w:rPr>
                    <w:t>管控要求</w:t>
                  </w:r>
                </w:p>
              </w:tc>
              <w:tc>
                <w:tcPr>
                  <w:tcW w:w="1467" w:type="pct"/>
                  <w:vAlign w:val="center"/>
                </w:tcPr>
                <w:p w14:paraId="63DE8629">
                  <w:pPr>
                    <w:pStyle w:val="13"/>
                    <w:rPr>
                      <w:b/>
                      <w:bCs/>
                      <w:color w:val="auto"/>
                      <w:highlight w:val="none"/>
                    </w:rPr>
                  </w:pPr>
                  <w:r>
                    <w:rPr>
                      <w:b/>
                      <w:bCs/>
                      <w:color w:val="auto"/>
                      <w:highlight w:val="none"/>
                    </w:rPr>
                    <w:t>本项目情况</w:t>
                  </w:r>
                </w:p>
              </w:tc>
              <w:tc>
                <w:tcPr>
                  <w:tcW w:w="293" w:type="pct"/>
                  <w:vAlign w:val="center"/>
                </w:tcPr>
                <w:p w14:paraId="6ACDC11D">
                  <w:pPr>
                    <w:pStyle w:val="13"/>
                    <w:rPr>
                      <w:b/>
                      <w:bCs/>
                      <w:color w:val="auto"/>
                      <w:highlight w:val="none"/>
                    </w:rPr>
                  </w:pPr>
                  <w:r>
                    <w:rPr>
                      <w:b/>
                      <w:bCs/>
                      <w:color w:val="auto"/>
                      <w:highlight w:val="none"/>
                    </w:rPr>
                    <w:t>符合性</w:t>
                  </w:r>
                </w:p>
              </w:tc>
            </w:tr>
            <w:tr w14:paraId="1CBFA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230" w:type="pct"/>
                  <w:vMerge w:val="restart"/>
                  <w:vAlign w:val="center"/>
                </w:tcPr>
                <w:p w14:paraId="40EC7AE5">
                  <w:pPr>
                    <w:pStyle w:val="13"/>
                    <w:rPr>
                      <w:color w:val="auto"/>
                      <w:highlight w:val="none"/>
                    </w:rPr>
                  </w:pPr>
                  <w:r>
                    <w:rPr>
                      <w:rFonts w:hint="eastAsia"/>
                      <w:color w:val="auto"/>
                      <w:highlight w:val="none"/>
                    </w:rPr>
                    <w:t>ZH34172330003</w:t>
                  </w:r>
                </w:p>
              </w:tc>
              <w:tc>
                <w:tcPr>
                  <w:tcW w:w="233" w:type="pct"/>
                  <w:vMerge w:val="restart"/>
                  <w:vAlign w:val="center"/>
                </w:tcPr>
                <w:p w14:paraId="4B33723E">
                  <w:pPr>
                    <w:pStyle w:val="13"/>
                    <w:rPr>
                      <w:color w:val="auto"/>
                      <w:highlight w:val="none"/>
                    </w:rPr>
                  </w:pPr>
                  <w:r>
                    <w:rPr>
                      <w:rFonts w:hint="eastAsia"/>
                      <w:color w:val="auto"/>
                      <w:highlight w:val="none"/>
                    </w:rPr>
                    <w:t>一般</w:t>
                  </w:r>
                  <w:r>
                    <w:rPr>
                      <w:color w:val="auto"/>
                      <w:highlight w:val="none"/>
                    </w:rPr>
                    <w:t>管控单元</w:t>
                  </w:r>
                  <w:r>
                    <w:rPr>
                      <w:rFonts w:hint="eastAsia"/>
                      <w:color w:val="auto"/>
                      <w:highlight w:val="none"/>
                    </w:rPr>
                    <w:t>3</w:t>
                  </w:r>
                </w:p>
              </w:tc>
              <w:tc>
                <w:tcPr>
                  <w:tcW w:w="228" w:type="pct"/>
                  <w:vAlign w:val="center"/>
                </w:tcPr>
                <w:p w14:paraId="0FB28034">
                  <w:pPr>
                    <w:pStyle w:val="13"/>
                    <w:rPr>
                      <w:color w:val="auto"/>
                      <w:highlight w:val="none"/>
                    </w:rPr>
                  </w:pPr>
                  <w:r>
                    <w:rPr>
                      <w:color w:val="auto"/>
                      <w:highlight w:val="none"/>
                    </w:rPr>
                    <w:t>空间布局约束</w:t>
                  </w:r>
                </w:p>
              </w:tc>
              <w:tc>
                <w:tcPr>
                  <w:tcW w:w="2546" w:type="pct"/>
                  <w:vAlign w:val="center"/>
                </w:tcPr>
                <w:p w14:paraId="4DED0FE6">
                  <w:pPr>
                    <w:pStyle w:val="13"/>
                    <w:jc w:val="left"/>
                    <w:rPr>
                      <w:color w:val="auto"/>
                      <w:highlight w:val="none"/>
                    </w:rPr>
                  </w:pPr>
                  <w:r>
                    <w:rPr>
                      <w:color w:val="auto"/>
                      <w:highlight w:val="none"/>
                    </w:rPr>
                    <w:t>1、禁止新建、扩建法律法规和相关政策明令禁止的落后产能项目。严格执行国家《产业结构调整指导目录》淘汰类和限制类有关规定，禁止投资建设属于淘汰类的项目，禁止投资新建属于限制类的项目。对属于限制类的现有生产能力，允许企业在一定期限内采取措施改造升级；</w:t>
                  </w:r>
                </w:p>
                <w:p w14:paraId="1A87CF90">
                  <w:pPr>
                    <w:pStyle w:val="13"/>
                    <w:jc w:val="left"/>
                    <w:rPr>
                      <w:color w:val="auto"/>
                      <w:highlight w:val="none"/>
                    </w:rPr>
                  </w:pPr>
                  <w:r>
                    <w:rPr>
                      <w:color w:val="auto"/>
                      <w:highlight w:val="none"/>
                    </w:rPr>
                    <w:t>2、持续开展涉水</w:t>
                  </w:r>
                  <w:r>
                    <w:rPr>
                      <w:rFonts w:hint="eastAsia"/>
                      <w:color w:val="auto"/>
                      <w:highlight w:val="none"/>
                    </w:rPr>
                    <w:t>“</w:t>
                  </w:r>
                  <w:r>
                    <w:rPr>
                      <w:color w:val="auto"/>
                      <w:highlight w:val="none"/>
                    </w:rPr>
                    <w:t>散乱污</w:t>
                  </w:r>
                  <w:r>
                    <w:rPr>
                      <w:rFonts w:hint="eastAsia"/>
                      <w:color w:val="auto"/>
                      <w:highlight w:val="none"/>
                    </w:rPr>
                    <w:t>”</w:t>
                  </w:r>
                  <w:r>
                    <w:rPr>
                      <w:color w:val="auto"/>
                      <w:highlight w:val="none"/>
                    </w:rPr>
                    <w:t>企业清理整治，严把能耗、环保等标准，促使一批达不到标准或淘汰类产能的企业，依法依规关停退出；</w:t>
                  </w:r>
                </w:p>
                <w:p w14:paraId="67327517">
                  <w:pPr>
                    <w:pStyle w:val="13"/>
                    <w:jc w:val="left"/>
                    <w:rPr>
                      <w:color w:val="auto"/>
                      <w:highlight w:val="none"/>
                    </w:rPr>
                  </w:pPr>
                  <w:r>
                    <w:rPr>
                      <w:color w:val="auto"/>
                      <w:highlight w:val="none"/>
                    </w:rPr>
                    <w:t>3、新建不符合国家产业政策的小型造纸、制革、印染、染料、炼焦、炼硫、炼砷、炼汞、炼油、电镀、农药、石棉、水泥、玻璃、钢铁、火电以及其他严重污染水环境的生产项目；</w:t>
                  </w:r>
                </w:p>
                <w:p w14:paraId="15C2F2E3">
                  <w:pPr>
                    <w:pStyle w:val="13"/>
                    <w:jc w:val="left"/>
                    <w:rPr>
                      <w:color w:val="auto"/>
                      <w:highlight w:val="none"/>
                    </w:rPr>
                  </w:pPr>
                  <w:r>
                    <w:rPr>
                      <w:color w:val="auto"/>
                      <w:highlight w:val="none"/>
                    </w:rPr>
                    <w:t>4、严格执行国家关于</w:t>
                  </w:r>
                  <w:r>
                    <w:rPr>
                      <w:rFonts w:hint="eastAsia"/>
                      <w:color w:val="auto"/>
                      <w:highlight w:val="none"/>
                    </w:rPr>
                    <w:t>“</w:t>
                  </w:r>
                  <w:r>
                    <w:rPr>
                      <w:color w:val="auto"/>
                      <w:highlight w:val="none"/>
                    </w:rPr>
                    <w:t>两高</w:t>
                  </w:r>
                  <w:r>
                    <w:rPr>
                      <w:rFonts w:hint="eastAsia"/>
                      <w:color w:val="auto"/>
                      <w:highlight w:val="none"/>
                    </w:rPr>
                    <w:t>”</w:t>
                  </w:r>
                  <w:r>
                    <w:rPr>
                      <w:color w:val="auto"/>
                      <w:highlight w:val="none"/>
                    </w:rPr>
                    <w:t>产业准入目录和产能总量控制政策措施；</w:t>
                  </w:r>
                </w:p>
                <w:p w14:paraId="72ECA7C8">
                  <w:pPr>
                    <w:pStyle w:val="13"/>
                    <w:jc w:val="left"/>
                    <w:rPr>
                      <w:color w:val="auto"/>
                      <w:highlight w:val="none"/>
                    </w:rPr>
                  </w:pPr>
                  <w:r>
                    <w:rPr>
                      <w:color w:val="auto"/>
                      <w:highlight w:val="none"/>
                    </w:rPr>
                    <w:t>5、禁止建设生产和使用高挥发性有机物含量涂料、油墨、胶粘剂、清洗剂等项目；</w:t>
                  </w:r>
                </w:p>
                <w:p w14:paraId="7BEDA222">
                  <w:pPr>
                    <w:pStyle w:val="13"/>
                    <w:jc w:val="left"/>
                    <w:rPr>
                      <w:color w:val="auto"/>
                      <w:highlight w:val="none"/>
                    </w:rPr>
                  </w:pPr>
                  <w:r>
                    <w:rPr>
                      <w:color w:val="auto"/>
                      <w:highlight w:val="none"/>
                    </w:rPr>
                    <w:t>6、严格资源节约和环保准入门槛，转入项目必须符合国家产业政策、资源节约和污染物排放强度要求，避免产业转移中的资源浪费和污染扩散；</w:t>
                  </w:r>
                </w:p>
                <w:p w14:paraId="6671E391">
                  <w:pPr>
                    <w:pStyle w:val="13"/>
                    <w:jc w:val="left"/>
                    <w:rPr>
                      <w:color w:val="auto"/>
                      <w:highlight w:val="none"/>
                    </w:rPr>
                  </w:pPr>
                  <w:r>
                    <w:rPr>
                      <w:rFonts w:hint="eastAsia"/>
                      <w:color w:val="auto"/>
                      <w:highlight w:val="none"/>
                    </w:rPr>
                    <w:t>7、</w:t>
                  </w:r>
                  <w:r>
                    <w:rPr>
                      <w:color w:val="auto"/>
                      <w:highlight w:val="none"/>
                    </w:rPr>
                    <w:t>引导石化、化工、钢铁、建材、有色金属等重点行业合理布局，提高化工、有色金属、农副食品加工、印染、制革、原料药制造、电镀等行业集聚水平</w:t>
                  </w:r>
                  <w:r>
                    <w:rPr>
                      <w:rFonts w:hint="eastAsia"/>
                      <w:color w:val="auto"/>
                      <w:highlight w:val="none"/>
                    </w:rPr>
                    <w:t>；</w:t>
                  </w:r>
                </w:p>
                <w:p w14:paraId="3A341D33">
                  <w:pPr>
                    <w:pStyle w:val="13"/>
                    <w:jc w:val="left"/>
                    <w:rPr>
                      <w:color w:val="auto"/>
                      <w:highlight w:val="none"/>
                    </w:rPr>
                  </w:pPr>
                  <w:r>
                    <w:rPr>
                      <w:rFonts w:hint="eastAsia"/>
                      <w:color w:val="auto"/>
                      <w:highlight w:val="none"/>
                    </w:rPr>
                    <w:t>8</w:t>
                  </w:r>
                  <w:r>
                    <w:rPr>
                      <w:color w:val="auto"/>
                      <w:highlight w:val="none"/>
                    </w:rPr>
                    <w:t>、禁止在合规园区外新建、扩建钢铁、石化、化工、焦化、建材、有色、制浆造纸等高污染项目；</w:t>
                  </w:r>
                </w:p>
                <w:p w14:paraId="7C50FA1A">
                  <w:pPr>
                    <w:pStyle w:val="13"/>
                    <w:jc w:val="left"/>
                    <w:rPr>
                      <w:color w:val="auto"/>
                      <w:highlight w:val="none"/>
                    </w:rPr>
                  </w:pPr>
                  <w:r>
                    <w:rPr>
                      <w:rFonts w:hint="eastAsia"/>
                      <w:color w:val="auto"/>
                      <w:highlight w:val="none"/>
                    </w:rPr>
                    <w:t>9</w:t>
                  </w:r>
                  <w:r>
                    <w:rPr>
                      <w:color w:val="auto"/>
                      <w:highlight w:val="none"/>
                    </w:rPr>
                    <w:t>、</w:t>
                  </w:r>
                  <w:r>
                    <w:rPr>
                      <w:rFonts w:hint="eastAsia"/>
                      <w:color w:val="auto"/>
                      <w:highlight w:val="none"/>
                    </w:rPr>
                    <w:t>开发利用的地块，必须符合相应规划用地土壤环境质量要求，暂不开发利用或现阶段不具备治理修复条件的污染地块，由县区政府组织划定管控区域，设立标识，发布公告，开展监测，发现污染扩散的，责令相关责任方清理残留污染，有关责任主体要制定环境风险管控方案，封闭污染区域，采取污染物隔离、阻断等工程和管理措施，防止污染进一步扩散；</w:t>
                  </w:r>
                </w:p>
                <w:p w14:paraId="4997A9B6">
                  <w:pPr>
                    <w:pStyle w:val="13"/>
                    <w:jc w:val="left"/>
                    <w:rPr>
                      <w:color w:val="auto"/>
                      <w:highlight w:val="none"/>
                    </w:rPr>
                  </w:pPr>
                  <w:r>
                    <w:rPr>
                      <w:rFonts w:hint="eastAsia"/>
                      <w:color w:val="auto"/>
                      <w:highlight w:val="none"/>
                    </w:rPr>
                    <w:t>10、禁止淘汰落后类的产业进入开发区；</w:t>
                  </w:r>
                </w:p>
                <w:p w14:paraId="5A56851B">
                  <w:pPr>
                    <w:pStyle w:val="13"/>
                    <w:jc w:val="left"/>
                    <w:rPr>
                      <w:color w:val="auto"/>
                      <w:highlight w:val="none"/>
                    </w:rPr>
                  </w:pPr>
                  <w:r>
                    <w:rPr>
                      <w:rFonts w:hint="eastAsia"/>
                      <w:color w:val="auto"/>
                      <w:highlight w:val="none"/>
                    </w:rPr>
                    <w:t>11、禁止新建、扩建法律法规和相关政策明令禁止的落后产能项目。严格执行国家《产业结构调整指导目录》淘汰类和限制类有关规定，禁止投资建设属于淘汰类的项目，禁止投资新建属于限制类的项目。对属于限制类的现有生产能力，允许企业在一定期限内采取措施改造升级；</w:t>
                  </w:r>
                </w:p>
                <w:p w14:paraId="443D3C6B">
                  <w:pPr>
                    <w:pStyle w:val="13"/>
                    <w:jc w:val="left"/>
                    <w:rPr>
                      <w:color w:val="auto"/>
                      <w:highlight w:val="none"/>
                    </w:rPr>
                  </w:pPr>
                  <w:r>
                    <w:rPr>
                      <w:rFonts w:hint="eastAsia"/>
                      <w:color w:val="auto"/>
                      <w:highlight w:val="none"/>
                    </w:rPr>
                    <w:t>12、禁止在长江（安徽段）干支流一公里范围内新建、扩建化工园区和化工项目。已批未开工的项目，依法停止建设，支持重新选址。已经开工建设的项目，严格进行检查评估，不符合岸线规划和环保、安全要求的，全部依法依规停建搬迁。</w:t>
                  </w:r>
                </w:p>
              </w:tc>
              <w:tc>
                <w:tcPr>
                  <w:tcW w:w="1467" w:type="pct"/>
                  <w:vAlign w:val="center"/>
                </w:tcPr>
                <w:p w14:paraId="7C43A604">
                  <w:pPr>
                    <w:pStyle w:val="13"/>
                    <w:jc w:val="left"/>
                    <w:rPr>
                      <w:color w:val="auto"/>
                      <w:highlight w:val="none"/>
                    </w:rPr>
                  </w:pPr>
                  <w:r>
                    <w:rPr>
                      <w:rFonts w:hint="eastAsia"/>
                      <w:color w:val="auto"/>
                      <w:highlight w:val="none"/>
                    </w:rPr>
                    <w:t>1、本项目属于C1329 其他饲料加工，产品为饲料，位于酉华镇金峰村金元组内，对照《产业结构调整指导目录》（2024年本），本项目属于“鼓励类”，符合国家产业政策；</w:t>
                  </w:r>
                </w:p>
                <w:p w14:paraId="4A44DCCA">
                  <w:pPr>
                    <w:pStyle w:val="13"/>
                    <w:jc w:val="left"/>
                    <w:rPr>
                      <w:color w:val="auto"/>
                      <w:highlight w:val="none"/>
                    </w:rPr>
                  </w:pPr>
                  <w:r>
                    <w:rPr>
                      <w:rFonts w:hint="eastAsia"/>
                      <w:color w:val="auto"/>
                      <w:highlight w:val="none"/>
                    </w:rPr>
                    <w:t>2、本项目不属于</w:t>
                  </w:r>
                  <w:r>
                    <w:rPr>
                      <w:color w:val="auto"/>
                      <w:highlight w:val="none"/>
                    </w:rPr>
                    <w:t>其他严重污染水环境的生产项目</w:t>
                  </w:r>
                  <w:r>
                    <w:rPr>
                      <w:rFonts w:hint="eastAsia"/>
                      <w:color w:val="auto"/>
                      <w:highlight w:val="none"/>
                    </w:rPr>
                    <w:t>；</w:t>
                  </w:r>
                </w:p>
                <w:p w14:paraId="4ED71C9B">
                  <w:pPr>
                    <w:pStyle w:val="13"/>
                    <w:jc w:val="left"/>
                    <w:rPr>
                      <w:color w:val="auto"/>
                      <w:highlight w:val="none"/>
                    </w:rPr>
                  </w:pPr>
                  <w:r>
                    <w:rPr>
                      <w:rFonts w:hint="eastAsia"/>
                      <w:color w:val="auto"/>
                      <w:highlight w:val="none"/>
                    </w:rPr>
                    <w:t>3、本项目为C1329 其他饲料加工，产品为饲料，不属于</w:t>
                  </w:r>
                  <w:r>
                    <w:rPr>
                      <w:color w:val="auto"/>
                      <w:highlight w:val="none"/>
                    </w:rPr>
                    <w:t>严重污染水环境的生产项目</w:t>
                  </w:r>
                  <w:r>
                    <w:rPr>
                      <w:rFonts w:hint="eastAsia"/>
                      <w:color w:val="auto"/>
                      <w:highlight w:val="none"/>
                    </w:rPr>
                    <w:t>；</w:t>
                  </w:r>
                </w:p>
                <w:p w14:paraId="2D713D60">
                  <w:pPr>
                    <w:pStyle w:val="13"/>
                    <w:jc w:val="left"/>
                    <w:rPr>
                      <w:color w:val="auto"/>
                      <w:highlight w:val="none"/>
                    </w:rPr>
                  </w:pPr>
                  <w:r>
                    <w:rPr>
                      <w:rFonts w:hint="eastAsia"/>
                      <w:color w:val="auto"/>
                      <w:highlight w:val="none"/>
                    </w:rPr>
                    <w:t>4、本项目不属于“两高”项目，拟向生态环境局申请总量；</w:t>
                  </w:r>
                </w:p>
                <w:p w14:paraId="6C4C6842">
                  <w:pPr>
                    <w:pStyle w:val="13"/>
                    <w:jc w:val="left"/>
                    <w:rPr>
                      <w:color w:val="auto"/>
                      <w:highlight w:val="none"/>
                    </w:rPr>
                  </w:pPr>
                  <w:r>
                    <w:rPr>
                      <w:rFonts w:hint="eastAsia"/>
                      <w:color w:val="auto"/>
                      <w:highlight w:val="none"/>
                    </w:rPr>
                    <w:t>5、本项目不涉及高挥发性有机物；</w:t>
                  </w:r>
                </w:p>
                <w:p w14:paraId="4A48AAC1">
                  <w:pPr>
                    <w:pStyle w:val="13"/>
                    <w:jc w:val="left"/>
                    <w:rPr>
                      <w:color w:val="auto"/>
                      <w:highlight w:val="none"/>
                    </w:rPr>
                  </w:pPr>
                  <w:r>
                    <w:rPr>
                      <w:rFonts w:hint="eastAsia"/>
                      <w:color w:val="auto"/>
                      <w:highlight w:val="none"/>
                    </w:rPr>
                    <w:t>6、本项目产品、工艺和污染物处理措施符合国家产业政策、资源节约和污染物排放强度要求；</w:t>
                  </w:r>
                </w:p>
                <w:p w14:paraId="60CB94D7">
                  <w:pPr>
                    <w:pStyle w:val="13"/>
                    <w:jc w:val="left"/>
                    <w:rPr>
                      <w:color w:val="auto"/>
                      <w:highlight w:val="none"/>
                    </w:rPr>
                  </w:pPr>
                  <w:r>
                    <w:rPr>
                      <w:rFonts w:hint="eastAsia"/>
                      <w:color w:val="auto"/>
                      <w:highlight w:val="none"/>
                    </w:rPr>
                    <w:t>7、本项目位于酉华镇金峰村金元组，周边行业资源丰富，项目布局合理；</w:t>
                  </w:r>
                </w:p>
                <w:p w14:paraId="7D19D711">
                  <w:pPr>
                    <w:pStyle w:val="13"/>
                    <w:jc w:val="left"/>
                    <w:rPr>
                      <w:color w:val="auto"/>
                      <w:highlight w:val="none"/>
                    </w:rPr>
                  </w:pPr>
                  <w:r>
                    <w:rPr>
                      <w:rFonts w:hint="eastAsia"/>
                      <w:color w:val="auto"/>
                      <w:highlight w:val="none"/>
                    </w:rPr>
                    <w:t>8、本项目为C1329 其他饲料加工，产品为饲料，不属于</w:t>
                  </w:r>
                  <w:r>
                    <w:rPr>
                      <w:color w:val="auto"/>
                      <w:highlight w:val="none"/>
                    </w:rPr>
                    <w:t>高污染项目</w:t>
                  </w:r>
                  <w:r>
                    <w:rPr>
                      <w:rFonts w:hint="eastAsia"/>
                      <w:color w:val="auto"/>
                      <w:highlight w:val="none"/>
                    </w:rPr>
                    <w:t>；</w:t>
                  </w:r>
                </w:p>
                <w:p w14:paraId="635C94A5">
                  <w:pPr>
                    <w:pStyle w:val="13"/>
                    <w:jc w:val="left"/>
                    <w:rPr>
                      <w:color w:val="auto"/>
                      <w:highlight w:val="none"/>
                    </w:rPr>
                  </w:pPr>
                  <w:r>
                    <w:rPr>
                      <w:rFonts w:hint="eastAsia"/>
                      <w:color w:val="auto"/>
                      <w:highlight w:val="none"/>
                    </w:rPr>
                    <w:t>9、项目位于酉华镇金峰村金元组，用地性质为工业用地，经采取有效的分区防渗措施及污染防控措施，项目对区域地下水、土壤环境基本不造成影响；</w:t>
                  </w:r>
                </w:p>
                <w:p w14:paraId="71BF6650">
                  <w:pPr>
                    <w:pStyle w:val="13"/>
                    <w:jc w:val="left"/>
                    <w:rPr>
                      <w:color w:val="auto"/>
                      <w:highlight w:val="none"/>
                    </w:rPr>
                  </w:pPr>
                  <w:r>
                    <w:rPr>
                      <w:rFonts w:hint="eastAsia"/>
                      <w:color w:val="auto"/>
                      <w:highlight w:val="none"/>
                    </w:rPr>
                    <w:t>10、项目属于“鼓励类”；</w:t>
                  </w:r>
                </w:p>
                <w:p w14:paraId="56C50C3D">
                  <w:pPr>
                    <w:pStyle w:val="13"/>
                    <w:jc w:val="left"/>
                    <w:rPr>
                      <w:color w:val="auto"/>
                      <w:highlight w:val="none"/>
                    </w:rPr>
                  </w:pPr>
                  <w:r>
                    <w:rPr>
                      <w:rFonts w:hint="eastAsia"/>
                      <w:color w:val="auto"/>
                      <w:highlight w:val="none"/>
                    </w:rPr>
                    <w:t>11、对照《产业结构调整指导目录》，本项目属于“鼓励类”；</w:t>
                  </w:r>
                </w:p>
                <w:p w14:paraId="60735FB1">
                  <w:pPr>
                    <w:pStyle w:val="13"/>
                    <w:jc w:val="left"/>
                    <w:rPr>
                      <w:color w:val="auto"/>
                      <w:highlight w:val="none"/>
                    </w:rPr>
                  </w:pPr>
                  <w:r>
                    <w:rPr>
                      <w:rFonts w:hint="eastAsia"/>
                      <w:color w:val="auto"/>
                      <w:highlight w:val="none"/>
                    </w:rPr>
                    <w:t>12、本项目距离与长江岸线距离约</w:t>
                  </w:r>
                  <w:r>
                    <w:rPr>
                      <w:rFonts w:hint="eastAsia"/>
                      <w:color w:val="auto"/>
                      <w:highlight w:val="none"/>
                      <w:lang w:eastAsia="zh-CN"/>
                    </w:rPr>
                    <w:t>31km</w:t>
                  </w:r>
                  <w:r>
                    <w:rPr>
                      <w:rFonts w:hint="eastAsia"/>
                      <w:color w:val="auto"/>
                      <w:highlight w:val="none"/>
                    </w:rPr>
                    <w:t>，</w:t>
                  </w:r>
                  <w:r>
                    <w:rPr>
                      <w:rFonts w:hint="eastAsia"/>
                      <w:color w:val="auto"/>
                      <w:highlight w:val="none"/>
                      <w:lang w:val="en-US" w:eastAsia="zh-CN"/>
                    </w:rPr>
                    <w:t>距离长江二级支流南河岸线距离约2151m，</w:t>
                  </w:r>
                  <w:r>
                    <w:rPr>
                      <w:rFonts w:hint="eastAsia"/>
                      <w:color w:val="auto"/>
                      <w:highlight w:val="none"/>
                    </w:rPr>
                    <w:t>不属于化工园区和化工项目。</w:t>
                  </w:r>
                </w:p>
              </w:tc>
              <w:tc>
                <w:tcPr>
                  <w:tcW w:w="293" w:type="pct"/>
                  <w:vMerge w:val="restart"/>
                  <w:vAlign w:val="center"/>
                </w:tcPr>
                <w:p w14:paraId="452AF9D8">
                  <w:pPr>
                    <w:pStyle w:val="13"/>
                    <w:rPr>
                      <w:color w:val="auto"/>
                      <w:highlight w:val="none"/>
                    </w:rPr>
                  </w:pPr>
                  <w:r>
                    <w:rPr>
                      <w:color w:val="auto"/>
                      <w:highlight w:val="none"/>
                    </w:rPr>
                    <w:t>符合</w:t>
                  </w:r>
                </w:p>
              </w:tc>
            </w:tr>
            <w:tr w14:paraId="0AB6A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230" w:type="pct"/>
                  <w:vMerge w:val="continue"/>
                  <w:vAlign w:val="center"/>
                </w:tcPr>
                <w:p w14:paraId="7F65CD02">
                  <w:pPr>
                    <w:pStyle w:val="13"/>
                    <w:rPr>
                      <w:color w:val="auto"/>
                      <w:highlight w:val="none"/>
                    </w:rPr>
                  </w:pPr>
                </w:p>
              </w:tc>
              <w:tc>
                <w:tcPr>
                  <w:tcW w:w="233" w:type="pct"/>
                  <w:vMerge w:val="continue"/>
                  <w:vAlign w:val="center"/>
                </w:tcPr>
                <w:p w14:paraId="7F76B8BD">
                  <w:pPr>
                    <w:pStyle w:val="13"/>
                    <w:rPr>
                      <w:color w:val="auto"/>
                      <w:highlight w:val="none"/>
                    </w:rPr>
                  </w:pPr>
                </w:p>
              </w:tc>
              <w:tc>
                <w:tcPr>
                  <w:tcW w:w="228" w:type="pct"/>
                  <w:vAlign w:val="center"/>
                </w:tcPr>
                <w:p w14:paraId="089A23F9">
                  <w:pPr>
                    <w:pStyle w:val="13"/>
                    <w:rPr>
                      <w:color w:val="auto"/>
                      <w:highlight w:val="none"/>
                    </w:rPr>
                  </w:pPr>
                  <w:r>
                    <w:rPr>
                      <w:color w:val="auto"/>
                      <w:highlight w:val="none"/>
                    </w:rPr>
                    <w:t>污染物排放管控</w:t>
                  </w:r>
                </w:p>
              </w:tc>
              <w:tc>
                <w:tcPr>
                  <w:tcW w:w="2546" w:type="pct"/>
                  <w:vAlign w:val="center"/>
                </w:tcPr>
                <w:p w14:paraId="1C62BDEF">
                  <w:pPr>
                    <w:pStyle w:val="13"/>
                    <w:jc w:val="left"/>
                    <w:rPr>
                      <w:color w:val="auto"/>
                      <w:highlight w:val="none"/>
                    </w:rPr>
                  </w:pPr>
                  <w:r>
                    <w:rPr>
                      <w:color w:val="auto"/>
                      <w:highlight w:val="none"/>
                    </w:rPr>
                    <w:t>1、企业事业单位和其他生产经营者超过污染物排放标准或者超过重点污染物排放总量控制指标排放污染物的，县级以上人民政府环境保护主管部门可以责令其采取限制生产、停产整治等措施；情节严重的，报经有批准权的人民政府批准，责令停业、关闭；</w:t>
                  </w:r>
                </w:p>
                <w:p w14:paraId="131D2F53">
                  <w:pPr>
                    <w:pStyle w:val="13"/>
                    <w:jc w:val="left"/>
                    <w:rPr>
                      <w:color w:val="auto"/>
                      <w:highlight w:val="none"/>
                    </w:rPr>
                  </w:pPr>
                  <w:r>
                    <w:rPr>
                      <w:rFonts w:hint="eastAsia"/>
                      <w:color w:val="auto"/>
                      <w:highlight w:val="none"/>
                    </w:rPr>
                    <w:t>2</w:t>
                  </w:r>
                  <w:r>
                    <w:rPr>
                      <w:color w:val="auto"/>
                      <w:highlight w:val="none"/>
                    </w:rPr>
                    <w:t>、开展经济技术开发区、高新技术产业开发区、出口加工区等工业集聚区水污染治理设施排查和污染治理，全面推行工业集聚区企业废水量、水污染物纳管总量双控制度。集聚区内工业废水必须经预处理达到集中处理要求，方可进入污水集中处理设施；</w:t>
                  </w:r>
                </w:p>
                <w:p w14:paraId="61AD5127">
                  <w:pPr>
                    <w:pStyle w:val="13"/>
                    <w:jc w:val="left"/>
                    <w:rPr>
                      <w:color w:val="auto"/>
                      <w:highlight w:val="none"/>
                    </w:rPr>
                  </w:pPr>
                  <w:r>
                    <w:rPr>
                      <w:rFonts w:hint="eastAsia"/>
                      <w:color w:val="auto"/>
                      <w:highlight w:val="none"/>
                    </w:rPr>
                    <w:t>3</w:t>
                  </w:r>
                  <w:r>
                    <w:rPr>
                      <w:color w:val="auto"/>
                      <w:highlight w:val="none"/>
                    </w:rPr>
                    <w:t>、环境空气质量持续改善，全省细颗粒物（PM2.5）浓度总体达标，基本消除重污染天气，优良天数比率进一步提升；</w:t>
                  </w:r>
                </w:p>
                <w:p w14:paraId="510F2261">
                  <w:pPr>
                    <w:pStyle w:val="13"/>
                    <w:jc w:val="left"/>
                    <w:rPr>
                      <w:color w:val="auto"/>
                      <w:highlight w:val="none"/>
                    </w:rPr>
                  </w:pPr>
                  <w:r>
                    <w:rPr>
                      <w:rFonts w:hint="eastAsia"/>
                      <w:color w:val="auto"/>
                      <w:highlight w:val="none"/>
                    </w:rPr>
                    <w:t>4</w:t>
                  </w:r>
                  <w:r>
                    <w:rPr>
                      <w:color w:val="auto"/>
                      <w:highlight w:val="none"/>
                    </w:rPr>
                    <w:t>、按《挥发性有机物无组织排放控制标准》（GB</w:t>
                  </w:r>
                  <w:r>
                    <w:rPr>
                      <w:rFonts w:hint="eastAsia"/>
                      <w:color w:val="auto"/>
                      <w:highlight w:val="none"/>
                    </w:rPr>
                    <w:t xml:space="preserve"> </w:t>
                  </w:r>
                  <w:r>
                    <w:rPr>
                      <w:color w:val="auto"/>
                      <w:highlight w:val="none"/>
                    </w:rPr>
                    <w:t>37822-2019）要求，做好VOCs物料储存、物料转移和输送、工艺过程、设备与管线组件、敞开液面VOCs排放，以及VOCs无组织排放废气收集处理系统要求。</w:t>
                  </w:r>
                </w:p>
                <w:p w14:paraId="4CA6BB94">
                  <w:pPr>
                    <w:pStyle w:val="13"/>
                    <w:jc w:val="left"/>
                    <w:rPr>
                      <w:color w:val="auto"/>
                      <w:highlight w:val="none"/>
                    </w:rPr>
                  </w:pPr>
                  <w:r>
                    <w:rPr>
                      <w:rFonts w:hint="eastAsia"/>
                      <w:color w:val="auto"/>
                      <w:highlight w:val="none"/>
                    </w:rPr>
                    <w:t>5、实行厂网一体化建设，推行厂网一体化管理。深入开展城镇污水处理提质增效行动，加快推进城市老旧小区和管网空白区污水管网建设，实施城市、县城市政污水管网更新修复。因地制宜，稳步推进城市初期雨水收集处理设施建设。</w:t>
                  </w:r>
                </w:p>
                <w:p w14:paraId="3376FC86">
                  <w:pPr>
                    <w:pStyle w:val="13"/>
                    <w:jc w:val="left"/>
                    <w:rPr>
                      <w:color w:val="auto"/>
                      <w:highlight w:val="none"/>
                    </w:rPr>
                  </w:pPr>
                  <w:r>
                    <w:rPr>
                      <w:rFonts w:hint="eastAsia"/>
                      <w:color w:val="auto"/>
                      <w:highlight w:val="none"/>
                    </w:rPr>
                    <w:t>6、加强无组织废气排放控制，含VOCs物料的储存、输送、投料、卸料，涉及VOCs物料的生产及含VOCs产品分装等过程应密闭操作。反应尾气、蒸馏装置不凝尾气等工艺排气，工艺容器的置换气、吹扫气、抽真空排气等应进行收集治理。</w:t>
                  </w:r>
                </w:p>
                <w:p w14:paraId="76C27FC3">
                  <w:pPr>
                    <w:pStyle w:val="13"/>
                    <w:jc w:val="left"/>
                    <w:rPr>
                      <w:color w:val="auto"/>
                      <w:highlight w:val="none"/>
                    </w:rPr>
                  </w:pPr>
                  <w:r>
                    <w:rPr>
                      <w:rFonts w:hint="eastAsia"/>
                      <w:color w:val="auto"/>
                      <w:highlight w:val="none"/>
                    </w:rPr>
                    <w:t>7、推进治污设施升级改造，通过采用全密闭、连续化、自动化等生产技术，以及高效工艺与设备等，减少工艺过程无组织排放。提高废气收集率，遵循“应收尽收、分质收集”的原则，科学设计废气收集系统，将无组织排放转变为有组织排放进行控制，采用密闭空间作业的，除行业有特殊要求外，应保持微负压状态，并根据相关规范合理设置通风量。</w:t>
                  </w:r>
                </w:p>
                <w:p w14:paraId="1EAC48F0">
                  <w:pPr>
                    <w:pStyle w:val="13"/>
                    <w:jc w:val="left"/>
                    <w:rPr>
                      <w:color w:val="auto"/>
                      <w:highlight w:val="none"/>
                    </w:rPr>
                  </w:pPr>
                  <w:r>
                    <w:rPr>
                      <w:rFonts w:hint="eastAsia"/>
                      <w:color w:val="auto"/>
                      <w:highlight w:val="none"/>
                    </w:rPr>
                    <w:t>8、严格控制工业企业生产过程及相关物料储存、输送等无组织排放，在保障生产安全的前提下，采取密闭、封闭等有效措施，有效提高废气收集率，产尘点及车间不得有可见烟粉尘外逸。物料采用密闭皮带、封闭通廊、管状带式输送机或密闭车厢、真空罐车、气力输送等方式输送，原料仓库外及车间外禁止采用铲车、推土机等设备进行物料转运。散状物料应采用原料仓库、料仓等方式进行储存，采用密闭、封闭等方式输送。</w:t>
                  </w:r>
                </w:p>
              </w:tc>
              <w:tc>
                <w:tcPr>
                  <w:tcW w:w="1467" w:type="pct"/>
                  <w:vAlign w:val="center"/>
                </w:tcPr>
                <w:p w14:paraId="5276E4A5">
                  <w:pPr>
                    <w:pStyle w:val="13"/>
                    <w:jc w:val="left"/>
                    <w:rPr>
                      <w:color w:val="auto"/>
                      <w:highlight w:val="none"/>
                    </w:rPr>
                  </w:pPr>
                  <w:r>
                    <w:rPr>
                      <w:color w:val="auto"/>
                      <w:highlight w:val="none"/>
                    </w:rPr>
                    <w:t>1、本项目建成后污染物处理达标后排放，不会超过总量控制；</w:t>
                  </w:r>
                </w:p>
                <w:p w14:paraId="362E7664">
                  <w:pPr>
                    <w:pStyle w:val="13"/>
                    <w:jc w:val="left"/>
                    <w:rPr>
                      <w:color w:val="auto"/>
                      <w:highlight w:val="none"/>
                    </w:rPr>
                  </w:pPr>
                  <w:r>
                    <w:rPr>
                      <w:rFonts w:hint="eastAsia"/>
                      <w:color w:val="auto"/>
                      <w:highlight w:val="none"/>
                    </w:rPr>
                    <w:t>2</w:t>
                  </w:r>
                  <w:r>
                    <w:rPr>
                      <w:color w:val="auto"/>
                      <w:highlight w:val="none"/>
                    </w:rPr>
                    <w:t>、</w:t>
                  </w:r>
                  <w:r>
                    <w:rPr>
                      <w:rFonts w:hint="eastAsia"/>
                      <w:color w:val="auto"/>
                      <w:highlight w:val="none"/>
                      <w:lang w:eastAsia="zh-CN"/>
                    </w:rPr>
                    <w:t>生活污水经隔油池、化粪池处理达酉华镇污水处理站接管标准后，与调质废水一起纳管排入酉华镇污水处理站处理，达到《城镇污水处理站污染物排放标准》（GB 18918-2002）一级A标准后排入七星河</w:t>
                  </w:r>
                  <w:r>
                    <w:rPr>
                      <w:color w:val="auto"/>
                      <w:highlight w:val="none"/>
                    </w:rPr>
                    <w:t>；</w:t>
                  </w:r>
                </w:p>
                <w:p w14:paraId="2F80BC1C">
                  <w:pPr>
                    <w:pStyle w:val="13"/>
                    <w:jc w:val="left"/>
                    <w:rPr>
                      <w:color w:val="auto"/>
                      <w:highlight w:val="none"/>
                    </w:rPr>
                  </w:pPr>
                  <w:r>
                    <w:rPr>
                      <w:rFonts w:hint="eastAsia"/>
                      <w:color w:val="auto"/>
                      <w:highlight w:val="none"/>
                    </w:rPr>
                    <w:t>3</w:t>
                  </w:r>
                  <w:r>
                    <w:rPr>
                      <w:color w:val="auto"/>
                      <w:highlight w:val="none"/>
                    </w:rPr>
                    <w:t>、本项目颗粒物处理达标后排放，对环境空气质量影响可接受。</w:t>
                  </w:r>
                </w:p>
                <w:p w14:paraId="78BD5995">
                  <w:pPr>
                    <w:pStyle w:val="13"/>
                    <w:jc w:val="left"/>
                    <w:rPr>
                      <w:color w:val="auto"/>
                      <w:highlight w:val="none"/>
                    </w:rPr>
                  </w:pPr>
                  <w:r>
                    <w:rPr>
                      <w:rFonts w:hint="eastAsia"/>
                      <w:color w:val="auto"/>
                      <w:highlight w:val="none"/>
                    </w:rPr>
                    <w:t>4</w:t>
                  </w:r>
                  <w:r>
                    <w:rPr>
                      <w:color w:val="auto"/>
                      <w:highlight w:val="none"/>
                    </w:rPr>
                    <w:t>、</w:t>
                  </w:r>
                  <w:r>
                    <w:rPr>
                      <w:rFonts w:hint="eastAsia"/>
                      <w:color w:val="auto"/>
                      <w:highlight w:val="none"/>
                    </w:rPr>
                    <w:t>本项目不涉及VOCs物料；</w:t>
                  </w:r>
                </w:p>
                <w:p w14:paraId="13229A0D">
                  <w:pPr>
                    <w:pStyle w:val="13"/>
                    <w:jc w:val="left"/>
                    <w:rPr>
                      <w:color w:val="auto"/>
                      <w:highlight w:val="none"/>
                    </w:rPr>
                  </w:pPr>
                  <w:r>
                    <w:rPr>
                      <w:rFonts w:hint="eastAsia"/>
                      <w:color w:val="auto"/>
                      <w:highlight w:val="none"/>
                    </w:rPr>
                    <w:t>5、项目生活污水已接管酉华镇污水处理站；</w:t>
                  </w:r>
                </w:p>
                <w:p w14:paraId="317C8E02">
                  <w:pPr>
                    <w:pStyle w:val="13"/>
                    <w:jc w:val="left"/>
                    <w:rPr>
                      <w:color w:val="auto"/>
                      <w:highlight w:val="none"/>
                    </w:rPr>
                  </w:pPr>
                  <w:r>
                    <w:rPr>
                      <w:rFonts w:hint="eastAsia"/>
                      <w:color w:val="auto"/>
                      <w:highlight w:val="none"/>
                    </w:rPr>
                    <w:t>6、项目生产操作过程中废气有相应收集治理措施；</w:t>
                  </w:r>
                </w:p>
                <w:p w14:paraId="1260BFCA">
                  <w:pPr>
                    <w:pStyle w:val="13"/>
                    <w:jc w:val="left"/>
                    <w:rPr>
                      <w:color w:val="auto"/>
                      <w:highlight w:val="none"/>
                    </w:rPr>
                  </w:pPr>
                  <w:r>
                    <w:rPr>
                      <w:rFonts w:hint="eastAsia"/>
                      <w:color w:val="auto"/>
                      <w:highlight w:val="none"/>
                    </w:rPr>
                    <w:t>7、项目采用设备自动上料技术，减少工艺过程无组织排放。</w:t>
                  </w:r>
                </w:p>
                <w:p w14:paraId="24AA72CA">
                  <w:pPr>
                    <w:pStyle w:val="13"/>
                    <w:jc w:val="left"/>
                    <w:rPr>
                      <w:color w:val="auto"/>
                      <w:highlight w:val="none"/>
                    </w:rPr>
                  </w:pPr>
                  <w:r>
                    <w:rPr>
                      <w:rFonts w:hint="eastAsia"/>
                      <w:color w:val="auto"/>
                      <w:highlight w:val="none"/>
                    </w:rPr>
                    <w:t>8、项目原辅料均有包装，上料过程密闭，转运和储存过程密闭，降低了物料储存、输送等无组织排放。</w:t>
                  </w:r>
                </w:p>
              </w:tc>
              <w:tc>
                <w:tcPr>
                  <w:tcW w:w="293" w:type="pct"/>
                  <w:vMerge w:val="continue"/>
                  <w:vAlign w:val="center"/>
                </w:tcPr>
                <w:p w14:paraId="3A027105">
                  <w:pPr>
                    <w:pStyle w:val="13"/>
                    <w:rPr>
                      <w:color w:val="auto"/>
                      <w:highlight w:val="none"/>
                    </w:rPr>
                  </w:pPr>
                </w:p>
              </w:tc>
            </w:tr>
            <w:tr w14:paraId="52FD6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230" w:type="pct"/>
                  <w:vMerge w:val="continue"/>
                  <w:vAlign w:val="center"/>
                </w:tcPr>
                <w:p w14:paraId="1CD0C4F2">
                  <w:pPr>
                    <w:pStyle w:val="13"/>
                    <w:rPr>
                      <w:color w:val="auto"/>
                      <w:highlight w:val="none"/>
                    </w:rPr>
                  </w:pPr>
                </w:p>
              </w:tc>
              <w:tc>
                <w:tcPr>
                  <w:tcW w:w="233" w:type="pct"/>
                  <w:vMerge w:val="continue"/>
                  <w:vAlign w:val="center"/>
                </w:tcPr>
                <w:p w14:paraId="10204039">
                  <w:pPr>
                    <w:pStyle w:val="13"/>
                    <w:rPr>
                      <w:color w:val="auto"/>
                      <w:highlight w:val="none"/>
                    </w:rPr>
                  </w:pPr>
                </w:p>
              </w:tc>
              <w:tc>
                <w:tcPr>
                  <w:tcW w:w="228" w:type="pct"/>
                  <w:vAlign w:val="center"/>
                </w:tcPr>
                <w:p w14:paraId="404C890C">
                  <w:pPr>
                    <w:pStyle w:val="13"/>
                    <w:rPr>
                      <w:color w:val="auto"/>
                      <w:highlight w:val="none"/>
                    </w:rPr>
                  </w:pPr>
                  <w:r>
                    <w:rPr>
                      <w:rFonts w:hint="eastAsia"/>
                      <w:color w:val="auto"/>
                      <w:highlight w:val="none"/>
                    </w:rPr>
                    <w:t>环境风险管控</w:t>
                  </w:r>
                </w:p>
              </w:tc>
              <w:tc>
                <w:tcPr>
                  <w:tcW w:w="2546" w:type="pct"/>
                  <w:vAlign w:val="center"/>
                </w:tcPr>
                <w:p w14:paraId="53326FFE">
                  <w:pPr>
                    <w:pStyle w:val="13"/>
                    <w:jc w:val="left"/>
                    <w:rPr>
                      <w:color w:val="auto"/>
                      <w:highlight w:val="none"/>
                    </w:rPr>
                  </w:pPr>
                  <w:r>
                    <w:rPr>
                      <w:rFonts w:hint="eastAsia"/>
                      <w:color w:val="auto"/>
                      <w:highlight w:val="none"/>
                    </w:rPr>
                    <w:t>1、落实工业企业环境风险防范主体责任，以石油、化工、涉重金属等企业为重点，合理布设企业生产设施，强化工业企业应急导流槽、事故调蓄池、应急闸坝等事故排水收集截留设施以及事故水输送设施建设，合理设置消防事故水池；</w:t>
                  </w:r>
                </w:p>
                <w:p w14:paraId="50FF4CEC">
                  <w:pPr>
                    <w:pStyle w:val="13"/>
                    <w:jc w:val="left"/>
                    <w:rPr>
                      <w:color w:val="auto"/>
                      <w:highlight w:val="none"/>
                    </w:rPr>
                  </w:pPr>
                  <w:r>
                    <w:rPr>
                      <w:rFonts w:hint="eastAsia"/>
                      <w:color w:val="auto"/>
                      <w:highlight w:val="none"/>
                    </w:rPr>
                    <w:t>2、加强突发水污染事件风险防控能力建设，建立从水污染物产生到排放的全过程监管体系。强化园区内生活区、工业区周边地表水体的保护，建立园区水环境预警及应急系统。健全风险管理及应急处置体系。重点加强河湖生态安全调查、饮用水保护区监测能力建设，形成完备的监测、预警、调度、应急、处置和控制体系。</w:t>
                  </w:r>
                </w:p>
              </w:tc>
              <w:tc>
                <w:tcPr>
                  <w:tcW w:w="1467" w:type="pct"/>
                  <w:vAlign w:val="center"/>
                </w:tcPr>
                <w:p w14:paraId="6D36D7EB">
                  <w:pPr>
                    <w:pStyle w:val="13"/>
                    <w:jc w:val="left"/>
                    <w:rPr>
                      <w:color w:val="auto"/>
                      <w:highlight w:val="none"/>
                    </w:rPr>
                  </w:pPr>
                  <w:r>
                    <w:rPr>
                      <w:rFonts w:hint="eastAsia"/>
                      <w:color w:val="auto"/>
                      <w:highlight w:val="none"/>
                    </w:rPr>
                    <w:t>1、项目生产设施全部位于室内，设有分区防渗措施；</w:t>
                  </w:r>
                </w:p>
                <w:p w14:paraId="6C063892">
                  <w:pPr>
                    <w:pStyle w:val="13"/>
                    <w:jc w:val="left"/>
                    <w:rPr>
                      <w:color w:val="auto"/>
                      <w:highlight w:val="none"/>
                    </w:rPr>
                  </w:pPr>
                  <w:r>
                    <w:rPr>
                      <w:rFonts w:hint="eastAsia"/>
                      <w:color w:val="auto"/>
                      <w:highlight w:val="none"/>
                    </w:rPr>
                    <w:t>2、项目已设置分区防渗措施，项目建成后成立环境突发事件应急小组，编制环境突发事件应急预案，将形成完备的监测、预警、调度、应急、处置和控制体系。</w:t>
                  </w:r>
                </w:p>
              </w:tc>
              <w:tc>
                <w:tcPr>
                  <w:tcW w:w="293" w:type="pct"/>
                  <w:vMerge w:val="continue"/>
                  <w:vAlign w:val="center"/>
                </w:tcPr>
                <w:p w14:paraId="45B52FF3">
                  <w:pPr>
                    <w:pStyle w:val="13"/>
                    <w:rPr>
                      <w:color w:val="auto"/>
                      <w:highlight w:val="none"/>
                    </w:rPr>
                  </w:pPr>
                </w:p>
              </w:tc>
            </w:tr>
            <w:tr w14:paraId="527CF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230" w:type="pct"/>
                  <w:vMerge w:val="continue"/>
                  <w:vAlign w:val="center"/>
                </w:tcPr>
                <w:p w14:paraId="5D8AD9FB">
                  <w:pPr>
                    <w:pStyle w:val="13"/>
                    <w:rPr>
                      <w:color w:val="auto"/>
                      <w:highlight w:val="none"/>
                    </w:rPr>
                  </w:pPr>
                </w:p>
              </w:tc>
              <w:tc>
                <w:tcPr>
                  <w:tcW w:w="233" w:type="pct"/>
                  <w:vMerge w:val="continue"/>
                  <w:vAlign w:val="center"/>
                </w:tcPr>
                <w:p w14:paraId="32D95A8F">
                  <w:pPr>
                    <w:pStyle w:val="13"/>
                    <w:rPr>
                      <w:color w:val="auto"/>
                      <w:highlight w:val="none"/>
                    </w:rPr>
                  </w:pPr>
                </w:p>
              </w:tc>
              <w:tc>
                <w:tcPr>
                  <w:tcW w:w="228" w:type="pct"/>
                  <w:vAlign w:val="center"/>
                </w:tcPr>
                <w:p w14:paraId="5773FAC3">
                  <w:pPr>
                    <w:pStyle w:val="13"/>
                    <w:rPr>
                      <w:color w:val="auto"/>
                      <w:highlight w:val="none"/>
                    </w:rPr>
                  </w:pPr>
                  <w:r>
                    <w:rPr>
                      <w:color w:val="auto"/>
                      <w:highlight w:val="none"/>
                    </w:rPr>
                    <w:t>资源开发效率要求</w:t>
                  </w:r>
                </w:p>
              </w:tc>
              <w:tc>
                <w:tcPr>
                  <w:tcW w:w="2546" w:type="pct"/>
                  <w:vAlign w:val="center"/>
                </w:tcPr>
                <w:p w14:paraId="1767EA60">
                  <w:pPr>
                    <w:pStyle w:val="13"/>
                    <w:jc w:val="left"/>
                    <w:rPr>
                      <w:color w:val="auto"/>
                      <w:highlight w:val="none"/>
                    </w:rPr>
                  </w:pPr>
                  <w:r>
                    <w:rPr>
                      <w:rFonts w:hint="eastAsia"/>
                      <w:color w:val="auto"/>
                      <w:highlight w:val="none"/>
                    </w:rPr>
                    <w:t>1</w:t>
                  </w:r>
                  <w:r>
                    <w:rPr>
                      <w:color w:val="auto"/>
                      <w:highlight w:val="none"/>
                    </w:rPr>
                    <w:t>、在禁燃区内的企业事业单位和其他生产经营者，应当在规定的期限内停止使用高污染燃料，改用天然气、液化石油气、电能或者其他清洁能源</w:t>
                  </w:r>
                  <w:r>
                    <w:rPr>
                      <w:rFonts w:hint="eastAsia"/>
                      <w:color w:val="auto"/>
                      <w:highlight w:val="none"/>
                    </w:rPr>
                    <w:t>；</w:t>
                  </w:r>
                </w:p>
                <w:p w14:paraId="08972F0F">
                  <w:pPr>
                    <w:pStyle w:val="13"/>
                    <w:jc w:val="left"/>
                    <w:rPr>
                      <w:color w:val="auto"/>
                      <w:highlight w:val="none"/>
                    </w:rPr>
                  </w:pPr>
                  <w:r>
                    <w:rPr>
                      <w:rFonts w:hint="eastAsia"/>
                      <w:color w:val="auto"/>
                      <w:highlight w:val="none"/>
                    </w:rPr>
                    <w:t>2</w:t>
                  </w:r>
                  <w:r>
                    <w:rPr>
                      <w:color w:val="auto"/>
                      <w:highlight w:val="none"/>
                    </w:rPr>
                    <w:t>、按照省政府下达给区域各市的水资源利用总量及效率要求执行；</w:t>
                  </w:r>
                </w:p>
                <w:p w14:paraId="2AF4FF2F">
                  <w:pPr>
                    <w:pStyle w:val="13"/>
                    <w:jc w:val="left"/>
                    <w:rPr>
                      <w:color w:val="auto"/>
                      <w:highlight w:val="none"/>
                    </w:rPr>
                  </w:pPr>
                  <w:r>
                    <w:rPr>
                      <w:rFonts w:hint="eastAsia"/>
                      <w:color w:val="auto"/>
                      <w:highlight w:val="none"/>
                    </w:rPr>
                    <w:t>3</w:t>
                  </w:r>
                  <w:r>
                    <w:rPr>
                      <w:color w:val="auto"/>
                      <w:highlight w:val="none"/>
                    </w:rPr>
                    <w:t>、按照省级清单中地下水开采要求执行；</w:t>
                  </w:r>
                </w:p>
                <w:p w14:paraId="13EE7269">
                  <w:pPr>
                    <w:pStyle w:val="13"/>
                    <w:jc w:val="left"/>
                    <w:rPr>
                      <w:color w:val="auto"/>
                      <w:highlight w:val="none"/>
                    </w:rPr>
                  </w:pPr>
                  <w:r>
                    <w:rPr>
                      <w:rFonts w:hint="eastAsia"/>
                      <w:color w:val="auto"/>
                      <w:highlight w:val="none"/>
                    </w:rPr>
                    <w:t>4</w:t>
                  </w:r>
                  <w:r>
                    <w:rPr>
                      <w:color w:val="auto"/>
                      <w:highlight w:val="none"/>
                    </w:rPr>
                    <w:t>、土地资源利用效率按照省政府下达给区域各市的要求执行</w:t>
                  </w:r>
                  <w:r>
                    <w:rPr>
                      <w:rFonts w:hint="eastAsia"/>
                      <w:color w:val="auto"/>
                      <w:highlight w:val="none"/>
                    </w:rPr>
                    <w:t>；</w:t>
                  </w:r>
                </w:p>
                <w:p w14:paraId="3DA7F2CC">
                  <w:pPr>
                    <w:pStyle w:val="13"/>
                    <w:jc w:val="left"/>
                    <w:rPr>
                      <w:color w:val="auto"/>
                      <w:highlight w:val="none"/>
                    </w:rPr>
                  </w:pPr>
                  <w:r>
                    <w:rPr>
                      <w:rFonts w:hint="eastAsia"/>
                      <w:color w:val="auto"/>
                      <w:highlight w:val="none"/>
                    </w:rPr>
                    <w:t>5、按照省政府下达给区域各市能源利用总量及效率要求执行；</w:t>
                  </w:r>
                </w:p>
                <w:p w14:paraId="6F1A4EFA">
                  <w:pPr>
                    <w:pStyle w:val="13"/>
                    <w:jc w:val="left"/>
                    <w:rPr>
                      <w:color w:val="auto"/>
                      <w:highlight w:val="none"/>
                    </w:rPr>
                  </w:pPr>
                  <w:r>
                    <w:rPr>
                      <w:rFonts w:hint="eastAsia"/>
                      <w:color w:val="auto"/>
                      <w:highlight w:val="none"/>
                    </w:rPr>
                    <w:t>6、按照省级清单中禁燃区要求执行。</w:t>
                  </w:r>
                </w:p>
              </w:tc>
              <w:tc>
                <w:tcPr>
                  <w:tcW w:w="1467" w:type="pct"/>
                  <w:vAlign w:val="center"/>
                </w:tcPr>
                <w:p w14:paraId="5F54C8FA">
                  <w:pPr>
                    <w:pStyle w:val="13"/>
                    <w:jc w:val="left"/>
                    <w:rPr>
                      <w:color w:val="auto"/>
                      <w:highlight w:val="none"/>
                    </w:rPr>
                  </w:pPr>
                  <w:r>
                    <w:rPr>
                      <w:rFonts w:hint="eastAsia"/>
                      <w:color w:val="auto"/>
                      <w:highlight w:val="none"/>
                    </w:rPr>
                    <w:t>1、本项目位于高污染燃料禁燃区一般管控区，项目能源为电能、生物质颗粒；</w:t>
                  </w:r>
                </w:p>
                <w:p w14:paraId="52AEF7E9">
                  <w:pPr>
                    <w:pStyle w:val="13"/>
                    <w:jc w:val="left"/>
                    <w:rPr>
                      <w:color w:val="auto"/>
                      <w:highlight w:val="none"/>
                    </w:rPr>
                  </w:pPr>
                  <w:r>
                    <w:rPr>
                      <w:rFonts w:hint="eastAsia"/>
                      <w:color w:val="auto"/>
                      <w:highlight w:val="none"/>
                    </w:rPr>
                    <w:t>2、本项目符合水资源利用总量及效率要求；</w:t>
                  </w:r>
                </w:p>
                <w:p w14:paraId="1D697E5D">
                  <w:pPr>
                    <w:pStyle w:val="13"/>
                    <w:jc w:val="left"/>
                    <w:rPr>
                      <w:color w:val="auto"/>
                      <w:highlight w:val="none"/>
                    </w:rPr>
                  </w:pPr>
                  <w:r>
                    <w:rPr>
                      <w:rFonts w:hint="eastAsia"/>
                      <w:color w:val="auto"/>
                      <w:highlight w:val="none"/>
                    </w:rPr>
                    <w:t>3、本项目不涉及地下水开采要求；</w:t>
                  </w:r>
                </w:p>
                <w:p w14:paraId="73216BA8">
                  <w:pPr>
                    <w:pStyle w:val="13"/>
                    <w:jc w:val="left"/>
                    <w:rPr>
                      <w:color w:val="auto"/>
                      <w:highlight w:val="none"/>
                    </w:rPr>
                  </w:pPr>
                  <w:r>
                    <w:rPr>
                      <w:rFonts w:hint="eastAsia"/>
                      <w:color w:val="auto"/>
                      <w:highlight w:val="none"/>
                    </w:rPr>
                    <w:t>4、本项目购买安徽省青阳县荣华炉料有限公司现有闲置土地，不新增用地，</w:t>
                  </w:r>
                  <w:r>
                    <w:rPr>
                      <w:color w:val="auto"/>
                      <w:highlight w:val="none"/>
                    </w:rPr>
                    <w:t>土地资源利用效率</w:t>
                  </w:r>
                  <w:r>
                    <w:rPr>
                      <w:rFonts w:hint="eastAsia"/>
                      <w:color w:val="auto"/>
                      <w:highlight w:val="none"/>
                    </w:rPr>
                    <w:t>符合要求；</w:t>
                  </w:r>
                </w:p>
                <w:p w14:paraId="642BFCDF">
                  <w:pPr>
                    <w:pStyle w:val="13"/>
                    <w:jc w:val="left"/>
                    <w:rPr>
                      <w:color w:val="auto"/>
                      <w:highlight w:val="none"/>
                    </w:rPr>
                  </w:pPr>
                  <w:r>
                    <w:rPr>
                      <w:rFonts w:hint="eastAsia"/>
                      <w:color w:val="auto"/>
                      <w:highlight w:val="none"/>
                    </w:rPr>
                    <w:t>5、本项目使用电能、生物质颗粒，符合池州市能源利用总量及效率要求；</w:t>
                  </w:r>
                </w:p>
                <w:p w14:paraId="0690E622">
                  <w:pPr>
                    <w:pStyle w:val="13"/>
                    <w:jc w:val="left"/>
                    <w:rPr>
                      <w:color w:val="auto"/>
                      <w:highlight w:val="none"/>
                    </w:rPr>
                  </w:pPr>
                  <w:r>
                    <w:rPr>
                      <w:rFonts w:hint="eastAsia"/>
                      <w:color w:val="auto"/>
                      <w:highlight w:val="none"/>
                    </w:rPr>
                    <w:t>6、本项目位于高污染燃料禁燃区一般管控区，不涉及燃料的使用。</w:t>
                  </w:r>
                </w:p>
              </w:tc>
              <w:tc>
                <w:tcPr>
                  <w:tcW w:w="293" w:type="pct"/>
                  <w:vMerge w:val="continue"/>
                  <w:vAlign w:val="center"/>
                </w:tcPr>
                <w:p w14:paraId="7FD96823">
                  <w:pPr>
                    <w:pStyle w:val="13"/>
                    <w:rPr>
                      <w:color w:val="auto"/>
                      <w:highlight w:val="none"/>
                    </w:rPr>
                  </w:pPr>
                </w:p>
              </w:tc>
            </w:tr>
          </w:tbl>
          <w:p w14:paraId="1E829985">
            <w:pPr>
              <w:ind w:firstLine="480"/>
              <w:rPr>
                <w:color w:val="auto"/>
                <w:highlight w:val="none"/>
              </w:rPr>
            </w:pPr>
          </w:p>
        </w:tc>
      </w:tr>
      <w:tr w14:paraId="23BE4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73" w:type="dxa"/>
          </w:tcPr>
          <w:p w14:paraId="58B20A25">
            <w:pPr>
              <w:pStyle w:val="13"/>
              <w:rPr>
                <w:color w:val="auto"/>
                <w:highlight w:val="none"/>
              </w:rPr>
            </w:pPr>
          </w:p>
          <w:p w14:paraId="413C099A">
            <w:pPr>
              <w:pStyle w:val="13"/>
              <w:rPr>
                <w:color w:val="auto"/>
                <w:highlight w:val="none"/>
              </w:rPr>
            </w:pPr>
          </w:p>
          <w:p w14:paraId="374942D2">
            <w:pPr>
              <w:pStyle w:val="13"/>
              <w:rPr>
                <w:color w:val="auto"/>
                <w:highlight w:val="none"/>
              </w:rPr>
            </w:pPr>
            <w:r>
              <w:rPr>
                <w:rFonts w:hint="eastAsia"/>
                <w:color w:val="auto"/>
                <w:highlight w:val="none"/>
              </w:rPr>
              <w:drawing>
                <wp:inline distT="0" distB="0" distL="114300" distR="114300">
                  <wp:extent cx="9174480" cy="4968240"/>
                  <wp:effectExtent l="0" t="0" r="7620" b="3810"/>
                  <wp:docPr id="4" name="图片 4" descr="1、分区管控图-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分区管控图-_01"/>
                          <pic:cNvPicPr>
                            <a:picLocks noChangeAspect="1"/>
                          </pic:cNvPicPr>
                        </pic:nvPicPr>
                        <pic:blipFill>
                          <a:blip r:embed="rId13"/>
                          <a:srcRect t="11182" b="12243"/>
                          <a:stretch>
                            <a:fillRect/>
                          </a:stretch>
                        </pic:blipFill>
                        <pic:spPr>
                          <a:xfrm>
                            <a:off x="0" y="0"/>
                            <a:ext cx="9174480" cy="4968240"/>
                          </a:xfrm>
                          <a:prstGeom prst="rect">
                            <a:avLst/>
                          </a:prstGeom>
                        </pic:spPr>
                      </pic:pic>
                    </a:graphicData>
                  </a:graphic>
                </wp:inline>
              </w:drawing>
            </w:r>
          </w:p>
          <w:p w14:paraId="10953F05">
            <w:pPr>
              <w:pStyle w:val="13"/>
              <w:rPr>
                <w:color w:val="auto"/>
                <w:highlight w:val="none"/>
              </w:rPr>
            </w:pPr>
          </w:p>
          <w:p w14:paraId="489F564B">
            <w:pPr>
              <w:pStyle w:val="13"/>
              <w:rPr>
                <w:color w:val="auto"/>
                <w:highlight w:val="none"/>
              </w:rPr>
            </w:pPr>
          </w:p>
        </w:tc>
      </w:tr>
      <w:tr w14:paraId="60858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73" w:type="dxa"/>
          </w:tcPr>
          <w:p w14:paraId="5699ACC2">
            <w:pPr>
              <w:pStyle w:val="13"/>
              <w:rPr>
                <w:color w:val="auto"/>
                <w:highlight w:val="none"/>
              </w:rPr>
            </w:pPr>
            <w:r>
              <w:rPr>
                <w:rFonts w:hint="eastAsia"/>
                <w:color w:val="auto"/>
                <w:highlight w:val="none"/>
              </w:rPr>
              <w:drawing>
                <wp:inline distT="0" distB="0" distL="114300" distR="114300">
                  <wp:extent cx="7199630" cy="5708650"/>
                  <wp:effectExtent l="0" t="0" r="0" b="0"/>
                  <wp:docPr id="5" name="图片 5" descr="1、分区管控图-丹青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分区管控图-丹青_01"/>
                          <pic:cNvPicPr>
                            <a:picLocks noChangeAspect="1"/>
                          </pic:cNvPicPr>
                        </pic:nvPicPr>
                        <pic:blipFill>
                          <a:blip r:embed="rId14"/>
                          <a:srcRect l="8070" t="2488" r="7758" b="3118"/>
                          <a:stretch>
                            <a:fillRect/>
                          </a:stretch>
                        </pic:blipFill>
                        <pic:spPr>
                          <a:xfrm>
                            <a:off x="0" y="0"/>
                            <a:ext cx="7199630" cy="5708650"/>
                          </a:xfrm>
                          <a:prstGeom prst="rect">
                            <a:avLst/>
                          </a:prstGeom>
                        </pic:spPr>
                      </pic:pic>
                    </a:graphicData>
                  </a:graphic>
                </wp:inline>
              </w:drawing>
            </w:r>
          </w:p>
        </w:tc>
      </w:tr>
      <w:tr w14:paraId="4E37E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73" w:type="dxa"/>
          </w:tcPr>
          <w:p w14:paraId="7D01EEED">
            <w:pPr>
              <w:pStyle w:val="13"/>
              <w:rPr>
                <w:color w:val="auto"/>
                <w:highlight w:val="none"/>
              </w:rPr>
            </w:pPr>
            <w:r>
              <w:rPr>
                <w:rFonts w:hint="eastAsia"/>
                <w:color w:val="auto"/>
                <w:highlight w:val="none"/>
              </w:rPr>
              <w:drawing>
                <wp:inline distT="0" distB="0" distL="114300" distR="114300">
                  <wp:extent cx="7200265" cy="5686425"/>
                  <wp:effectExtent l="0" t="0" r="635" b="9525"/>
                  <wp:docPr id="7" name="图片 7" descr="1、分区管控图-丹青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分区管控图-丹青_02"/>
                          <pic:cNvPicPr>
                            <a:picLocks noChangeAspect="1"/>
                          </pic:cNvPicPr>
                        </pic:nvPicPr>
                        <pic:blipFill>
                          <a:blip r:embed="rId15"/>
                          <a:srcRect l="7847" t="2551" r="7758" b="3181"/>
                          <a:stretch>
                            <a:fillRect/>
                          </a:stretch>
                        </pic:blipFill>
                        <pic:spPr>
                          <a:xfrm>
                            <a:off x="0" y="0"/>
                            <a:ext cx="7200265" cy="5686425"/>
                          </a:xfrm>
                          <a:prstGeom prst="rect">
                            <a:avLst/>
                          </a:prstGeom>
                        </pic:spPr>
                      </pic:pic>
                    </a:graphicData>
                  </a:graphic>
                </wp:inline>
              </w:drawing>
            </w:r>
          </w:p>
        </w:tc>
      </w:tr>
      <w:tr w14:paraId="23292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673" w:type="dxa"/>
          </w:tcPr>
          <w:p w14:paraId="527665B8">
            <w:pPr>
              <w:pStyle w:val="13"/>
              <w:rPr>
                <w:color w:val="auto"/>
                <w:highlight w:val="none"/>
              </w:rPr>
            </w:pPr>
            <w:r>
              <w:rPr>
                <w:rFonts w:hint="eastAsia"/>
                <w:color w:val="auto"/>
                <w:highlight w:val="none"/>
              </w:rPr>
              <w:drawing>
                <wp:inline distT="0" distB="0" distL="114300" distR="114300">
                  <wp:extent cx="7200265" cy="5692775"/>
                  <wp:effectExtent l="0" t="0" r="635" b="3175"/>
                  <wp:docPr id="10" name="图片 10" descr="1、分区管控图-丹青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分区管控图-丹青_03"/>
                          <pic:cNvPicPr>
                            <a:picLocks noChangeAspect="1"/>
                          </pic:cNvPicPr>
                        </pic:nvPicPr>
                        <pic:blipFill>
                          <a:blip r:embed="rId16"/>
                          <a:srcRect l="8181" t="2646" r="7758" b="3360"/>
                          <a:stretch>
                            <a:fillRect/>
                          </a:stretch>
                        </pic:blipFill>
                        <pic:spPr>
                          <a:xfrm>
                            <a:off x="0" y="0"/>
                            <a:ext cx="7200265" cy="5692775"/>
                          </a:xfrm>
                          <a:prstGeom prst="rect">
                            <a:avLst/>
                          </a:prstGeom>
                        </pic:spPr>
                      </pic:pic>
                    </a:graphicData>
                  </a:graphic>
                </wp:inline>
              </w:drawing>
            </w:r>
          </w:p>
        </w:tc>
      </w:tr>
      <w:tr w14:paraId="66399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73" w:type="dxa"/>
          </w:tcPr>
          <w:p w14:paraId="7CAF255F">
            <w:pPr>
              <w:pStyle w:val="13"/>
              <w:rPr>
                <w:color w:val="auto"/>
                <w:highlight w:val="none"/>
              </w:rPr>
            </w:pPr>
            <w:r>
              <w:rPr>
                <w:rFonts w:hint="eastAsia"/>
                <w:color w:val="auto"/>
                <w:highlight w:val="none"/>
              </w:rPr>
              <w:drawing>
                <wp:inline distT="0" distB="0" distL="114300" distR="114300">
                  <wp:extent cx="7199630" cy="5662930"/>
                  <wp:effectExtent l="0" t="0" r="0" b="0"/>
                  <wp:docPr id="11" name="图片 11" descr="1、分区管控图-丹青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分区管控图-丹青_04"/>
                          <pic:cNvPicPr>
                            <a:picLocks noChangeAspect="1"/>
                          </pic:cNvPicPr>
                        </pic:nvPicPr>
                        <pic:blipFill>
                          <a:blip r:embed="rId17"/>
                          <a:srcRect l="8070" t="2866" r="7758" b="3496"/>
                          <a:stretch>
                            <a:fillRect/>
                          </a:stretch>
                        </pic:blipFill>
                        <pic:spPr>
                          <a:xfrm>
                            <a:off x="0" y="0"/>
                            <a:ext cx="7199630" cy="5662930"/>
                          </a:xfrm>
                          <a:prstGeom prst="rect">
                            <a:avLst/>
                          </a:prstGeom>
                        </pic:spPr>
                      </pic:pic>
                    </a:graphicData>
                  </a:graphic>
                </wp:inline>
              </w:drawing>
            </w:r>
          </w:p>
        </w:tc>
      </w:tr>
      <w:tr w14:paraId="4F77B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673" w:type="dxa"/>
          </w:tcPr>
          <w:p w14:paraId="4BB08F56">
            <w:pPr>
              <w:pStyle w:val="13"/>
              <w:rPr>
                <w:color w:val="auto"/>
                <w:highlight w:val="none"/>
              </w:rPr>
            </w:pPr>
            <w:r>
              <w:rPr>
                <w:rFonts w:hint="eastAsia"/>
                <w:color w:val="auto"/>
                <w:highlight w:val="none"/>
              </w:rPr>
              <w:drawing>
                <wp:inline distT="0" distB="0" distL="114300" distR="114300">
                  <wp:extent cx="7200265" cy="5681345"/>
                  <wp:effectExtent l="0" t="0" r="635" b="14605"/>
                  <wp:docPr id="12" name="图片 12" descr="1、分区管控图-丹青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分区管控图-丹青_05"/>
                          <pic:cNvPicPr>
                            <a:picLocks noChangeAspect="1"/>
                          </pic:cNvPicPr>
                        </pic:nvPicPr>
                        <pic:blipFill>
                          <a:blip r:embed="rId18"/>
                          <a:srcRect l="7958" t="2772" r="7758" b="3171"/>
                          <a:stretch>
                            <a:fillRect/>
                          </a:stretch>
                        </pic:blipFill>
                        <pic:spPr>
                          <a:xfrm>
                            <a:off x="0" y="0"/>
                            <a:ext cx="7200265" cy="5681345"/>
                          </a:xfrm>
                          <a:prstGeom prst="rect">
                            <a:avLst/>
                          </a:prstGeom>
                        </pic:spPr>
                      </pic:pic>
                    </a:graphicData>
                  </a:graphic>
                </wp:inline>
              </w:drawing>
            </w:r>
          </w:p>
        </w:tc>
      </w:tr>
      <w:tr w14:paraId="2D327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673" w:type="dxa"/>
          </w:tcPr>
          <w:p w14:paraId="3E1B0242">
            <w:pPr>
              <w:pStyle w:val="13"/>
              <w:rPr>
                <w:color w:val="auto"/>
                <w:highlight w:val="none"/>
              </w:rPr>
            </w:pPr>
            <w:r>
              <w:rPr>
                <w:rFonts w:hint="eastAsia"/>
                <w:color w:val="auto"/>
                <w:highlight w:val="none"/>
              </w:rPr>
              <w:drawing>
                <wp:inline distT="0" distB="0" distL="114300" distR="114300">
                  <wp:extent cx="7200265" cy="5674360"/>
                  <wp:effectExtent l="0" t="0" r="635" b="2540"/>
                  <wp:docPr id="13" name="图片 13" descr="1、分区管控图-丹青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分区管控图-丹青_06"/>
                          <pic:cNvPicPr>
                            <a:picLocks noChangeAspect="1"/>
                          </pic:cNvPicPr>
                        </pic:nvPicPr>
                        <pic:blipFill>
                          <a:blip r:embed="rId19"/>
                          <a:srcRect l="8055" t="2982" r="7825" b="3255"/>
                          <a:stretch>
                            <a:fillRect/>
                          </a:stretch>
                        </pic:blipFill>
                        <pic:spPr>
                          <a:xfrm>
                            <a:off x="0" y="0"/>
                            <a:ext cx="7200265" cy="5674360"/>
                          </a:xfrm>
                          <a:prstGeom prst="rect">
                            <a:avLst/>
                          </a:prstGeom>
                        </pic:spPr>
                      </pic:pic>
                    </a:graphicData>
                  </a:graphic>
                </wp:inline>
              </w:drawing>
            </w:r>
          </w:p>
        </w:tc>
      </w:tr>
      <w:tr w14:paraId="30845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73" w:type="dxa"/>
          </w:tcPr>
          <w:p w14:paraId="03034BEC">
            <w:pPr>
              <w:pStyle w:val="13"/>
              <w:rPr>
                <w:color w:val="auto"/>
                <w:highlight w:val="none"/>
              </w:rPr>
            </w:pPr>
            <w:r>
              <w:rPr>
                <w:rFonts w:hint="eastAsia"/>
                <w:color w:val="auto"/>
                <w:highlight w:val="none"/>
              </w:rPr>
              <w:drawing>
                <wp:inline distT="0" distB="0" distL="114300" distR="114300">
                  <wp:extent cx="7200265" cy="5669915"/>
                  <wp:effectExtent l="0" t="0" r="635" b="6985"/>
                  <wp:docPr id="14" name="图片 14" descr="1、分区管控图-丹青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分区管控图-丹青_07"/>
                          <pic:cNvPicPr>
                            <a:picLocks noChangeAspect="1"/>
                          </pic:cNvPicPr>
                        </pic:nvPicPr>
                        <pic:blipFill>
                          <a:blip r:embed="rId20"/>
                          <a:srcRect l="8070" t="2646" r="7535" b="3360"/>
                          <a:stretch>
                            <a:fillRect/>
                          </a:stretch>
                        </pic:blipFill>
                        <pic:spPr>
                          <a:xfrm>
                            <a:off x="0" y="0"/>
                            <a:ext cx="7200265" cy="5669915"/>
                          </a:xfrm>
                          <a:prstGeom prst="rect">
                            <a:avLst/>
                          </a:prstGeom>
                        </pic:spPr>
                      </pic:pic>
                    </a:graphicData>
                  </a:graphic>
                </wp:inline>
              </w:drawing>
            </w:r>
          </w:p>
        </w:tc>
      </w:tr>
      <w:tr w14:paraId="24A6A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73" w:type="dxa"/>
          </w:tcPr>
          <w:p w14:paraId="5F5395CC">
            <w:pPr>
              <w:pStyle w:val="13"/>
              <w:rPr>
                <w:color w:val="auto"/>
                <w:highlight w:val="none"/>
              </w:rPr>
            </w:pPr>
            <w:r>
              <w:rPr>
                <w:rFonts w:hint="eastAsia"/>
                <w:color w:val="auto"/>
                <w:highlight w:val="none"/>
              </w:rPr>
              <w:drawing>
                <wp:inline distT="0" distB="0" distL="114300" distR="114300">
                  <wp:extent cx="7200265" cy="5673090"/>
                  <wp:effectExtent l="0" t="0" r="635" b="3810"/>
                  <wp:docPr id="15" name="图片 15" descr="1、分区管控图-丹青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分区管控图-丹青_08"/>
                          <pic:cNvPicPr>
                            <a:picLocks noChangeAspect="1"/>
                          </pic:cNvPicPr>
                        </pic:nvPicPr>
                        <pic:blipFill>
                          <a:blip r:embed="rId21"/>
                          <a:srcRect l="7944" t="2530" r="7684" b="3454"/>
                          <a:stretch>
                            <a:fillRect/>
                          </a:stretch>
                        </pic:blipFill>
                        <pic:spPr>
                          <a:xfrm>
                            <a:off x="0" y="0"/>
                            <a:ext cx="7200265" cy="5673090"/>
                          </a:xfrm>
                          <a:prstGeom prst="rect">
                            <a:avLst/>
                          </a:prstGeom>
                        </pic:spPr>
                      </pic:pic>
                    </a:graphicData>
                  </a:graphic>
                </wp:inline>
              </w:drawing>
            </w:r>
          </w:p>
        </w:tc>
      </w:tr>
      <w:tr w14:paraId="2642D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73" w:type="dxa"/>
          </w:tcPr>
          <w:p w14:paraId="286DEA6E">
            <w:pPr>
              <w:pStyle w:val="2"/>
              <w:ind w:firstLine="482"/>
              <w:rPr>
                <w:color w:val="auto"/>
                <w:highlight w:val="none"/>
              </w:rPr>
            </w:pPr>
            <w:r>
              <w:rPr>
                <w:rFonts w:hint="eastAsia"/>
                <w:color w:val="auto"/>
                <w:highlight w:val="none"/>
              </w:rPr>
              <w:t>4、与其他法律法规政策符合性</w:t>
            </w:r>
          </w:p>
          <w:p w14:paraId="1BC7382F">
            <w:pPr>
              <w:pStyle w:val="14"/>
              <w:spacing w:before="156"/>
              <w:rPr>
                <w:color w:val="auto"/>
                <w:highlight w:val="none"/>
              </w:rPr>
            </w:pPr>
            <w:r>
              <w:rPr>
                <w:rFonts w:hint="eastAsia"/>
                <w:color w:val="auto"/>
                <w:highlight w:val="none"/>
              </w:rPr>
              <w:t>表1-</w:t>
            </w:r>
            <w:r>
              <w:rPr>
                <w:rFonts w:hint="eastAsia"/>
                <w:color w:val="auto"/>
                <w:highlight w:val="none"/>
                <w:lang w:val="en-US" w:eastAsia="zh-CN"/>
              </w:rPr>
              <w:t>4</w:t>
            </w:r>
            <w:r>
              <w:rPr>
                <w:rFonts w:hint="eastAsia"/>
                <w:color w:val="auto"/>
                <w:highlight w:val="none"/>
              </w:rPr>
              <w:t xml:space="preserve">  与相关法律、法规的符合性分析</w:t>
            </w:r>
          </w:p>
          <w:tbl>
            <w:tblPr>
              <w:tblStyle w:val="9"/>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39"/>
              <w:gridCol w:w="8642"/>
              <w:gridCol w:w="4001"/>
              <w:gridCol w:w="751"/>
            </w:tblGrid>
            <w:tr w14:paraId="5B267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60" w:type="pct"/>
                  <w:tcBorders>
                    <w:tl2br w:val="nil"/>
                    <w:tr2bl w:val="nil"/>
                  </w:tcBorders>
                  <w:vAlign w:val="center"/>
                </w:tcPr>
                <w:p w14:paraId="44C31BB8">
                  <w:pPr>
                    <w:pStyle w:val="13"/>
                    <w:rPr>
                      <w:b/>
                      <w:bCs/>
                      <w:color w:val="auto"/>
                      <w:highlight w:val="none"/>
                    </w:rPr>
                  </w:pPr>
                  <w:r>
                    <w:rPr>
                      <w:rFonts w:hint="eastAsia"/>
                      <w:b/>
                      <w:bCs/>
                      <w:color w:val="auto"/>
                      <w:highlight w:val="none"/>
                    </w:rPr>
                    <w:t>法律、法规</w:t>
                  </w:r>
                  <w:r>
                    <w:rPr>
                      <w:b/>
                      <w:bCs/>
                      <w:color w:val="auto"/>
                      <w:highlight w:val="none"/>
                    </w:rPr>
                    <w:t>名称</w:t>
                  </w:r>
                </w:p>
              </w:tc>
              <w:tc>
                <w:tcPr>
                  <w:tcW w:w="2993" w:type="pct"/>
                  <w:tcBorders>
                    <w:tl2br w:val="nil"/>
                    <w:tr2bl w:val="nil"/>
                  </w:tcBorders>
                  <w:vAlign w:val="center"/>
                </w:tcPr>
                <w:p w14:paraId="0C0B47F9">
                  <w:pPr>
                    <w:pStyle w:val="13"/>
                    <w:rPr>
                      <w:b/>
                      <w:bCs/>
                      <w:color w:val="auto"/>
                      <w:highlight w:val="none"/>
                    </w:rPr>
                  </w:pPr>
                  <w:r>
                    <w:rPr>
                      <w:b/>
                      <w:bCs/>
                      <w:color w:val="auto"/>
                      <w:highlight w:val="none"/>
                    </w:rPr>
                    <w:t>相关要求</w:t>
                  </w:r>
                </w:p>
              </w:tc>
              <w:tc>
                <w:tcPr>
                  <w:tcW w:w="1386" w:type="pct"/>
                  <w:tcBorders>
                    <w:tl2br w:val="nil"/>
                    <w:tr2bl w:val="nil"/>
                  </w:tcBorders>
                  <w:vAlign w:val="center"/>
                </w:tcPr>
                <w:p w14:paraId="27D4E50A">
                  <w:pPr>
                    <w:pStyle w:val="13"/>
                    <w:rPr>
                      <w:b/>
                      <w:bCs/>
                      <w:color w:val="auto"/>
                      <w:highlight w:val="none"/>
                    </w:rPr>
                  </w:pPr>
                  <w:r>
                    <w:rPr>
                      <w:b/>
                      <w:bCs/>
                      <w:color w:val="auto"/>
                      <w:highlight w:val="none"/>
                    </w:rPr>
                    <w:t>本项目建设情况</w:t>
                  </w:r>
                </w:p>
              </w:tc>
              <w:tc>
                <w:tcPr>
                  <w:tcW w:w="260" w:type="pct"/>
                  <w:tcBorders>
                    <w:tl2br w:val="nil"/>
                    <w:tr2bl w:val="nil"/>
                  </w:tcBorders>
                  <w:vAlign w:val="center"/>
                </w:tcPr>
                <w:p w14:paraId="2D637259">
                  <w:pPr>
                    <w:pStyle w:val="13"/>
                    <w:rPr>
                      <w:b/>
                      <w:bCs/>
                      <w:color w:val="auto"/>
                      <w:highlight w:val="none"/>
                    </w:rPr>
                  </w:pPr>
                  <w:r>
                    <w:rPr>
                      <w:b/>
                      <w:bCs/>
                      <w:color w:val="auto"/>
                      <w:highlight w:val="none"/>
                    </w:rPr>
                    <w:t>相符性</w:t>
                  </w:r>
                </w:p>
              </w:tc>
            </w:tr>
            <w:tr w14:paraId="27391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60" w:type="pct"/>
                  <w:vMerge w:val="restart"/>
                  <w:tcBorders>
                    <w:tl2br w:val="nil"/>
                    <w:tr2bl w:val="nil"/>
                  </w:tcBorders>
                  <w:vAlign w:val="center"/>
                </w:tcPr>
                <w:p w14:paraId="6EED6A15">
                  <w:pPr>
                    <w:pStyle w:val="13"/>
                    <w:rPr>
                      <w:b/>
                      <w:bCs/>
                      <w:color w:val="auto"/>
                      <w:highlight w:val="none"/>
                    </w:rPr>
                  </w:pPr>
                  <w:r>
                    <w:rPr>
                      <w:rFonts w:hint="eastAsia"/>
                      <w:color w:val="auto"/>
                      <w:highlight w:val="none"/>
                    </w:rPr>
                    <w:t>长江保护法</w:t>
                  </w:r>
                </w:p>
              </w:tc>
              <w:tc>
                <w:tcPr>
                  <w:tcW w:w="2993" w:type="pct"/>
                  <w:tcBorders>
                    <w:tl2br w:val="nil"/>
                    <w:tr2bl w:val="nil"/>
                  </w:tcBorders>
                  <w:vAlign w:val="center"/>
                </w:tcPr>
                <w:p w14:paraId="250B96AD">
                  <w:pPr>
                    <w:pStyle w:val="13"/>
                    <w:jc w:val="left"/>
                    <w:rPr>
                      <w:color w:val="auto"/>
                      <w:highlight w:val="none"/>
                    </w:rPr>
                  </w:pPr>
                  <w:r>
                    <w:rPr>
                      <w:rFonts w:hint="eastAsia"/>
                      <w:b/>
                      <w:bCs/>
                      <w:color w:val="auto"/>
                      <w:highlight w:val="none"/>
                    </w:rPr>
                    <w:t>第二十六条</w:t>
                  </w:r>
                </w:p>
                <w:p w14:paraId="48A025D1">
                  <w:pPr>
                    <w:pStyle w:val="13"/>
                    <w:jc w:val="left"/>
                    <w:rPr>
                      <w:color w:val="auto"/>
                      <w:highlight w:val="none"/>
                    </w:rPr>
                  </w:pPr>
                  <w:r>
                    <w:rPr>
                      <w:rFonts w:hint="eastAsia"/>
                      <w:color w:val="auto"/>
                      <w:highlight w:val="none"/>
                    </w:rPr>
                    <w:t>国家对长江流域河湖岸线实施特殊管制。国家长江流域协调机制统筹协调国务院自然资源、水行政、生态环境、住房和城乡建设、农业农村、交通运输、林业和草原等部门和长江流域省级人民政府划定河湖岸线保护范围，制定河湖岸线保护规划，严格控制岸线开发建设，促进岸线合理高效利用。</w:t>
                  </w:r>
                </w:p>
                <w:p w14:paraId="42D79AE4">
                  <w:pPr>
                    <w:pStyle w:val="13"/>
                    <w:jc w:val="left"/>
                    <w:rPr>
                      <w:color w:val="auto"/>
                      <w:highlight w:val="none"/>
                    </w:rPr>
                  </w:pPr>
                  <w:r>
                    <w:rPr>
                      <w:rFonts w:hint="eastAsia"/>
                      <w:color w:val="auto"/>
                      <w:highlight w:val="none"/>
                    </w:rPr>
                    <w:t>禁止在长江干支流岸线一公里范围内新建、扩建化工园区和化工项目。</w:t>
                  </w:r>
                </w:p>
                <w:p w14:paraId="645E001B">
                  <w:pPr>
                    <w:pStyle w:val="13"/>
                    <w:jc w:val="left"/>
                    <w:rPr>
                      <w:b/>
                      <w:bCs/>
                      <w:color w:val="auto"/>
                      <w:highlight w:val="none"/>
                    </w:rPr>
                  </w:pPr>
                  <w:r>
                    <w:rPr>
                      <w:rFonts w:hint="eastAsia"/>
                      <w:color w:val="auto"/>
                      <w:highlight w:val="none"/>
                    </w:rPr>
                    <w:t>禁止在长江干流岸线三公里范围内和重要支流岸线一公里范围内新建、改建、扩建尾矿库；但是以提升安全、生态环境保护水平为目的的改建除外。</w:t>
                  </w:r>
                </w:p>
              </w:tc>
              <w:tc>
                <w:tcPr>
                  <w:tcW w:w="1386" w:type="pct"/>
                  <w:tcBorders>
                    <w:tl2br w:val="nil"/>
                    <w:tr2bl w:val="nil"/>
                  </w:tcBorders>
                  <w:vAlign w:val="center"/>
                </w:tcPr>
                <w:p w14:paraId="0536FF80">
                  <w:pPr>
                    <w:pStyle w:val="13"/>
                    <w:rPr>
                      <w:b/>
                      <w:bCs/>
                      <w:color w:val="auto"/>
                      <w:highlight w:val="none"/>
                    </w:rPr>
                  </w:pPr>
                  <w:r>
                    <w:rPr>
                      <w:rFonts w:hint="eastAsia"/>
                      <w:color w:val="auto"/>
                      <w:highlight w:val="none"/>
                    </w:rPr>
                    <w:t>本项目为C1329 其他饲料加工，不属于化工园区、化工项目和尾矿库。</w:t>
                  </w:r>
                </w:p>
              </w:tc>
              <w:tc>
                <w:tcPr>
                  <w:tcW w:w="260" w:type="pct"/>
                  <w:vMerge w:val="restart"/>
                  <w:tcBorders>
                    <w:tl2br w:val="nil"/>
                    <w:tr2bl w:val="nil"/>
                  </w:tcBorders>
                  <w:vAlign w:val="center"/>
                </w:tcPr>
                <w:p w14:paraId="29F4965C">
                  <w:pPr>
                    <w:pStyle w:val="13"/>
                    <w:rPr>
                      <w:b/>
                      <w:bCs/>
                      <w:color w:val="auto"/>
                      <w:highlight w:val="none"/>
                    </w:rPr>
                  </w:pPr>
                  <w:r>
                    <w:rPr>
                      <w:rFonts w:hint="eastAsia"/>
                      <w:color w:val="auto"/>
                      <w:highlight w:val="none"/>
                    </w:rPr>
                    <w:t>符合</w:t>
                  </w:r>
                </w:p>
              </w:tc>
            </w:tr>
            <w:tr w14:paraId="396BE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60" w:type="pct"/>
                  <w:vMerge w:val="continue"/>
                  <w:tcBorders>
                    <w:tl2br w:val="nil"/>
                    <w:tr2bl w:val="nil"/>
                  </w:tcBorders>
                  <w:vAlign w:val="center"/>
                </w:tcPr>
                <w:p w14:paraId="55537DCC">
                  <w:pPr>
                    <w:pStyle w:val="13"/>
                    <w:rPr>
                      <w:b/>
                      <w:bCs/>
                      <w:color w:val="auto"/>
                      <w:highlight w:val="none"/>
                    </w:rPr>
                  </w:pPr>
                </w:p>
              </w:tc>
              <w:tc>
                <w:tcPr>
                  <w:tcW w:w="2993" w:type="pct"/>
                  <w:tcBorders>
                    <w:tl2br w:val="nil"/>
                    <w:tr2bl w:val="nil"/>
                  </w:tcBorders>
                  <w:vAlign w:val="center"/>
                </w:tcPr>
                <w:p w14:paraId="7F0DD385">
                  <w:pPr>
                    <w:pStyle w:val="13"/>
                    <w:jc w:val="left"/>
                    <w:rPr>
                      <w:color w:val="auto"/>
                      <w:highlight w:val="none"/>
                    </w:rPr>
                  </w:pPr>
                  <w:r>
                    <w:rPr>
                      <w:rFonts w:hint="eastAsia"/>
                      <w:b/>
                      <w:bCs/>
                      <w:color w:val="auto"/>
                      <w:highlight w:val="none"/>
                    </w:rPr>
                    <w:t>第四十六条</w:t>
                  </w:r>
                </w:p>
                <w:p w14:paraId="5078A268">
                  <w:pPr>
                    <w:pStyle w:val="13"/>
                    <w:jc w:val="left"/>
                    <w:rPr>
                      <w:color w:val="auto"/>
                      <w:highlight w:val="none"/>
                    </w:rPr>
                  </w:pPr>
                  <w:r>
                    <w:rPr>
                      <w:rFonts w:hint="eastAsia"/>
                      <w:color w:val="auto"/>
                      <w:highlight w:val="none"/>
                    </w:rPr>
                    <w:t>长江流域省级人民政府制定本行政区域的总磷污染控制方案，并组织实施。对磷矿、磷肥生产集中的长江干支流，有关省级人民政府应当制定更加严格的总磷排放管控要求，有效控制总磷排放总量。</w:t>
                  </w:r>
                </w:p>
                <w:p w14:paraId="3EFB4AD2">
                  <w:pPr>
                    <w:pStyle w:val="13"/>
                    <w:jc w:val="left"/>
                    <w:rPr>
                      <w:b/>
                      <w:bCs/>
                      <w:color w:val="auto"/>
                      <w:highlight w:val="none"/>
                    </w:rPr>
                  </w:pPr>
                  <w:r>
                    <w:rPr>
                      <w:rFonts w:hint="eastAsia"/>
                      <w:color w:val="auto"/>
                      <w:highlight w:val="none"/>
                    </w:rPr>
                    <w:t>磷矿开采加工、磷肥和含磷农药制造等企业，应当按照排污许可要求，采取有效措施控制总磷排放浓度和排放总量；对排污口和周边环境进行总磷监测，依法公开监测信息。</w:t>
                  </w:r>
                </w:p>
              </w:tc>
              <w:tc>
                <w:tcPr>
                  <w:tcW w:w="1386" w:type="pct"/>
                  <w:tcBorders>
                    <w:tl2br w:val="nil"/>
                    <w:tr2bl w:val="nil"/>
                  </w:tcBorders>
                  <w:vAlign w:val="center"/>
                </w:tcPr>
                <w:p w14:paraId="4972285D">
                  <w:pPr>
                    <w:pStyle w:val="13"/>
                    <w:rPr>
                      <w:b/>
                      <w:bCs/>
                      <w:color w:val="auto"/>
                      <w:highlight w:val="none"/>
                    </w:rPr>
                  </w:pPr>
                  <w:r>
                    <w:rPr>
                      <w:rFonts w:hint="eastAsia"/>
                      <w:color w:val="auto"/>
                      <w:highlight w:val="none"/>
                      <w:lang w:eastAsia="zh-CN"/>
                    </w:rPr>
                    <w:t>生活污水经隔油池、化粪池处理达酉华镇污水处理站接管标准后，与调质废水一起纳管排入酉华镇污水处理站处理，达到《城镇污水处理站污染物排放标准》（GB 18918-2002）一级A标准后排入七星河</w:t>
                  </w:r>
                  <w:r>
                    <w:rPr>
                      <w:rFonts w:hint="eastAsia"/>
                      <w:color w:val="auto"/>
                      <w:highlight w:val="none"/>
                    </w:rPr>
                    <w:t>，无生产废水外排，且相关区域做好防渗处理，不会存在地下水和土壤污染途径，不会对长江造成总磷污染。</w:t>
                  </w:r>
                </w:p>
              </w:tc>
              <w:tc>
                <w:tcPr>
                  <w:tcW w:w="260" w:type="pct"/>
                  <w:vMerge w:val="continue"/>
                  <w:tcBorders>
                    <w:tl2br w:val="nil"/>
                    <w:tr2bl w:val="nil"/>
                  </w:tcBorders>
                  <w:vAlign w:val="center"/>
                </w:tcPr>
                <w:p w14:paraId="3B835BF7">
                  <w:pPr>
                    <w:pStyle w:val="13"/>
                    <w:rPr>
                      <w:b/>
                      <w:bCs/>
                      <w:color w:val="auto"/>
                      <w:highlight w:val="none"/>
                    </w:rPr>
                  </w:pPr>
                </w:p>
              </w:tc>
            </w:tr>
            <w:tr w14:paraId="74DCE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60" w:type="pct"/>
                  <w:vMerge w:val="continue"/>
                  <w:tcBorders>
                    <w:tl2br w:val="nil"/>
                    <w:tr2bl w:val="nil"/>
                  </w:tcBorders>
                  <w:vAlign w:val="center"/>
                </w:tcPr>
                <w:p w14:paraId="7B87D868">
                  <w:pPr>
                    <w:pStyle w:val="13"/>
                    <w:rPr>
                      <w:b/>
                      <w:bCs/>
                      <w:color w:val="auto"/>
                      <w:highlight w:val="none"/>
                    </w:rPr>
                  </w:pPr>
                </w:p>
              </w:tc>
              <w:tc>
                <w:tcPr>
                  <w:tcW w:w="2993" w:type="pct"/>
                  <w:tcBorders>
                    <w:tl2br w:val="nil"/>
                    <w:tr2bl w:val="nil"/>
                  </w:tcBorders>
                  <w:vAlign w:val="center"/>
                </w:tcPr>
                <w:p w14:paraId="25860FB5">
                  <w:pPr>
                    <w:pStyle w:val="13"/>
                    <w:jc w:val="left"/>
                    <w:rPr>
                      <w:color w:val="auto"/>
                      <w:highlight w:val="none"/>
                    </w:rPr>
                  </w:pPr>
                  <w:r>
                    <w:rPr>
                      <w:rFonts w:hint="eastAsia"/>
                      <w:b/>
                      <w:bCs/>
                      <w:color w:val="auto"/>
                      <w:highlight w:val="none"/>
                    </w:rPr>
                    <w:t>第四十七条</w:t>
                  </w:r>
                </w:p>
                <w:p w14:paraId="23156B65">
                  <w:pPr>
                    <w:pStyle w:val="13"/>
                    <w:jc w:val="left"/>
                    <w:rPr>
                      <w:color w:val="auto"/>
                      <w:highlight w:val="none"/>
                    </w:rPr>
                  </w:pPr>
                  <w:r>
                    <w:rPr>
                      <w:rFonts w:hint="eastAsia"/>
                      <w:color w:val="auto"/>
                      <w:highlight w:val="none"/>
                    </w:rPr>
                    <w:t>长江流域县级以上地方人民政府应当统筹长江流域城乡污水集中处理设施及配套管网建设，并保障其正常运行，提高城乡污水收集处理能力。</w:t>
                  </w:r>
                </w:p>
                <w:p w14:paraId="07C5D6F7">
                  <w:pPr>
                    <w:pStyle w:val="13"/>
                    <w:jc w:val="left"/>
                    <w:rPr>
                      <w:color w:val="auto"/>
                      <w:highlight w:val="none"/>
                    </w:rPr>
                  </w:pPr>
                  <w:r>
                    <w:rPr>
                      <w:rFonts w:hint="eastAsia"/>
                      <w:color w:val="auto"/>
                      <w:highlight w:val="none"/>
                    </w:rPr>
                    <w:t>长江流域县级以上地方人民政府应当组织对本行政区域的江河、湖泊排污口开展排查整治，明确责任主体，实施分类管理。</w:t>
                  </w:r>
                </w:p>
                <w:p w14:paraId="4BD469F7">
                  <w:pPr>
                    <w:pStyle w:val="13"/>
                    <w:jc w:val="left"/>
                    <w:rPr>
                      <w:b/>
                      <w:bCs/>
                      <w:color w:val="auto"/>
                      <w:highlight w:val="none"/>
                    </w:rPr>
                  </w:pPr>
                  <w:r>
                    <w:rPr>
                      <w:rFonts w:hint="eastAsia"/>
                      <w:color w:val="auto"/>
                      <w:highlight w:val="none"/>
                    </w:rPr>
                    <w:t>在长江流域江河、湖泊新设、改设或者扩大排污口，应当按照国家有关规定报经有管辖权的生态环境主管部门或者长江流域生态环境监督管理机构同意。对未达到水质目标的水功能区，除污水集中处理设施排污口外，应当严格控制新设、改设或者扩大排污口。</w:t>
                  </w:r>
                </w:p>
              </w:tc>
              <w:tc>
                <w:tcPr>
                  <w:tcW w:w="1386" w:type="pct"/>
                  <w:tcBorders>
                    <w:tl2br w:val="nil"/>
                    <w:tr2bl w:val="nil"/>
                  </w:tcBorders>
                  <w:vAlign w:val="center"/>
                </w:tcPr>
                <w:p w14:paraId="2EF21753">
                  <w:pPr>
                    <w:pStyle w:val="13"/>
                    <w:rPr>
                      <w:b/>
                      <w:bCs/>
                      <w:color w:val="auto"/>
                      <w:highlight w:val="none"/>
                    </w:rPr>
                  </w:pPr>
                  <w:r>
                    <w:rPr>
                      <w:rFonts w:hint="eastAsia"/>
                      <w:color w:val="auto"/>
                      <w:highlight w:val="none"/>
                    </w:rPr>
                    <w:t>项目</w:t>
                  </w:r>
                  <w:r>
                    <w:rPr>
                      <w:rFonts w:hint="eastAsia"/>
                      <w:color w:val="auto"/>
                      <w:highlight w:val="none"/>
                      <w:lang w:eastAsia="zh-CN"/>
                    </w:rPr>
                    <w:t>生活污水经隔油池、化粪池处理达酉华镇污水处理站接管标准后，与调质废水一起纳管排入酉华镇污水处理站处理，达到《城镇污水处理站污染物排放标准》（GB 18918-2002）一级A标准后排入七星河</w:t>
                  </w:r>
                  <w:r>
                    <w:rPr>
                      <w:rFonts w:hint="eastAsia"/>
                      <w:color w:val="auto"/>
                      <w:highlight w:val="none"/>
                    </w:rPr>
                    <w:t>。</w:t>
                  </w:r>
                </w:p>
              </w:tc>
              <w:tc>
                <w:tcPr>
                  <w:tcW w:w="260" w:type="pct"/>
                  <w:vMerge w:val="continue"/>
                  <w:tcBorders>
                    <w:tl2br w:val="nil"/>
                    <w:tr2bl w:val="nil"/>
                  </w:tcBorders>
                  <w:vAlign w:val="center"/>
                </w:tcPr>
                <w:p w14:paraId="1875A8E4">
                  <w:pPr>
                    <w:pStyle w:val="13"/>
                    <w:rPr>
                      <w:b/>
                      <w:bCs/>
                      <w:color w:val="auto"/>
                      <w:highlight w:val="none"/>
                    </w:rPr>
                  </w:pPr>
                </w:p>
              </w:tc>
            </w:tr>
            <w:tr w14:paraId="48D7D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60" w:type="pct"/>
                  <w:vMerge w:val="restart"/>
                  <w:tcBorders>
                    <w:tl2br w:val="nil"/>
                    <w:tr2bl w:val="nil"/>
                  </w:tcBorders>
                  <w:vAlign w:val="center"/>
                </w:tcPr>
                <w:p w14:paraId="5AD2209E">
                  <w:pPr>
                    <w:pStyle w:val="13"/>
                    <w:rPr>
                      <w:b/>
                      <w:bCs/>
                      <w:color w:val="auto"/>
                      <w:highlight w:val="none"/>
                    </w:rPr>
                  </w:pPr>
                  <w:r>
                    <w:rPr>
                      <w:rFonts w:hint="eastAsia"/>
                      <w:color w:val="auto"/>
                      <w:highlight w:val="none"/>
                    </w:rPr>
                    <w:t>长江经济带发展负面清单指南</w:t>
                  </w:r>
                </w:p>
              </w:tc>
              <w:tc>
                <w:tcPr>
                  <w:tcW w:w="2993" w:type="pct"/>
                  <w:tcBorders>
                    <w:tl2br w:val="nil"/>
                    <w:tr2bl w:val="nil"/>
                  </w:tcBorders>
                  <w:vAlign w:val="center"/>
                </w:tcPr>
                <w:p w14:paraId="4A3A2F2E">
                  <w:pPr>
                    <w:pStyle w:val="13"/>
                    <w:jc w:val="left"/>
                    <w:rPr>
                      <w:color w:val="auto"/>
                      <w:highlight w:val="none"/>
                    </w:rPr>
                  </w:pPr>
                  <w:r>
                    <w:rPr>
                      <w:rFonts w:hint="eastAsia"/>
                      <w:color w:val="auto"/>
                      <w:highlight w:val="none"/>
                    </w:rPr>
                    <w:t>禁止在自然保护区核心区、缓冲区的岸线和河段范围内投资建设旅游和生产经营项目。禁止在风景名胜区核心景区的岸线和河段范围内投资建设与风景名胜资源保护无关的项目。</w:t>
                  </w:r>
                </w:p>
              </w:tc>
              <w:tc>
                <w:tcPr>
                  <w:tcW w:w="1386" w:type="pct"/>
                  <w:tcBorders>
                    <w:tl2br w:val="nil"/>
                    <w:tr2bl w:val="nil"/>
                  </w:tcBorders>
                  <w:vAlign w:val="center"/>
                </w:tcPr>
                <w:p w14:paraId="3530D320">
                  <w:pPr>
                    <w:pStyle w:val="13"/>
                    <w:rPr>
                      <w:color w:val="auto"/>
                      <w:highlight w:val="none"/>
                    </w:rPr>
                  </w:pPr>
                  <w:r>
                    <w:rPr>
                      <w:rFonts w:hint="eastAsia"/>
                      <w:color w:val="auto"/>
                      <w:highlight w:val="none"/>
                    </w:rPr>
                    <w:t>本项目位于酉华镇金峰村金元组范围内，占地不涉及自然保护区、风景名胜区。</w:t>
                  </w:r>
                </w:p>
              </w:tc>
              <w:tc>
                <w:tcPr>
                  <w:tcW w:w="260" w:type="pct"/>
                  <w:vMerge w:val="restart"/>
                  <w:tcBorders>
                    <w:tl2br w:val="nil"/>
                    <w:tr2bl w:val="nil"/>
                  </w:tcBorders>
                  <w:vAlign w:val="center"/>
                </w:tcPr>
                <w:p w14:paraId="2D203D2E">
                  <w:pPr>
                    <w:pStyle w:val="13"/>
                    <w:rPr>
                      <w:b/>
                      <w:bCs/>
                      <w:color w:val="auto"/>
                      <w:highlight w:val="none"/>
                    </w:rPr>
                  </w:pPr>
                  <w:r>
                    <w:rPr>
                      <w:rFonts w:hint="eastAsia"/>
                      <w:color w:val="auto"/>
                      <w:highlight w:val="none"/>
                    </w:rPr>
                    <w:t>符合</w:t>
                  </w:r>
                </w:p>
              </w:tc>
            </w:tr>
            <w:tr w14:paraId="4B67F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60" w:type="pct"/>
                  <w:vMerge w:val="continue"/>
                  <w:tcBorders>
                    <w:tl2br w:val="nil"/>
                    <w:tr2bl w:val="nil"/>
                  </w:tcBorders>
                  <w:vAlign w:val="center"/>
                </w:tcPr>
                <w:p w14:paraId="1C510F9D">
                  <w:pPr>
                    <w:pStyle w:val="13"/>
                    <w:rPr>
                      <w:b/>
                      <w:bCs/>
                      <w:color w:val="auto"/>
                      <w:highlight w:val="none"/>
                    </w:rPr>
                  </w:pPr>
                </w:p>
              </w:tc>
              <w:tc>
                <w:tcPr>
                  <w:tcW w:w="2993" w:type="pct"/>
                  <w:tcBorders>
                    <w:tl2br w:val="nil"/>
                    <w:tr2bl w:val="nil"/>
                  </w:tcBorders>
                  <w:vAlign w:val="center"/>
                </w:tcPr>
                <w:p w14:paraId="6CD0C88F">
                  <w:pPr>
                    <w:pStyle w:val="13"/>
                    <w:jc w:val="left"/>
                    <w:rPr>
                      <w:color w:val="auto"/>
                      <w:highlight w:val="none"/>
                    </w:rPr>
                  </w:pPr>
                  <w:r>
                    <w:rPr>
                      <w:rFonts w:hint="eastAsia"/>
                      <w:color w:val="auto"/>
                      <w:highlight w:val="none"/>
                    </w:rPr>
                    <w:t>禁止在饮用水水源一级保护区的岸线和河段范围内新建、改建与供水设施和保护水源无关的项目，以及网箱养殖、畜禽养殖、旅游等可能污染饮用水水体的投资建设项目。禁止在饮用水水源二级保护区的岸线和河段范围内新建、改建、扩建排放污染物的投资建设项目。</w:t>
                  </w:r>
                </w:p>
              </w:tc>
              <w:tc>
                <w:tcPr>
                  <w:tcW w:w="1386" w:type="pct"/>
                  <w:tcBorders>
                    <w:tl2br w:val="nil"/>
                    <w:tr2bl w:val="nil"/>
                  </w:tcBorders>
                  <w:vAlign w:val="center"/>
                </w:tcPr>
                <w:p w14:paraId="20AAFD94">
                  <w:pPr>
                    <w:pStyle w:val="13"/>
                    <w:rPr>
                      <w:color w:val="auto"/>
                      <w:highlight w:val="none"/>
                    </w:rPr>
                  </w:pPr>
                  <w:r>
                    <w:rPr>
                      <w:rFonts w:hint="eastAsia"/>
                      <w:color w:val="auto"/>
                      <w:highlight w:val="none"/>
                    </w:rPr>
                    <w:t>本项目不在饮用水水源一级和二级保护区的岸线和河段范围内。</w:t>
                  </w:r>
                </w:p>
              </w:tc>
              <w:tc>
                <w:tcPr>
                  <w:tcW w:w="260" w:type="pct"/>
                  <w:vMerge w:val="continue"/>
                  <w:tcBorders>
                    <w:tl2br w:val="nil"/>
                    <w:tr2bl w:val="nil"/>
                  </w:tcBorders>
                  <w:vAlign w:val="center"/>
                </w:tcPr>
                <w:p w14:paraId="5ACED255">
                  <w:pPr>
                    <w:pStyle w:val="13"/>
                    <w:rPr>
                      <w:b/>
                      <w:bCs/>
                      <w:color w:val="auto"/>
                      <w:highlight w:val="none"/>
                    </w:rPr>
                  </w:pPr>
                </w:p>
              </w:tc>
            </w:tr>
            <w:tr w14:paraId="754E3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60" w:type="pct"/>
                  <w:vMerge w:val="continue"/>
                  <w:tcBorders>
                    <w:tl2br w:val="nil"/>
                    <w:tr2bl w:val="nil"/>
                  </w:tcBorders>
                  <w:vAlign w:val="center"/>
                </w:tcPr>
                <w:p w14:paraId="6D77C9BE">
                  <w:pPr>
                    <w:pStyle w:val="13"/>
                    <w:rPr>
                      <w:b/>
                      <w:bCs/>
                      <w:color w:val="auto"/>
                      <w:highlight w:val="none"/>
                    </w:rPr>
                  </w:pPr>
                </w:p>
              </w:tc>
              <w:tc>
                <w:tcPr>
                  <w:tcW w:w="2993" w:type="pct"/>
                  <w:tcBorders>
                    <w:tl2br w:val="nil"/>
                    <w:tr2bl w:val="nil"/>
                  </w:tcBorders>
                  <w:vAlign w:val="center"/>
                </w:tcPr>
                <w:p w14:paraId="278374B6">
                  <w:pPr>
                    <w:pStyle w:val="13"/>
                    <w:jc w:val="left"/>
                    <w:rPr>
                      <w:color w:val="auto"/>
                      <w:highlight w:val="none"/>
                    </w:rPr>
                  </w:pPr>
                  <w:r>
                    <w:rPr>
                      <w:rFonts w:hint="eastAsia"/>
                      <w:color w:val="auto"/>
                      <w:highlight w:val="none"/>
                    </w:rPr>
                    <w:t>禁止在长江干支流、重要湖泊岸线一公里范围内新建、扩建化工园区和化工项目。禁止在长江干流岸线三公里范围内河重要支流岸线一公里范围内新建、改建、扩建尾矿库、冶炼渣库和磷石膏库，以提升安全、生态环境保护水平为目的的改建除外。</w:t>
                  </w:r>
                </w:p>
              </w:tc>
              <w:tc>
                <w:tcPr>
                  <w:tcW w:w="1386" w:type="pct"/>
                  <w:tcBorders>
                    <w:tl2br w:val="nil"/>
                    <w:tr2bl w:val="nil"/>
                  </w:tcBorders>
                  <w:vAlign w:val="center"/>
                </w:tcPr>
                <w:p w14:paraId="7921392A">
                  <w:pPr>
                    <w:pStyle w:val="13"/>
                    <w:rPr>
                      <w:color w:val="auto"/>
                      <w:highlight w:val="none"/>
                    </w:rPr>
                  </w:pPr>
                  <w:r>
                    <w:rPr>
                      <w:rFonts w:hint="eastAsia"/>
                      <w:color w:val="auto"/>
                      <w:highlight w:val="none"/>
                    </w:rPr>
                    <w:t>本项目不属于化工项目。</w:t>
                  </w:r>
                </w:p>
              </w:tc>
              <w:tc>
                <w:tcPr>
                  <w:tcW w:w="260" w:type="pct"/>
                  <w:vMerge w:val="continue"/>
                  <w:tcBorders>
                    <w:tl2br w:val="nil"/>
                    <w:tr2bl w:val="nil"/>
                  </w:tcBorders>
                  <w:vAlign w:val="center"/>
                </w:tcPr>
                <w:p w14:paraId="0A9AF24D">
                  <w:pPr>
                    <w:pStyle w:val="13"/>
                    <w:rPr>
                      <w:b/>
                      <w:bCs/>
                      <w:color w:val="auto"/>
                      <w:highlight w:val="none"/>
                    </w:rPr>
                  </w:pPr>
                </w:p>
              </w:tc>
            </w:tr>
            <w:tr w14:paraId="23BCF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360" w:type="pct"/>
                  <w:vMerge w:val="continue"/>
                  <w:tcBorders>
                    <w:tl2br w:val="nil"/>
                    <w:tr2bl w:val="nil"/>
                  </w:tcBorders>
                  <w:vAlign w:val="center"/>
                </w:tcPr>
                <w:p w14:paraId="54F299ED">
                  <w:pPr>
                    <w:pStyle w:val="13"/>
                    <w:rPr>
                      <w:b/>
                      <w:bCs/>
                      <w:color w:val="auto"/>
                      <w:highlight w:val="none"/>
                    </w:rPr>
                  </w:pPr>
                </w:p>
              </w:tc>
              <w:tc>
                <w:tcPr>
                  <w:tcW w:w="2993" w:type="pct"/>
                  <w:tcBorders>
                    <w:tl2br w:val="nil"/>
                    <w:tr2bl w:val="nil"/>
                  </w:tcBorders>
                  <w:vAlign w:val="center"/>
                </w:tcPr>
                <w:p w14:paraId="7A080B83">
                  <w:pPr>
                    <w:pStyle w:val="13"/>
                    <w:jc w:val="left"/>
                    <w:rPr>
                      <w:color w:val="auto"/>
                      <w:highlight w:val="none"/>
                    </w:rPr>
                  </w:pPr>
                  <w:r>
                    <w:rPr>
                      <w:rFonts w:hint="eastAsia"/>
                      <w:color w:val="auto"/>
                      <w:highlight w:val="none"/>
                    </w:rPr>
                    <w:t>禁止在合规园区外新建、扩建钢铁、石化、化工、焦化、建材、有色、制浆造纸等高污染项目；禁止新建、扩建法律法规和相关政策明令禁止的落后产能项目。禁止新建、扩建不符合国家产能置换要求的严重过剩产能行业的项目。禁止新建、扩建不符合要求的高耗能高排放项目。</w:t>
                  </w:r>
                </w:p>
              </w:tc>
              <w:tc>
                <w:tcPr>
                  <w:tcW w:w="1386" w:type="pct"/>
                  <w:tcBorders>
                    <w:tl2br w:val="nil"/>
                    <w:tr2bl w:val="nil"/>
                  </w:tcBorders>
                  <w:vAlign w:val="center"/>
                </w:tcPr>
                <w:p w14:paraId="21AE8871">
                  <w:pPr>
                    <w:pStyle w:val="13"/>
                    <w:rPr>
                      <w:color w:val="auto"/>
                      <w:highlight w:val="none"/>
                    </w:rPr>
                  </w:pPr>
                  <w:r>
                    <w:rPr>
                      <w:rFonts w:hint="eastAsia"/>
                      <w:color w:val="auto"/>
                      <w:highlight w:val="none"/>
                    </w:rPr>
                    <w:t>本项目不属于落后产能及“两高”项目。</w:t>
                  </w:r>
                </w:p>
              </w:tc>
              <w:tc>
                <w:tcPr>
                  <w:tcW w:w="260" w:type="pct"/>
                  <w:vMerge w:val="continue"/>
                  <w:tcBorders>
                    <w:tl2br w:val="nil"/>
                    <w:tr2bl w:val="nil"/>
                  </w:tcBorders>
                  <w:vAlign w:val="center"/>
                </w:tcPr>
                <w:p w14:paraId="3FB52799">
                  <w:pPr>
                    <w:pStyle w:val="13"/>
                    <w:rPr>
                      <w:b/>
                      <w:bCs/>
                      <w:color w:val="auto"/>
                      <w:highlight w:val="none"/>
                    </w:rPr>
                  </w:pPr>
                </w:p>
              </w:tc>
            </w:tr>
          </w:tbl>
          <w:p w14:paraId="2430F973">
            <w:pPr>
              <w:pStyle w:val="14"/>
              <w:spacing w:before="156"/>
              <w:rPr>
                <w:color w:val="auto"/>
                <w:highlight w:val="none"/>
              </w:rPr>
            </w:pPr>
            <w:r>
              <w:rPr>
                <w:rFonts w:hint="eastAsia"/>
                <w:color w:val="auto"/>
                <w:highlight w:val="none"/>
              </w:rPr>
              <w:t>表1-</w:t>
            </w:r>
            <w:r>
              <w:rPr>
                <w:rFonts w:hint="eastAsia"/>
                <w:color w:val="auto"/>
                <w:highlight w:val="none"/>
                <w:lang w:val="en-US" w:eastAsia="zh-CN"/>
              </w:rPr>
              <w:t>5</w:t>
            </w:r>
            <w:r>
              <w:rPr>
                <w:rFonts w:hint="eastAsia"/>
                <w:color w:val="auto"/>
                <w:highlight w:val="none"/>
              </w:rPr>
              <w:t xml:space="preserve">  与相关政策的符合性分析</w:t>
            </w:r>
          </w:p>
          <w:tbl>
            <w:tblPr>
              <w:tblStyle w:val="9"/>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5"/>
              <w:gridCol w:w="8120"/>
              <w:gridCol w:w="4287"/>
              <w:gridCol w:w="751"/>
            </w:tblGrid>
            <w:tr w14:paraId="184BC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42" w:type="pct"/>
                  <w:tcBorders>
                    <w:tl2br w:val="nil"/>
                    <w:tr2bl w:val="nil"/>
                  </w:tcBorders>
                  <w:vAlign w:val="center"/>
                </w:tcPr>
                <w:p w14:paraId="05DE76EA">
                  <w:pPr>
                    <w:pStyle w:val="13"/>
                    <w:rPr>
                      <w:b/>
                      <w:bCs/>
                      <w:color w:val="auto"/>
                      <w:highlight w:val="none"/>
                    </w:rPr>
                  </w:pPr>
                  <w:r>
                    <w:rPr>
                      <w:b/>
                      <w:bCs/>
                      <w:color w:val="auto"/>
                      <w:highlight w:val="none"/>
                    </w:rPr>
                    <w:t>政策名称</w:t>
                  </w:r>
                </w:p>
              </w:tc>
              <w:tc>
                <w:tcPr>
                  <w:tcW w:w="2812" w:type="pct"/>
                  <w:tcBorders>
                    <w:tl2br w:val="nil"/>
                    <w:tr2bl w:val="nil"/>
                  </w:tcBorders>
                  <w:vAlign w:val="center"/>
                </w:tcPr>
                <w:p w14:paraId="4284A315">
                  <w:pPr>
                    <w:pStyle w:val="13"/>
                    <w:rPr>
                      <w:b/>
                      <w:bCs/>
                      <w:color w:val="auto"/>
                      <w:highlight w:val="none"/>
                    </w:rPr>
                  </w:pPr>
                  <w:r>
                    <w:rPr>
                      <w:b/>
                      <w:bCs/>
                      <w:color w:val="auto"/>
                      <w:highlight w:val="none"/>
                    </w:rPr>
                    <w:t>相关要求</w:t>
                  </w:r>
                </w:p>
              </w:tc>
              <w:tc>
                <w:tcPr>
                  <w:tcW w:w="1485" w:type="pct"/>
                  <w:tcBorders>
                    <w:tl2br w:val="nil"/>
                    <w:tr2bl w:val="nil"/>
                  </w:tcBorders>
                  <w:vAlign w:val="center"/>
                </w:tcPr>
                <w:p w14:paraId="75713FAE">
                  <w:pPr>
                    <w:pStyle w:val="13"/>
                    <w:rPr>
                      <w:b/>
                      <w:bCs/>
                      <w:color w:val="auto"/>
                      <w:highlight w:val="none"/>
                    </w:rPr>
                  </w:pPr>
                  <w:r>
                    <w:rPr>
                      <w:b/>
                      <w:bCs/>
                      <w:color w:val="auto"/>
                      <w:highlight w:val="none"/>
                    </w:rPr>
                    <w:t>本项目建设情况</w:t>
                  </w:r>
                </w:p>
              </w:tc>
              <w:tc>
                <w:tcPr>
                  <w:tcW w:w="260" w:type="pct"/>
                  <w:tcBorders>
                    <w:tl2br w:val="nil"/>
                    <w:tr2bl w:val="nil"/>
                  </w:tcBorders>
                  <w:vAlign w:val="center"/>
                </w:tcPr>
                <w:p w14:paraId="14A4FB5D">
                  <w:pPr>
                    <w:pStyle w:val="13"/>
                    <w:rPr>
                      <w:b/>
                      <w:bCs/>
                      <w:color w:val="auto"/>
                      <w:highlight w:val="none"/>
                    </w:rPr>
                  </w:pPr>
                  <w:r>
                    <w:rPr>
                      <w:b/>
                      <w:bCs/>
                      <w:color w:val="auto"/>
                      <w:highlight w:val="none"/>
                    </w:rPr>
                    <w:t>相符性</w:t>
                  </w:r>
                </w:p>
              </w:tc>
            </w:tr>
            <w:tr w14:paraId="0A65F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42" w:type="pct"/>
                  <w:vMerge w:val="restart"/>
                  <w:tcBorders>
                    <w:tl2br w:val="nil"/>
                    <w:tr2bl w:val="nil"/>
                  </w:tcBorders>
                  <w:vAlign w:val="center"/>
                </w:tcPr>
                <w:p w14:paraId="2E8674C2">
                  <w:pPr>
                    <w:pStyle w:val="13"/>
                    <w:rPr>
                      <w:color w:val="auto"/>
                      <w:highlight w:val="none"/>
                    </w:rPr>
                  </w:pPr>
                  <w:r>
                    <w:rPr>
                      <w:rFonts w:hint="eastAsia"/>
                      <w:color w:val="auto"/>
                      <w:highlight w:val="none"/>
                    </w:rPr>
                    <w:t>关于全面打造水清岸绿产业优美丽长江（安徽）经济带的实施意见（升级版）皖发【2021】19号文</w:t>
                  </w:r>
                </w:p>
              </w:tc>
              <w:tc>
                <w:tcPr>
                  <w:tcW w:w="2812" w:type="pct"/>
                  <w:tcBorders>
                    <w:tl2br w:val="nil"/>
                    <w:tr2bl w:val="nil"/>
                  </w:tcBorders>
                  <w:vAlign w:val="center"/>
                </w:tcPr>
                <w:p w14:paraId="7739F2F1">
                  <w:pPr>
                    <w:pStyle w:val="13"/>
                    <w:jc w:val="both"/>
                    <w:rPr>
                      <w:b/>
                      <w:bCs/>
                      <w:color w:val="auto"/>
                      <w:highlight w:val="none"/>
                    </w:rPr>
                  </w:pPr>
                  <w:r>
                    <w:rPr>
                      <w:rFonts w:hint="eastAsia"/>
                      <w:b/>
                      <w:bCs/>
                      <w:color w:val="auto"/>
                      <w:highlight w:val="none"/>
                    </w:rPr>
                    <w:t>提升</w:t>
                  </w:r>
                  <w:r>
                    <w:rPr>
                      <w:rFonts w:hint="eastAsia"/>
                      <w:b/>
                      <w:bCs/>
                      <w:color w:val="auto"/>
                      <w:highlight w:val="none"/>
                      <w:lang w:val="zh-CN"/>
                    </w:rPr>
                    <w:t>“禁</w:t>
                  </w:r>
                  <w:r>
                    <w:rPr>
                      <w:rFonts w:hint="eastAsia"/>
                      <w:b/>
                      <w:bCs/>
                      <w:color w:val="auto"/>
                      <w:highlight w:val="none"/>
                    </w:rPr>
                    <w:t>新建”行动</w:t>
                  </w:r>
                </w:p>
                <w:p w14:paraId="0529F7CC">
                  <w:pPr>
                    <w:pStyle w:val="13"/>
                    <w:jc w:val="both"/>
                    <w:rPr>
                      <w:color w:val="auto"/>
                      <w:highlight w:val="none"/>
                    </w:rPr>
                  </w:pPr>
                  <w:r>
                    <w:rPr>
                      <w:rFonts w:hint="eastAsia"/>
                      <w:color w:val="auto"/>
                      <w:highlight w:val="none"/>
                    </w:rPr>
                    <w:t>严禁1公里范围内新建化工项目。长江干支流岸线1公里范围内，严禁新建、扩建化工园区和化工项目。已批未开工的项目，依法停止建设，支持重新选址。已经开工建设的项目，严格进行检查评估，不符合岸线规划和环保、安全要求的。</w:t>
                  </w:r>
                </w:p>
                <w:p w14:paraId="3614047B">
                  <w:pPr>
                    <w:pStyle w:val="13"/>
                    <w:jc w:val="both"/>
                    <w:rPr>
                      <w:color w:val="auto"/>
                      <w:highlight w:val="none"/>
                    </w:rPr>
                  </w:pPr>
                  <w:r>
                    <w:rPr>
                      <w:rFonts w:hint="eastAsia"/>
                      <w:color w:val="auto"/>
                      <w:highlight w:val="none"/>
                    </w:rPr>
                    <w:t>严控5公里范围内新建重化工重污染项目。长江干流岸线5公里范围内，全面落实长江岸线功能定位要求，实施严格的化工项目市场准入制度，除提升安全、环保、节能水平，以及质量升级、结构调整的改扩建项目外，严控新建石油化工和煤化工等重化工、重污染项目。严禁新建布局重化工园区。合规化工园区内，严禁新批环境基础设施不完善或长期不能稳定运行的企业新建和扩建化工项目。</w:t>
                  </w:r>
                </w:p>
                <w:p w14:paraId="38FCC571">
                  <w:pPr>
                    <w:pStyle w:val="13"/>
                    <w:jc w:val="both"/>
                    <w:rPr>
                      <w:color w:val="auto"/>
                      <w:highlight w:val="none"/>
                    </w:rPr>
                  </w:pPr>
                  <w:r>
                    <w:rPr>
                      <w:rFonts w:hint="eastAsia"/>
                      <w:color w:val="auto"/>
                      <w:highlight w:val="none"/>
                    </w:rPr>
                    <w:t>严管15公里范围内新建项目。长江干流岸线15公里范围内，严把各类项目准入门槛，严格执行环境保护标准，把主要污染物和重点重金属排放总量控制目标作为新（改、扩）建项目环评审批的前置条件，禁止建设没有环境容量和减排总量项目。</w:t>
                  </w:r>
                </w:p>
              </w:tc>
              <w:tc>
                <w:tcPr>
                  <w:tcW w:w="1485" w:type="pct"/>
                  <w:tcBorders>
                    <w:tl2br w:val="nil"/>
                    <w:tr2bl w:val="nil"/>
                  </w:tcBorders>
                  <w:vAlign w:val="center"/>
                </w:tcPr>
                <w:p w14:paraId="542F42F6">
                  <w:pPr>
                    <w:pStyle w:val="13"/>
                    <w:jc w:val="both"/>
                    <w:rPr>
                      <w:color w:val="auto"/>
                      <w:highlight w:val="none"/>
                    </w:rPr>
                  </w:pPr>
                  <w:r>
                    <w:rPr>
                      <w:rFonts w:hint="eastAsia"/>
                      <w:color w:val="auto"/>
                      <w:highlight w:val="none"/>
                    </w:rPr>
                    <w:t>本项目不在文件中规定的“严禁”范围之内。</w:t>
                  </w:r>
                </w:p>
                <w:p w14:paraId="3428B913">
                  <w:pPr>
                    <w:pStyle w:val="13"/>
                    <w:jc w:val="both"/>
                    <w:rPr>
                      <w:color w:val="auto"/>
                      <w:highlight w:val="none"/>
                    </w:rPr>
                  </w:pPr>
                  <w:r>
                    <w:rPr>
                      <w:rFonts w:hint="eastAsia"/>
                      <w:color w:val="auto"/>
                      <w:highlight w:val="none"/>
                    </w:rPr>
                    <w:t>本项目不在文件中规定的“严禁”范围之内，不属于新建石油化工和煤化工等重化工、重污染项目。</w:t>
                  </w:r>
                </w:p>
                <w:p w14:paraId="1950E259">
                  <w:pPr>
                    <w:pStyle w:val="13"/>
                    <w:jc w:val="both"/>
                    <w:rPr>
                      <w:color w:val="auto"/>
                      <w:highlight w:val="none"/>
                    </w:rPr>
                  </w:pPr>
                  <w:r>
                    <w:rPr>
                      <w:rFonts w:hint="eastAsia"/>
                      <w:color w:val="auto"/>
                      <w:highlight w:val="none"/>
                    </w:rPr>
                    <w:t>企业按照要求实施备案、环评、安评、能评等并联审批，落实生态环保、安全生产、能源节约要求。并按照环保要求进行总量申请。</w:t>
                  </w:r>
                </w:p>
              </w:tc>
              <w:tc>
                <w:tcPr>
                  <w:tcW w:w="260" w:type="pct"/>
                  <w:tcBorders>
                    <w:tl2br w:val="nil"/>
                    <w:tr2bl w:val="nil"/>
                  </w:tcBorders>
                  <w:vAlign w:val="center"/>
                </w:tcPr>
                <w:p w14:paraId="4F083F02">
                  <w:pPr>
                    <w:pStyle w:val="13"/>
                    <w:rPr>
                      <w:color w:val="auto"/>
                      <w:highlight w:val="none"/>
                    </w:rPr>
                  </w:pPr>
                  <w:r>
                    <w:rPr>
                      <w:rFonts w:hint="eastAsia"/>
                      <w:color w:val="auto"/>
                      <w:highlight w:val="none"/>
                    </w:rPr>
                    <w:t>符合</w:t>
                  </w:r>
                </w:p>
              </w:tc>
            </w:tr>
            <w:tr w14:paraId="56623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42" w:type="pct"/>
                  <w:vMerge w:val="continue"/>
                  <w:tcBorders>
                    <w:tl2br w:val="nil"/>
                    <w:tr2bl w:val="nil"/>
                  </w:tcBorders>
                  <w:vAlign w:val="center"/>
                </w:tcPr>
                <w:p w14:paraId="05F1A3B7">
                  <w:pPr>
                    <w:pStyle w:val="13"/>
                    <w:rPr>
                      <w:color w:val="auto"/>
                      <w:highlight w:val="none"/>
                    </w:rPr>
                  </w:pPr>
                </w:p>
              </w:tc>
              <w:tc>
                <w:tcPr>
                  <w:tcW w:w="2812" w:type="pct"/>
                  <w:tcBorders>
                    <w:tl2br w:val="nil"/>
                    <w:tr2bl w:val="nil"/>
                  </w:tcBorders>
                  <w:vAlign w:val="center"/>
                </w:tcPr>
                <w:p w14:paraId="22226040">
                  <w:pPr>
                    <w:pStyle w:val="13"/>
                    <w:jc w:val="both"/>
                    <w:rPr>
                      <w:b/>
                      <w:bCs/>
                      <w:color w:val="auto"/>
                      <w:highlight w:val="none"/>
                    </w:rPr>
                  </w:pPr>
                  <w:r>
                    <w:rPr>
                      <w:rFonts w:hint="eastAsia"/>
                      <w:b/>
                      <w:bCs/>
                      <w:color w:val="auto"/>
                      <w:highlight w:val="none"/>
                    </w:rPr>
                    <w:t>提升“减存量”行动</w:t>
                  </w:r>
                </w:p>
                <w:p w14:paraId="1BD336A4">
                  <w:pPr>
                    <w:pStyle w:val="13"/>
                    <w:jc w:val="both"/>
                    <w:rPr>
                      <w:color w:val="auto"/>
                      <w:highlight w:val="none"/>
                    </w:rPr>
                  </w:pPr>
                  <w:r>
                    <w:rPr>
                      <w:rFonts w:hint="eastAsia"/>
                      <w:color w:val="auto"/>
                      <w:highlight w:val="none"/>
                    </w:rPr>
                    <w:t>深入开展大气污染防治。强化控煤、控气、控车、控尘、控烧措施，实行“一季一策”“一城一策”，推动大气主要污染物排放总量持续下降。加强重点行业脱硫、脱硝、除尘设施运行监管，鼓励企业通过技术改造实现超低排放。开展工业挥发性有机物专项整治行动。强化大规模城市建设地区扬尘污染防治管理。加强区域大气污染防治协作，深化重污染天气重点行业绩效分级、差异化管理措施。继续抓好农作物秸秆全面禁烧，大力推进秸秆综合利用，2025年年底前秸秆综合利用率达到95%以上。</w:t>
                  </w:r>
                </w:p>
              </w:tc>
              <w:tc>
                <w:tcPr>
                  <w:tcW w:w="1485" w:type="pct"/>
                  <w:tcBorders>
                    <w:tl2br w:val="nil"/>
                    <w:tr2bl w:val="nil"/>
                  </w:tcBorders>
                  <w:vAlign w:val="center"/>
                </w:tcPr>
                <w:p w14:paraId="10E3FEAF">
                  <w:pPr>
                    <w:pStyle w:val="13"/>
                    <w:jc w:val="both"/>
                    <w:rPr>
                      <w:color w:val="auto"/>
                      <w:highlight w:val="none"/>
                    </w:rPr>
                  </w:pPr>
                  <w:r>
                    <w:rPr>
                      <w:rFonts w:hint="eastAsia"/>
                      <w:color w:val="auto"/>
                      <w:highlight w:val="none"/>
                    </w:rPr>
                    <w:t>本项目位于酉华镇金峰村金元组，不属于“散乱污”企业；本项目生产过程中产生的废气收集处理后有组织达标排放。</w:t>
                  </w:r>
                </w:p>
              </w:tc>
              <w:tc>
                <w:tcPr>
                  <w:tcW w:w="260" w:type="pct"/>
                  <w:tcBorders>
                    <w:tl2br w:val="nil"/>
                    <w:tr2bl w:val="nil"/>
                  </w:tcBorders>
                  <w:vAlign w:val="center"/>
                </w:tcPr>
                <w:p w14:paraId="15AE2F88">
                  <w:pPr>
                    <w:pStyle w:val="13"/>
                    <w:rPr>
                      <w:color w:val="auto"/>
                      <w:highlight w:val="none"/>
                    </w:rPr>
                  </w:pPr>
                  <w:r>
                    <w:rPr>
                      <w:rFonts w:hint="eastAsia"/>
                      <w:color w:val="auto"/>
                      <w:highlight w:val="none"/>
                    </w:rPr>
                    <w:t>符合</w:t>
                  </w:r>
                </w:p>
              </w:tc>
            </w:tr>
            <w:tr w14:paraId="369AA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42" w:type="pct"/>
                  <w:vMerge w:val="continue"/>
                  <w:tcBorders>
                    <w:tl2br w:val="nil"/>
                    <w:tr2bl w:val="nil"/>
                  </w:tcBorders>
                  <w:vAlign w:val="center"/>
                </w:tcPr>
                <w:p w14:paraId="1010CA39">
                  <w:pPr>
                    <w:pStyle w:val="13"/>
                    <w:rPr>
                      <w:color w:val="auto"/>
                      <w:highlight w:val="none"/>
                    </w:rPr>
                  </w:pPr>
                </w:p>
              </w:tc>
              <w:tc>
                <w:tcPr>
                  <w:tcW w:w="2812" w:type="pct"/>
                  <w:tcBorders>
                    <w:tl2br w:val="nil"/>
                    <w:tr2bl w:val="nil"/>
                  </w:tcBorders>
                  <w:vAlign w:val="center"/>
                </w:tcPr>
                <w:p w14:paraId="6F2AA952">
                  <w:pPr>
                    <w:pStyle w:val="13"/>
                    <w:jc w:val="both"/>
                    <w:rPr>
                      <w:b/>
                      <w:bCs/>
                      <w:color w:val="auto"/>
                      <w:highlight w:val="none"/>
                    </w:rPr>
                  </w:pPr>
                  <w:r>
                    <w:rPr>
                      <w:rFonts w:hint="eastAsia"/>
                      <w:b/>
                      <w:bCs/>
                      <w:color w:val="auto"/>
                      <w:highlight w:val="none"/>
                    </w:rPr>
                    <w:t>提升“关污源”行动</w:t>
                  </w:r>
                </w:p>
                <w:p w14:paraId="52AEACF8">
                  <w:pPr>
                    <w:pStyle w:val="13"/>
                    <w:jc w:val="both"/>
                    <w:rPr>
                      <w:color w:val="auto"/>
                      <w:highlight w:val="none"/>
                    </w:rPr>
                  </w:pPr>
                  <w:r>
                    <w:rPr>
                      <w:rFonts w:hint="eastAsia"/>
                      <w:color w:val="auto"/>
                      <w:highlight w:val="none"/>
                    </w:rPr>
                    <w:t>管住船舶港口污染；管住入河排污口；管住城镇污水垃圾；管住农村面源污染；管住固体废物污染。</w:t>
                  </w:r>
                </w:p>
              </w:tc>
              <w:tc>
                <w:tcPr>
                  <w:tcW w:w="1485" w:type="pct"/>
                  <w:tcBorders>
                    <w:tl2br w:val="nil"/>
                    <w:tr2bl w:val="nil"/>
                  </w:tcBorders>
                  <w:vAlign w:val="center"/>
                </w:tcPr>
                <w:p w14:paraId="122E7B71">
                  <w:pPr>
                    <w:pStyle w:val="13"/>
                    <w:jc w:val="both"/>
                    <w:rPr>
                      <w:color w:val="auto"/>
                      <w:highlight w:val="none"/>
                    </w:rPr>
                  </w:pPr>
                  <w:r>
                    <w:rPr>
                      <w:rFonts w:hint="eastAsia"/>
                      <w:color w:val="auto"/>
                      <w:highlight w:val="none"/>
                    </w:rPr>
                    <w:t>雨污分流，雨水经厂区雨水管道收集后排入市政雨水管网；</w:t>
                  </w:r>
                  <w:r>
                    <w:rPr>
                      <w:rFonts w:hint="eastAsia"/>
                      <w:color w:val="auto"/>
                      <w:highlight w:val="none"/>
                      <w:lang w:eastAsia="zh-CN"/>
                    </w:rPr>
                    <w:t>生活污水经隔油池、化粪池处理达酉华镇污水处理站接管标准后，与调质废水一起纳管排入酉华镇污水处理站处理，达到《城镇污水处理站污染物排放标准》（GB 18918-2002）一级A标准后排入七星河</w:t>
                  </w:r>
                  <w:r>
                    <w:rPr>
                      <w:rFonts w:hint="eastAsia"/>
                      <w:color w:val="auto"/>
                      <w:highlight w:val="none"/>
                    </w:rPr>
                    <w:t>。</w:t>
                  </w:r>
                </w:p>
              </w:tc>
              <w:tc>
                <w:tcPr>
                  <w:tcW w:w="260" w:type="pct"/>
                  <w:tcBorders>
                    <w:tl2br w:val="nil"/>
                    <w:tr2bl w:val="nil"/>
                  </w:tcBorders>
                  <w:vAlign w:val="center"/>
                </w:tcPr>
                <w:p w14:paraId="1C424D42">
                  <w:pPr>
                    <w:pStyle w:val="13"/>
                    <w:rPr>
                      <w:color w:val="auto"/>
                      <w:highlight w:val="none"/>
                    </w:rPr>
                  </w:pPr>
                  <w:r>
                    <w:rPr>
                      <w:rFonts w:hint="eastAsia"/>
                      <w:color w:val="auto"/>
                      <w:highlight w:val="none"/>
                    </w:rPr>
                    <w:t>符合</w:t>
                  </w:r>
                </w:p>
              </w:tc>
            </w:tr>
            <w:tr w14:paraId="2B18D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42" w:type="pct"/>
                  <w:vMerge w:val="continue"/>
                  <w:tcBorders>
                    <w:tl2br w:val="nil"/>
                    <w:tr2bl w:val="nil"/>
                  </w:tcBorders>
                  <w:vAlign w:val="center"/>
                </w:tcPr>
                <w:p w14:paraId="6522A71A">
                  <w:pPr>
                    <w:pStyle w:val="13"/>
                    <w:rPr>
                      <w:color w:val="auto"/>
                      <w:highlight w:val="none"/>
                    </w:rPr>
                  </w:pPr>
                </w:p>
              </w:tc>
              <w:tc>
                <w:tcPr>
                  <w:tcW w:w="2812" w:type="pct"/>
                  <w:tcBorders>
                    <w:tl2br w:val="nil"/>
                    <w:tr2bl w:val="nil"/>
                  </w:tcBorders>
                  <w:vAlign w:val="center"/>
                </w:tcPr>
                <w:p w14:paraId="7D716FAD">
                  <w:pPr>
                    <w:pStyle w:val="13"/>
                    <w:jc w:val="both"/>
                    <w:rPr>
                      <w:b/>
                      <w:bCs/>
                      <w:color w:val="auto"/>
                      <w:highlight w:val="none"/>
                    </w:rPr>
                  </w:pPr>
                  <w:r>
                    <w:rPr>
                      <w:rFonts w:hint="eastAsia"/>
                      <w:b/>
                      <w:bCs/>
                      <w:color w:val="auto"/>
                      <w:highlight w:val="none"/>
                    </w:rPr>
                    <w:t>提升“进园区”行动</w:t>
                  </w:r>
                </w:p>
                <w:p w14:paraId="03D63AE2">
                  <w:pPr>
                    <w:pStyle w:val="13"/>
                    <w:jc w:val="both"/>
                    <w:rPr>
                      <w:b/>
                      <w:bCs/>
                      <w:color w:val="auto"/>
                      <w:highlight w:val="none"/>
                    </w:rPr>
                  </w:pPr>
                  <w:r>
                    <w:rPr>
                      <w:rFonts w:hint="eastAsia"/>
                      <w:color w:val="auto"/>
                      <w:highlight w:val="none"/>
                    </w:rPr>
                    <w:t>长江干支流岸线1公里范围内的在建化工项目，应当搬迁的全部依法依规搬入合规园区。长江干流岸线5公里范围内的在建重化工项目，难以整改达标必须搬迁的，全部依法依规搬入合规园区。长江干流岸线15公里范围内，新建工业项目（资源开采及配套加工项目除外）原则上全部进园区，其中化工项目进化工园区或主导产业为化工的开发区。</w:t>
                  </w:r>
                </w:p>
              </w:tc>
              <w:tc>
                <w:tcPr>
                  <w:tcW w:w="1485" w:type="pct"/>
                  <w:tcBorders>
                    <w:tl2br w:val="nil"/>
                    <w:tr2bl w:val="nil"/>
                  </w:tcBorders>
                  <w:vAlign w:val="center"/>
                </w:tcPr>
                <w:p w14:paraId="4C9DAD78">
                  <w:pPr>
                    <w:pStyle w:val="13"/>
                    <w:jc w:val="both"/>
                    <w:rPr>
                      <w:color w:val="auto"/>
                      <w:highlight w:val="none"/>
                    </w:rPr>
                  </w:pPr>
                  <w:r>
                    <w:rPr>
                      <w:rFonts w:hint="eastAsia"/>
                      <w:color w:val="auto"/>
                      <w:highlight w:val="none"/>
                    </w:rPr>
                    <w:t>本项目不属于化工等污染重污染企业，且该项目位于青阳县酉华镇金峰村金元组。</w:t>
                  </w:r>
                </w:p>
              </w:tc>
              <w:tc>
                <w:tcPr>
                  <w:tcW w:w="260" w:type="pct"/>
                  <w:tcBorders>
                    <w:tl2br w:val="nil"/>
                    <w:tr2bl w:val="nil"/>
                  </w:tcBorders>
                  <w:vAlign w:val="center"/>
                </w:tcPr>
                <w:p w14:paraId="5814A55E">
                  <w:pPr>
                    <w:pStyle w:val="13"/>
                    <w:rPr>
                      <w:color w:val="auto"/>
                      <w:highlight w:val="none"/>
                    </w:rPr>
                  </w:pPr>
                  <w:r>
                    <w:rPr>
                      <w:rFonts w:hint="eastAsia"/>
                      <w:color w:val="auto"/>
                      <w:highlight w:val="none"/>
                    </w:rPr>
                    <w:t>符合</w:t>
                  </w:r>
                </w:p>
              </w:tc>
            </w:tr>
            <w:tr w14:paraId="7CDA5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42" w:type="pct"/>
                  <w:vMerge w:val="continue"/>
                  <w:tcBorders>
                    <w:tl2br w:val="nil"/>
                    <w:tr2bl w:val="nil"/>
                  </w:tcBorders>
                  <w:vAlign w:val="center"/>
                </w:tcPr>
                <w:p w14:paraId="73626841">
                  <w:pPr>
                    <w:pStyle w:val="13"/>
                    <w:rPr>
                      <w:color w:val="auto"/>
                      <w:highlight w:val="none"/>
                    </w:rPr>
                  </w:pPr>
                </w:p>
              </w:tc>
              <w:tc>
                <w:tcPr>
                  <w:tcW w:w="2812" w:type="pct"/>
                  <w:tcBorders>
                    <w:tl2br w:val="nil"/>
                    <w:tr2bl w:val="nil"/>
                  </w:tcBorders>
                  <w:vAlign w:val="center"/>
                </w:tcPr>
                <w:p w14:paraId="2146733C">
                  <w:pPr>
                    <w:pStyle w:val="13"/>
                    <w:jc w:val="both"/>
                    <w:rPr>
                      <w:b/>
                      <w:bCs/>
                      <w:color w:val="auto"/>
                      <w:highlight w:val="none"/>
                    </w:rPr>
                  </w:pPr>
                  <w:r>
                    <w:rPr>
                      <w:rFonts w:hint="eastAsia"/>
                      <w:b/>
                      <w:bCs/>
                      <w:color w:val="auto"/>
                      <w:highlight w:val="none"/>
                    </w:rPr>
                    <w:t>提升“新建绿”行动</w:t>
                  </w:r>
                </w:p>
                <w:p w14:paraId="26BF94BF">
                  <w:pPr>
                    <w:pStyle w:val="13"/>
                    <w:jc w:val="left"/>
                    <w:rPr>
                      <w:b/>
                      <w:bCs/>
                      <w:color w:val="auto"/>
                      <w:highlight w:val="none"/>
                    </w:rPr>
                  </w:pPr>
                  <w:r>
                    <w:rPr>
                      <w:rFonts w:hint="eastAsia"/>
                      <w:color w:val="auto"/>
                      <w:highlight w:val="none"/>
                    </w:rPr>
                    <w:t>大力推行生态复绿补绿增绿；深入推进长江岸线保护修复；强化重点河湖湿地保护修复。</w:t>
                  </w:r>
                </w:p>
              </w:tc>
              <w:tc>
                <w:tcPr>
                  <w:tcW w:w="1485" w:type="pct"/>
                  <w:tcBorders>
                    <w:tl2br w:val="nil"/>
                    <w:tr2bl w:val="nil"/>
                  </w:tcBorders>
                  <w:vAlign w:val="center"/>
                </w:tcPr>
                <w:p w14:paraId="1EBA35F6">
                  <w:pPr>
                    <w:pStyle w:val="13"/>
                    <w:jc w:val="both"/>
                    <w:rPr>
                      <w:color w:val="auto"/>
                      <w:highlight w:val="none"/>
                    </w:rPr>
                  </w:pPr>
                  <w:r>
                    <w:rPr>
                      <w:rFonts w:hint="eastAsia"/>
                      <w:color w:val="auto"/>
                      <w:highlight w:val="none"/>
                    </w:rPr>
                    <w:t>本项目位于酉华镇金峰村金元组，在生态红线范围之外，周边无水源保护区。</w:t>
                  </w:r>
                </w:p>
              </w:tc>
              <w:tc>
                <w:tcPr>
                  <w:tcW w:w="260" w:type="pct"/>
                  <w:tcBorders>
                    <w:tl2br w:val="nil"/>
                    <w:tr2bl w:val="nil"/>
                  </w:tcBorders>
                  <w:vAlign w:val="center"/>
                </w:tcPr>
                <w:p w14:paraId="68B4D849">
                  <w:pPr>
                    <w:pStyle w:val="13"/>
                    <w:rPr>
                      <w:color w:val="auto"/>
                      <w:highlight w:val="none"/>
                    </w:rPr>
                  </w:pPr>
                  <w:r>
                    <w:rPr>
                      <w:rFonts w:hint="eastAsia"/>
                      <w:color w:val="auto"/>
                      <w:highlight w:val="none"/>
                    </w:rPr>
                    <w:t>符合</w:t>
                  </w:r>
                </w:p>
              </w:tc>
            </w:tr>
            <w:tr w14:paraId="7F6ED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42" w:type="pct"/>
                  <w:vMerge w:val="continue"/>
                  <w:tcBorders>
                    <w:tl2br w:val="nil"/>
                    <w:tr2bl w:val="nil"/>
                  </w:tcBorders>
                  <w:vAlign w:val="center"/>
                </w:tcPr>
                <w:p w14:paraId="5E895A10">
                  <w:pPr>
                    <w:pStyle w:val="13"/>
                    <w:rPr>
                      <w:color w:val="auto"/>
                      <w:highlight w:val="none"/>
                    </w:rPr>
                  </w:pPr>
                </w:p>
              </w:tc>
              <w:tc>
                <w:tcPr>
                  <w:tcW w:w="2812" w:type="pct"/>
                  <w:tcBorders>
                    <w:tl2br w:val="nil"/>
                    <w:tr2bl w:val="nil"/>
                  </w:tcBorders>
                  <w:vAlign w:val="center"/>
                </w:tcPr>
                <w:p w14:paraId="56510655">
                  <w:pPr>
                    <w:pStyle w:val="13"/>
                    <w:jc w:val="both"/>
                    <w:rPr>
                      <w:b/>
                      <w:bCs/>
                      <w:color w:val="auto"/>
                      <w:highlight w:val="none"/>
                    </w:rPr>
                  </w:pPr>
                  <w:r>
                    <w:rPr>
                      <w:rFonts w:hint="eastAsia"/>
                      <w:b/>
                      <w:bCs/>
                      <w:color w:val="auto"/>
                      <w:highlight w:val="none"/>
                    </w:rPr>
                    <w:t>提升“纳统管”行动</w:t>
                  </w:r>
                </w:p>
                <w:p w14:paraId="7D6CC1A4">
                  <w:pPr>
                    <w:pStyle w:val="13"/>
                    <w:jc w:val="both"/>
                    <w:rPr>
                      <w:b/>
                      <w:bCs/>
                      <w:color w:val="auto"/>
                      <w:highlight w:val="none"/>
                    </w:rPr>
                  </w:pPr>
                  <w:r>
                    <w:rPr>
                      <w:rFonts w:hint="eastAsia"/>
                      <w:color w:val="auto"/>
                      <w:highlight w:val="none"/>
                    </w:rPr>
                    <w:t>园区工业污水和生活污水全部纳入统一污水管网，实行统一处理、不留死角。企业工业废水在排入园区污水处理站之前，必须经过预处理且达到园区污水处理站纳管标准。园区污水集中处理设施和管网全部建成运行。鼓励有条件的园区实施化工企业“一企一管、明管输送、实时监测”，确保化工污水全收集、全处理。</w:t>
                  </w:r>
                </w:p>
              </w:tc>
              <w:tc>
                <w:tcPr>
                  <w:tcW w:w="1485" w:type="pct"/>
                  <w:tcBorders>
                    <w:tl2br w:val="nil"/>
                    <w:tr2bl w:val="nil"/>
                  </w:tcBorders>
                  <w:vAlign w:val="center"/>
                </w:tcPr>
                <w:p w14:paraId="504DBDD1">
                  <w:pPr>
                    <w:pStyle w:val="13"/>
                    <w:jc w:val="both"/>
                    <w:rPr>
                      <w:color w:val="auto"/>
                      <w:highlight w:val="none"/>
                    </w:rPr>
                  </w:pPr>
                  <w:r>
                    <w:rPr>
                      <w:rFonts w:hint="eastAsia"/>
                      <w:color w:val="auto"/>
                      <w:highlight w:val="none"/>
                      <w:lang w:eastAsia="zh-CN"/>
                    </w:rPr>
                    <w:t>生活污水经隔油池、化粪池处理达酉华镇污水处理站接管标准后，与调质废水一起纳管排入酉华镇污水处理站处理，达到《城镇污水处理站污染物排放标准》（GB 18918-2002）一级A标准后排入七星河</w:t>
                  </w:r>
                  <w:r>
                    <w:rPr>
                      <w:rFonts w:hint="eastAsia"/>
                      <w:color w:val="auto"/>
                      <w:highlight w:val="none"/>
                    </w:rPr>
                    <w:t>。</w:t>
                  </w:r>
                </w:p>
              </w:tc>
              <w:tc>
                <w:tcPr>
                  <w:tcW w:w="260" w:type="pct"/>
                  <w:tcBorders>
                    <w:tl2br w:val="nil"/>
                    <w:tr2bl w:val="nil"/>
                  </w:tcBorders>
                  <w:vAlign w:val="center"/>
                </w:tcPr>
                <w:p w14:paraId="5177E3E6">
                  <w:pPr>
                    <w:pStyle w:val="13"/>
                    <w:rPr>
                      <w:color w:val="auto"/>
                      <w:highlight w:val="none"/>
                    </w:rPr>
                  </w:pPr>
                  <w:r>
                    <w:rPr>
                      <w:rFonts w:hint="eastAsia"/>
                      <w:color w:val="auto"/>
                      <w:highlight w:val="none"/>
                    </w:rPr>
                    <w:t>符合</w:t>
                  </w:r>
                </w:p>
              </w:tc>
            </w:tr>
            <w:tr w14:paraId="58E5F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42" w:type="pct"/>
                  <w:tcBorders>
                    <w:tl2br w:val="nil"/>
                    <w:tr2bl w:val="nil"/>
                  </w:tcBorders>
                  <w:vAlign w:val="center"/>
                </w:tcPr>
                <w:p w14:paraId="5ACADCAD">
                  <w:pPr>
                    <w:pStyle w:val="13"/>
                    <w:rPr>
                      <w:color w:val="auto"/>
                      <w:highlight w:val="none"/>
                    </w:rPr>
                  </w:pPr>
                  <w:r>
                    <w:rPr>
                      <w:rFonts w:hint="eastAsia"/>
                      <w:color w:val="auto"/>
                      <w:highlight w:val="none"/>
                    </w:rPr>
                    <w:t>池州市农作物秸秆产业化利用实施方案</w:t>
                  </w:r>
                </w:p>
              </w:tc>
              <w:tc>
                <w:tcPr>
                  <w:tcW w:w="2812" w:type="pct"/>
                  <w:tcBorders>
                    <w:tl2br w:val="nil"/>
                    <w:tr2bl w:val="nil"/>
                  </w:tcBorders>
                  <w:vAlign w:val="center"/>
                </w:tcPr>
                <w:p w14:paraId="3380CC77">
                  <w:pPr>
                    <w:pStyle w:val="13"/>
                    <w:jc w:val="both"/>
                    <w:rPr>
                      <w:color w:val="auto"/>
                      <w:highlight w:val="none"/>
                    </w:rPr>
                  </w:pPr>
                  <w:r>
                    <w:rPr>
                      <w:rFonts w:hint="eastAsia"/>
                      <w:color w:val="auto"/>
                      <w:highlight w:val="none"/>
                    </w:rPr>
                    <w:t>科学布局全覆盖的秸秆收集转运体系，完善市场化的收储运销网络，大力推广龙头企业带动的产业化利用模式，加快发展以秸秆资源利用为基础的现代环保产业，推动形成布局合理、产业链条完整的秸秆综合利用产业化格局，促进农业增效、农民增收、农村增绿。</w:t>
                  </w:r>
                </w:p>
              </w:tc>
              <w:tc>
                <w:tcPr>
                  <w:tcW w:w="1485" w:type="pct"/>
                  <w:vMerge w:val="restart"/>
                  <w:tcBorders>
                    <w:tl2br w:val="nil"/>
                    <w:tr2bl w:val="nil"/>
                  </w:tcBorders>
                  <w:vAlign w:val="center"/>
                </w:tcPr>
                <w:p w14:paraId="6F30AF1E">
                  <w:pPr>
                    <w:pStyle w:val="13"/>
                    <w:jc w:val="both"/>
                    <w:rPr>
                      <w:color w:val="auto"/>
                      <w:highlight w:val="none"/>
                    </w:rPr>
                  </w:pPr>
                  <w:r>
                    <w:rPr>
                      <w:rFonts w:hint="eastAsia"/>
                      <w:color w:val="auto"/>
                      <w:highlight w:val="none"/>
                    </w:rPr>
                    <w:t>项目利用周边农户集体的秸秆生产秸秆饲料、颗粒饲料，符合秸秆综合利用产业化格局。</w:t>
                  </w:r>
                </w:p>
              </w:tc>
              <w:tc>
                <w:tcPr>
                  <w:tcW w:w="260" w:type="pct"/>
                  <w:vMerge w:val="restart"/>
                  <w:tcBorders>
                    <w:tl2br w:val="nil"/>
                    <w:tr2bl w:val="nil"/>
                  </w:tcBorders>
                  <w:vAlign w:val="center"/>
                </w:tcPr>
                <w:p w14:paraId="39BB1373">
                  <w:pPr>
                    <w:pStyle w:val="13"/>
                    <w:rPr>
                      <w:color w:val="auto"/>
                      <w:highlight w:val="none"/>
                    </w:rPr>
                  </w:pPr>
                  <w:r>
                    <w:rPr>
                      <w:rFonts w:hint="eastAsia"/>
                      <w:color w:val="auto"/>
                      <w:highlight w:val="none"/>
                    </w:rPr>
                    <w:t>符合</w:t>
                  </w:r>
                </w:p>
              </w:tc>
            </w:tr>
            <w:tr w14:paraId="5D2AB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42" w:type="pct"/>
                  <w:tcBorders>
                    <w:tl2br w:val="nil"/>
                    <w:tr2bl w:val="nil"/>
                  </w:tcBorders>
                  <w:vAlign w:val="center"/>
                </w:tcPr>
                <w:p w14:paraId="0A6F4732">
                  <w:pPr>
                    <w:pStyle w:val="13"/>
                    <w:rPr>
                      <w:color w:val="auto"/>
                      <w:highlight w:val="none"/>
                    </w:rPr>
                  </w:pPr>
                  <w:r>
                    <w:rPr>
                      <w:rFonts w:hint="eastAsia"/>
                      <w:color w:val="auto"/>
                      <w:highlight w:val="none"/>
                    </w:rPr>
                    <w:t>青阳县农作物秸秆产业化利用实施方案</w:t>
                  </w:r>
                </w:p>
              </w:tc>
              <w:tc>
                <w:tcPr>
                  <w:tcW w:w="2812" w:type="pct"/>
                  <w:tcBorders>
                    <w:tl2br w:val="nil"/>
                    <w:tr2bl w:val="nil"/>
                  </w:tcBorders>
                  <w:vAlign w:val="center"/>
                </w:tcPr>
                <w:p w14:paraId="6A0AF3A5">
                  <w:pPr>
                    <w:pStyle w:val="13"/>
                    <w:jc w:val="both"/>
                    <w:rPr>
                      <w:color w:val="auto"/>
                      <w:highlight w:val="none"/>
                    </w:rPr>
                  </w:pPr>
                  <w:r>
                    <w:rPr>
                      <w:rFonts w:hint="eastAsia"/>
                      <w:color w:val="auto"/>
                      <w:highlight w:val="none"/>
                    </w:rPr>
                    <w:t>优化秸秆综合利用结构，加快发展以秸秆资源利用为基础的现代环保产业，大力推广龙头企业带动的产业化利用模式，提升秸秆综合利用产业化、规模化水平。</w:t>
                  </w:r>
                </w:p>
              </w:tc>
              <w:tc>
                <w:tcPr>
                  <w:tcW w:w="1485" w:type="pct"/>
                  <w:vMerge w:val="continue"/>
                  <w:tcBorders>
                    <w:tl2br w:val="nil"/>
                    <w:tr2bl w:val="nil"/>
                  </w:tcBorders>
                  <w:vAlign w:val="center"/>
                </w:tcPr>
                <w:p w14:paraId="413200C5">
                  <w:pPr>
                    <w:pStyle w:val="13"/>
                    <w:jc w:val="both"/>
                    <w:rPr>
                      <w:color w:val="auto"/>
                      <w:highlight w:val="none"/>
                    </w:rPr>
                  </w:pPr>
                </w:p>
              </w:tc>
              <w:tc>
                <w:tcPr>
                  <w:tcW w:w="260" w:type="pct"/>
                  <w:vMerge w:val="continue"/>
                  <w:tcBorders>
                    <w:tl2br w:val="nil"/>
                    <w:tr2bl w:val="nil"/>
                  </w:tcBorders>
                  <w:vAlign w:val="center"/>
                </w:tcPr>
                <w:p w14:paraId="36545AC3">
                  <w:pPr>
                    <w:pStyle w:val="13"/>
                    <w:rPr>
                      <w:color w:val="auto"/>
                      <w:highlight w:val="none"/>
                    </w:rPr>
                  </w:pPr>
                </w:p>
              </w:tc>
            </w:tr>
            <w:tr w14:paraId="29964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 w:hRule="atLeast"/>
                <w:jc w:val="center"/>
              </w:trPr>
              <w:tc>
                <w:tcPr>
                  <w:tcW w:w="442" w:type="pct"/>
                  <w:tcBorders>
                    <w:tl2br w:val="nil"/>
                    <w:tr2bl w:val="nil"/>
                  </w:tcBorders>
                  <w:vAlign w:val="center"/>
                </w:tcPr>
                <w:p w14:paraId="4A0D984F">
                  <w:pPr>
                    <w:pStyle w:val="13"/>
                    <w:rPr>
                      <w:color w:val="auto"/>
                      <w:highlight w:val="none"/>
                    </w:rPr>
                  </w:pPr>
                  <w:r>
                    <w:rPr>
                      <w:rFonts w:hint="eastAsia"/>
                      <w:color w:val="auto"/>
                      <w:highlight w:val="none"/>
                    </w:rPr>
                    <w:t>青阳县秸秆综合利用技术方案</w:t>
                  </w:r>
                </w:p>
              </w:tc>
              <w:tc>
                <w:tcPr>
                  <w:tcW w:w="2812" w:type="pct"/>
                  <w:tcBorders>
                    <w:tl2br w:val="nil"/>
                    <w:tr2bl w:val="nil"/>
                  </w:tcBorders>
                  <w:vAlign w:val="center"/>
                </w:tcPr>
                <w:p w14:paraId="0698EC10">
                  <w:pPr>
                    <w:pStyle w:val="13"/>
                    <w:jc w:val="both"/>
                    <w:rPr>
                      <w:color w:val="auto"/>
                      <w:highlight w:val="none"/>
                    </w:rPr>
                  </w:pPr>
                  <w:r>
                    <w:rPr>
                      <w:rFonts w:hint="eastAsia"/>
                      <w:color w:val="auto"/>
                      <w:highlight w:val="none"/>
                    </w:rPr>
                    <w:t>根据不同区域主要农作物秸秆产量、秸秆综合利用产业发展特点、市场需求、交通情况等，按照合理半径规划建设规范的标准化收储中心，加快构建乡镇有标准化收储中心、村有固定收储点的“1+X”的秸秆收储体系网络。村级秸秆收储点主要用于附近农田的秸秆集中收集堆放和临时储存。标准化收储中心收储容量原则上不少于1000吨，具有秸秆收储必要的设备设施，可实现周边秸秆打捆、收储、转运等作业。</w:t>
                  </w:r>
                </w:p>
              </w:tc>
              <w:tc>
                <w:tcPr>
                  <w:tcW w:w="1485" w:type="pct"/>
                  <w:vMerge w:val="continue"/>
                  <w:tcBorders>
                    <w:tl2br w:val="nil"/>
                    <w:tr2bl w:val="nil"/>
                  </w:tcBorders>
                  <w:vAlign w:val="center"/>
                </w:tcPr>
                <w:p w14:paraId="33A4E1BA">
                  <w:pPr>
                    <w:pStyle w:val="13"/>
                    <w:jc w:val="both"/>
                    <w:rPr>
                      <w:color w:val="auto"/>
                      <w:highlight w:val="none"/>
                    </w:rPr>
                  </w:pPr>
                </w:p>
              </w:tc>
              <w:tc>
                <w:tcPr>
                  <w:tcW w:w="260" w:type="pct"/>
                  <w:vMerge w:val="continue"/>
                  <w:tcBorders>
                    <w:tl2br w:val="nil"/>
                    <w:tr2bl w:val="nil"/>
                  </w:tcBorders>
                  <w:vAlign w:val="center"/>
                </w:tcPr>
                <w:p w14:paraId="57747416">
                  <w:pPr>
                    <w:pStyle w:val="13"/>
                    <w:rPr>
                      <w:color w:val="auto"/>
                      <w:highlight w:val="none"/>
                    </w:rPr>
                  </w:pPr>
                </w:p>
              </w:tc>
            </w:tr>
          </w:tbl>
          <w:p w14:paraId="068137B5">
            <w:pPr>
              <w:pStyle w:val="14"/>
              <w:spacing w:before="156"/>
              <w:rPr>
                <w:color w:val="auto"/>
                <w:highlight w:val="none"/>
              </w:rPr>
            </w:pPr>
          </w:p>
        </w:tc>
      </w:tr>
    </w:tbl>
    <w:p w14:paraId="6E3324FB">
      <w:pPr>
        <w:ind w:firstLine="480"/>
        <w:rPr>
          <w:color w:val="auto"/>
          <w:highlight w:val="none"/>
        </w:rPr>
        <w:sectPr>
          <w:pgSz w:w="16838" w:h="11906" w:orient="landscape"/>
          <w:pgMar w:top="1134" w:right="1134" w:bottom="1247" w:left="1247" w:header="851" w:footer="850" w:gutter="0"/>
          <w:cols w:space="425" w:num="1"/>
          <w:docGrid w:type="lines" w:linePitch="312" w:charSpace="0"/>
        </w:sectPr>
      </w:pPr>
    </w:p>
    <w:p w14:paraId="3B1E961D">
      <w:pPr>
        <w:pStyle w:val="17"/>
        <w:rPr>
          <w:color w:val="auto"/>
          <w:highlight w:val="none"/>
        </w:rPr>
      </w:pPr>
      <w:r>
        <w:rPr>
          <w:color w:val="auto"/>
          <w:highlight w:val="none"/>
        </w:rPr>
        <w:t>二、建设项目工程分析</w:t>
      </w:r>
    </w:p>
    <w:tbl>
      <w:tblPr>
        <w:tblStyle w:val="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9281"/>
      </w:tblGrid>
      <w:tr w14:paraId="4836B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4" w:type="pct"/>
          </w:tcPr>
          <w:p w14:paraId="1F71A3CA">
            <w:pPr>
              <w:ind w:firstLine="0" w:firstLineChars="0"/>
              <w:rPr>
                <w:b/>
                <w:bCs/>
                <w:color w:val="auto"/>
                <w:highlight w:val="none"/>
              </w:rPr>
            </w:pPr>
            <w:r>
              <w:rPr>
                <w:rFonts w:hint="eastAsia"/>
                <w:b/>
                <w:bCs/>
                <w:color w:val="auto"/>
                <w:highlight w:val="none"/>
              </w:rPr>
              <w:t>建设内容</w:t>
            </w:r>
          </w:p>
        </w:tc>
        <w:tc>
          <w:tcPr>
            <w:tcW w:w="4765" w:type="pct"/>
          </w:tcPr>
          <w:p w14:paraId="65A53A46">
            <w:pPr>
              <w:pStyle w:val="2"/>
              <w:ind w:firstLine="482"/>
              <w:rPr>
                <w:color w:val="auto"/>
                <w:highlight w:val="none"/>
              </w:rPr>
            </w:pPr>
            <w:r>
              <w:rPr>
                <w:rFonts w:hint="eastAsia"/>
                <w:color w:val="auto"/>
                <w:highlight w:val="none"/>
              </w:rPr>
              <w:t>1、项目由来</w:t>
            </w:r>
          </w:p>
          <w:p w14:paraId="0EB96A9F">
            <w:pPr>
              <w:pStyle w:val="3"/>
              <w:ind w:firstLine="482"/>
              <w:rPr>
                <w:color w:val="auto"/>
                <w:highlight w:val="none"/>
              </w:rPr>
            </w:pPr>
            <w:r>
              <w:rPr>
                <w:rFonts w:hint="eastAsia"/>
                <w:color w:val="auto"/>
                <w:highlight w:val="none"/>
              </w:rPr>
              <w:t>（1）背景</w:t>
            </w:r>
          </w:p>
          <w:p w14:paraId="7A3C0B68">
            <w:pPr>
              <w:ind w:firstLine="480"/>
              <w:rPr>
                <w:color w:val="auto"/>
                <w:highlight w:val="none"/>
              </w:rPr>
            </w:pPr>
            <w:r>
              <w:rPr>
                <w:rFonts w:hint="eastAsia"/>
                <w:color w:val="auto"/>
                <w:highlight w:val="none"/>
              </w:rPr>
              <w:t>畜牧业是国民经济的基础产业，而畜牧业的高质量发展离不开优质饲料的支撑。池州市丹青农业发展有限公司拟投资5645.3万元，于青阳县酉华镇金峰村金元组建设年产1.5万吨精制复合饲料加工项目。项目建成后，能有效促进周边农户集体关于秸秆的处理和畜牧业的发展，引进社会资金驱动乡村产业振兴，推动农村传统产业向一、二、三产深度融合，进而促进农民增收。符合“十四五”优先发展农业农村，全面推进乡村振兴的规划。</w:t>
            </w:r>
          </w:p>
          <w:p w14:paraId="6C8E9714">
            <w:pPr>
              <w:ind w:firstLine="480"/>
              <w:rPr>
                <w:color w:val="auto"/>
                <w:highlight w:val="none"/>
              </w:rPr>
            </w:pPr>
            <w:r>
              <w:rPr>
                <w:rFonts w:hint="eastAsia"/>
                <w:color w:val="auto"/>
                <w:highlight w:val="none"/>
              </w:rPr>
              <w:t>项目规划分两期建设：一期主要生产秸杆饲料，规划总建筑面积11690m</w:t>
            </w:r>
            <w:r>
              <w:rPr>
                <w:color w:val="auto"/>
                <w:highlight w:val="none"/>
              </w:rPr>
              <w:t>²</w:t>
            </w:r>
            <w:r>
              <w:rPr>
                <w:rFonts w:hint="eastAsia"/>
                <w:color w:val="auto"/>
                <w:highlight w:val="none"/>
              </w:rPr>
              <w:t>，其中主要生产设施（原料仓库、加工车间、成品仓库等）建筑面积10400m</w:t>
            </w:r>
            <w:r>
              <w:rPr>
                <w:color w:val="auto"/>
                <w:highlight w:val="none"/>
              </w:rPr>
              <w:t>²</w:t>
            </w:r>
            <w:r>
              <w:rPr>
                <w:rFonts w:hint="eastAsia"/>
                <w:color w:val="auto"/>
                <w:highlight w:val="none"/>
              </w:rPr>
              <w:t>，辅助生产设施（变电所、材料库、固废收贮间等）及办公生活设施建筑面积1290m</w:t>
            </w:r>
            <w:r>
              <w:rPr>
                <w:color w:val="auto"/>
                <w:highlight w:val="none"/>
              </w:rPr>
              <w:t>²</w:t>
            </w:r>
            <w:r>
              <w:rPr>
                <w:rFonts w:hint="eastAsia"/>
                <w:color w:val="auto"/>
                <w:highlight w:val="none"/>
              </w:rPr>
              <w:t>；二期主要生产颗粒饲料，采购饲料加工专用设备，开展以秸杆饲料、精制饲料颗粒加工为主的特色农副产品加工业务；同时配套建设场内道路、绿化、给排水、电力及网络引入等公辅工程，统一规划环保、安全、卫生及消防设施。</w:t>
            </w:r>
          </w:p>
          <w:p w14:paraId="3546D5AC">
            <w:pPr>
              <w:ind w:firstLine="480"/>
              <w:rPr>
                <w:color w:val="auto"/>
                <w:highlight w:val="none"/>
              </w:rPr>
            </w:pPr>
            <w:r>
              <w:rPr>
                <w:rFonts w:hint="eastAsia"/>
                <w:color w:val="auto"/>
                <w:highlight w:val="none"/>
              </w:rPr>
              <w:t>2025年5月6日，青阳县发展和改革委员会以青发改〔2025〕256号文对本项目予以备案，项目代码为2505-341723-04-01-349170。</w:t>
            </w:r>
          </w:p>
          <w:p w14:paraId="7980079D">
            <w:pPr>
              <w:pStyle w:val="3"/>
              <w:ind w:firstLine="482"/>
              <w:rPr>
                <w:color w:val="auto"/>
                <w:highlight w:val="none"/>
              </w:rPr>
            </w:pPr>
            <w:r>
              <w:rPr>
                <w:rFonts w:hint="eastAsia"/>
                <w:color w:val="auto"/>
                <w:highlight w:val="none"/>
              </w:rPr>
              <w:t>（2）行业判定</w:t>
            </w:r>
          </w:p>
          <w:p w14:paraId="3FB113F6">
            <w:pPr>
              <w:ind w:firstLine="480"/>
              <w:rPr>
                <w:color w:val="auto"/>
                <w:highlight w:val="none"/>
              </w:rPr>
            </w:pPr>
            <w:r>
              <w:rPr>
                <w:rFonts w:hint="eastAsia"/>
                <w:color w:val="auto"/>
                <w:highlight w:val="none"/>
              </w:rPr>
              <w:t>对照《国民经济行业分类》（GB/T 4754-2017）、《建设项目环境影响评价分类管理名录》（2021年版）、《固定污染源排污许可分类管理名录》（2019年版），项目行业类别如下表所示：</w:t>
            </w:r>
          </w:p>
          <w:p w14:paraId="07579D03">
            <w:pPr>
              <w:pStyle w:val="14"/>
              <w:spacing w:before="156"/>
              <w:rPr>
                <w:color w:val="auto"/>
                <w:highlight w:val="none"/>
              </w:rPr>
            </w:pPr>
            <w:r>
              <w:rPr>
                <w:rFonts w:hint="eastAsia"/>
                <w:color w:val="auto"/>
                <w:highlight w:val="none"/>
              </w:rPr>
              <w:t>表2-1  项目行业判定表</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
              <w:gridCol w:w="752"/>
              <w:gridCol w:w="800"/>
              <w:gridCol w:w="466"/>
              <w:gridCol w:w="214"/>
              <w:gridCol w:w="430"/>
              <w:gridCol w:w="600"/>
              <w:gridCol w:w="450"/>
              <w:gridCol w:w="1185"/>
              <w:gridCol w:w="299"/>
              <w:gridCol w:w="841"/>
              <w:gridCol w:w="870"/>
              <w:gridCol w:w="90"/>
              <w:gridCol w:w="1472"/>
            </w:tblGrid>
            <w:tr w14:paraId="1B66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trPr>
              <w:tc>
                <w:tcPr>
                  <w:tcW w:w="323" w:type="pct"/>
                  <w:vAlign w:val="center"/>
                </w:tcPr>
                <w:p w14:paraId="472F2AFF">
                  <w:pPr>
                    <w:pStyle w:val="13"/>
                    <w:rPr>
                      <w:color w:val="auto"/>
                      <w:highlight w:val="none"/>
                    </w:rPr>
                  </w:pPr>
                  <w:r>
                    <w:rPr>
                      <w:rFonts w:hint="eastAsia"/>
                      <w:b/>
                      <w:bCs/>
                      <w:color w:val="auto"/>
                      <w:highlight w:val="none"/>
                    </w:rPr>
                    <w:t>产品</w:t>
                  </w:r>
                </w:p>
              </w:tc>
              <w:tc>
                <w:tcPr>
                  <w:tcW w:w="4676" w:type="pct"/>
                  <w:gridSpan w:val="13"/>
                  <w:vAlign w:val="center"/>
                </w:tcPr>
                <w:p w14:paraId="7791473C">
                  <w:pPr>
                    <w:pStyle w:val="13"/>
                    <w:rPr>
                      <w:b/>
                      <w:bCs/>
                      <w:color w:val="auto"/>
                      <w:highlight w:val="none"/>
                    </w:rPr>
                  </w:pPr>
                  <w:r>
                    <w:rPr>
                      <w:rFonts w:hint="eastAsia"/>
                      <w:b/>
                      <w:bCs/>
                      <w:color w:val="auto"/>
                      <w:highlight w:val="none"/>
                    </w:rPr>
                    <w:t>一、《国民经济行业分类》（GB/T 4754-2017）</w:t>
                  </w:r>
                </w:p>
              </w:tc>
            </w:tr>
            <w:tr w14:paraId="6477B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3" w:type="pct"/>
                  <w:vMerge w:val="restart"/>
                  <w:vAlign w:val="center"/>
                </w:tcPr>
                <w:p w14:paraId="4E965510">
                  <w:pPr>
                    <w:pStyle w:val="13"/>
                    <w:rPr>
                      <w:color w:val="auto"/>
                      <w:highlight w:val="none"/>
                    </w:rPr>
                  </w:pPr>
                  <w:r>
                    <w:rPr>
                      <w:rFonts w:hint="eastAsia"/>
                      <w:color w:val="auto"/>
                      <w:highlight w:val="none"/>
                    </w:rPr>
                    <w:t>秸秆饲料和饲料颗粒</w:t>
                  </w:r>
                </w:p>
              </w:tc>
              <w:tc>
                <w:tcPr>
                  <w:tcW w:w="2869" w:type="pct"/>
                  <w:gridSpan w:val="9"/>
                  <w:vAlign w:val="center"/>
                </w:tcPr>
                <w:p w14:paraId="784A2991">
                  <w:pPr>
                    <w:pStyle w:val="13"/>
                    <w:rPr>
                      <w:b/>
                      <w:bCs/>
                      <w:color w:val="auto"/>
                      <w:highlight w:val="none"/>
                    </w:rPr>
                  </w:pPr>
                  <w:r>
                    <w:rPr>
                      <w:rFonts w:hint="eastAsia"/>
                      <w:b/>
                      <w:bCs/>
                      <w:color w:val="auto"/>
                      <w:highlight w:val="none"/>
                    </w:rPr>
                    <w:t>分类</w:t>
                  </w:r>
                </w:p>
              </w:tc>
              <w:tc>
                <w:tcPr>
                  <w:tcW w:w="1807" w:type="pct"/>
                  <w:gridSpan w:val="4"/>
                  <w:vAlign w:val="center"/>
                </w:tcPr>
                <w:p w14:paraId="502988F3">
                  <w:pPr>
                    <w:pStyle w:val="13"/>
                    <w:rPr>
                      <w:b/>
                      <w:bCs/>
                      <w:color w:val="auto"/>
                      <w:highlight w:val="none"/>
                    </w:rPr>
                  </w:pPr>
                  <w:r>
                    <w:rPr>
                      <w:rFonts w:hint="eastAsia"/>
                      <w:b/>
                      <w:bCs/>
                      <w:color w:val="auto"/>
                      <w:highlight w:val="none"/>
                    </w:rPr>
                    <w:t>项目情况</w:t>
                  </w:r>
                </w:p>
              </w:tc>
            </w:tr>
            <w:tr w14:paraId="65A57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3" w:type="pct"/>
                  <w:vMerge w:val="continue"/>
                  <w:vAlign w:val="center"/>
                </w:tcPr>
                <w:p w14:paraId="5F437EDC">
                  <w:pPr>
                    <w:pStyle w:val="13"/>
                    <w:rPr>
                      <w:color w:val="auto"/>
                      <w:highlight w:val="none"/>
                    </w:rPr>
                  </w:pPr>
                </w:p>
              </w:tc>
              <w:tc>
                <w:tcPr>
                  <w:tcW w:w="415" w:type="pct"/>
                  <w:vAlign w:val="center"/>
                </w:tcPr>
                <w:p w14:paraId="3B66AED7">
                  <w:pPr>
                    <w:pStyle w:val="13"/>
                    <w:rPr>
                      <w:b/>
                      <w:bCs/>
                      <w:color w:val="auto"/>
                      <w:highlight w:val="none"/>
                    </w:rPr>
                  </w:pPr>
                  <w:r>
                    <w:rPr>
                      <w:rFonts w:hint="eastAsia"/>
                      <w:b/>
                      <w:bCs/>
                      <w:color w:val="auto"/>
                      <w:highlight w:val="none"/>
                    </w:rPr>
                    <w:t>总类</w:t>
                  </w:r>
                </w:p>
              </w:tc>
              <w:tc>
                <w:tcPr>
                  <w:tcW w:w="817" w:type="pct"/>
                  <w:gridSpan w:val="3"/>
                  <w:vAlign w:val="center"/>
                </w:tcPr>
                <w:p w14:paraId="6D4E3DAD">
                  <w:pPr>
                    <w:pStyle w:val="13"/>
                    <w:rPr>
                      <w:b/>
                      <w:bCs/>
                      <w:color w:val="auto"/>
                      <w:highlight w:val="none"/>
                    </w:rPr>
                  </w:pPr>
                  <w:r>
                    <w:rPr>
                      <w:rFonts w:hint="eastAsia"/>
                      <w:b/>
                      <w:bCs/>
                      <w:color w:val="auto"/>
                      <w:highlight w:val="none"/>
                    </w:rPr>
                    <w:t>大类</w:t>
                  </w:r>
                </w:p>
              </w:tc>
              <w:tc>
                <w:tcPr>
                  <w:tcW w:w="817" w:type="pct"/>
                  <w:gridSpan w:val="3"/>
                  <w:vAlign w:val="center"/>
                </w:tcPr>
                <w:p w14:paraId="6DA1124D">
                  <w:pPr>
                    <w:pStyle w:val="13"/>
                    <w:rPr>
                      <w:b/>
                      <w:bCs/>
                      <w:color w:val="auto"/>
                      <w:highlight w:val="none"/>
                    </w:rPr>
                  </w:pPr>
                  <w:r>
                    <w:rPr>
                      <w:rFonts w:hint="eastAsia"/>
                      <w:b/>
                      <w:bCs/>
                      <w:color w:val="auto"/>
                      <w:highlight w:val="none"/>
                    </w:rPr>
                    <w:t>中类</w:t>
                  </w:r>
                </w:p>
              </w:tc>
              <w:tc>
                <w:tcPr>
                  <w:tcW w:w="819" w:type="pct"/>
                  <w:gridSpan w:val="2"/>
                  <w:vAlign w:val="center"/>
                </w:tcPr>
                <w:p w14:paraId="574808EF">
                  <w:pPr>
                    <w:pStyle w:val="13"/>
                    <w:rPr>
                      <w:b/>
                      <w:bCs/>
                      <w:color w:val="auto"/>
                      <w:highlight w:val="none"/>
                    </w:rPr>
                  </w:pPr>
                  <w:r>
                    <w:rPr>
                      <w:rFonts w:hint="eastAsia"/>
                      <w:b/>
                      <w:bCs/>
                      <w:color w:val="auto"/>
                      <w:highlight w:val="none"/>
                    </w:rPr>
                    <w:t>小类</w:t>
                  </w:r>
                </w:p>
              </w:tc>
              <w:tc>
                <w:tcPr>
                  <w:tcW w:w="1807" w:type="pct"/>
                  <w:gridSpan w:val="4"/>
                  <w:vAlign w:val="center"/>
                </w:tcPr>
                <w:p w14:paraId="018BA77F">
                  <w:pPr>
                    <w:pStyle w:val="13"/>
                    <w:rPr>
                      <w:b/>
                      <w:bCs/>
                      <w:color w:val="auto"/>
                      <w:highlight w:val="none"/>
                    </w:rPr>
                  </w:pPr>
                  <w:r>
                    <w:rPr>
                      <w:rFonts w:hint="eastAsia"/>
                      <w:b/>
                      <w:bCs/>
                      <w:color w:val="auto"/>
                      <w:highlight w:val="none"/>
                    </w:rPr>
                    <w:t>/</w:t>
                  </w:r>
                </w:p>
              </w:tc>
            </w:tr>
            <w:tr w14:paraId="77AAF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3" w:type="pct"/>
                  <w:vMerge w:val="continue"/>
                  <w:vAlign w:val="center"/>
                </w:tcPr>
                <w:p w14:paraId="16FF33F5">
                  <w:pPr>
                    <w:pStyle w:val="13"/>
                    <w:rPr>
                      <w:color w:val="auto"/>
                      <w:highlight w:val="none"/>
                    </w:rPr>
                  </w:pPr>
                </w:p>
              </w:tc>
              <w:tc>
                <w:tcPr>
                  <w:tcW w:w="415" w:type="pct"/>
                  <w:vAlign w:val="center"/>
                </w:tcPr>
                <w:p w14:paraId="57790CC1">
                  <w:pPr>
                    <w:pStyle w:val="13"/>
                    <w:rPr>
                      <w:color w:val="auto"/>
                      <w:highlight w:val="none"/>
                    </w:rPr>
                  </w:pPr>
                  <w:r>
                    <w:rPr>
                      <w:color w:val="auto"/>
                      <w:highlight w:val="none"/>
                    </w:rPr>
                    <w:t>C制造业</w:t>
                  </w:r>
                </w:p>
              </w:tc>
              <w:tc>
                <w:tcPr>
                  <w:tcW w:w="817" w:type="pct"/>
                  <w:gridSpan w:val="3"/>
                  <w:vAlign w:val="center"/>
                </w:tcPr>
                <w:p w14:paraId="59EB1E48">
                  <w:pPr>
                    <w:pStyle w:val="13"/>
                    <w:rPr>
                      <w:color w:val="auto"/>
                      <w:highlight w:val="none"/>
                    </w:rPr>
                  </w:pPr>
                  <w:r>
                    <w:rPr>
                      <w:rFonts w:hint="eastAsia"/>
                      <w:color w:val="auto"/>
                      <w:highlight w:val="none"/>
                    </w:rPr>
                    <w:t>13</w:t>
                  </w:r>
                  <w:r>
                    <w:rPr>
                      <w:color w:val="auto"/>
                      <w:highlight w:val="none"/>
                    </w:rPr>
                    <w:t xml:space="preserve"> </w:t>
                  </w:r>
                  <w:r>
                    <w:rPr>
                      <w:rFonts w:hint="eastAsia"/>
                      <w:color w:val="auto"/>
                      <w:highlight w:val="none"/>
                    </w:rPr>
                    <w:t>农副食品加工业</w:t>
                  </w:r>
                </w:p>
              </w:tc>
              <w:tc>
                <w:tcPr>
                  <w:tcW w:w="817" w:type="pct"/>
                  <w:gridSpan w:val="3"/>
                  <w:vAlign w:val="center"/>
                </w:tcPr>
                <w:p w14:paraId="2BF585A7">
                  <w:pPr>
                    <w:pStyle w:val="13"/>
                    <w:rPr>
                      <w:color w:val="auto"/>
                      <w:highlight w:val="none"/>
                    </w:rPr>
                  </w:pPr>
                  <w:r>
                    <w:rPr>
                      <w:rFonts w:hint="eastAsia"/>
                      <w:color w:val="auto"/>
                      <w:highlight w:val="none"/>
                    </w:rPr>
                    <w:t>132 饲料加工</w:t>
                  </w:r>
                </w:p>
              </w:tc>
              <w:tc>
                <w:tcPr>
                  <w:tcW w:w="819" w:type="pct"/>
                  <w:gridSpan w:val="2"/>
                  <w:vAlign w:val="center"/>
                </w:tcPr>
                <w:p w14:paraId="051514D0">
                  <w:pPr>
                    <w:pStyle w:val="13"/>
                    <w:rPr>
                      <w:color w:val="auto"/>
                      <w:highlight w:val="none"/>
                    </w:rPr>
                  </w:pPr>
                  <w:r>
                    <w:rPr>
                      <w:rFonts w:hint="eastAsia"/>
                      <w:color w:val="auto"/>
                      <w:highlight w:val="none"/>
                    </w:rPr>
                    <w:t>C1329 其他饲料加工</w:t>
                  </w:r>
                </w:p>
              </w:tc>
              <w:tc>
                <w:tcPr>
                  <w:tcW w:w="1807" w:type="pct"/>
                  <w:gridSpan w:val="4"/>
                  <w:vAlign w:val="center"/>
                </w:tcPr>
                <w:p w14:paraId="14CC2B6F">
                  <w:pPr>
                    <w:pStyle w:val="13"/>
                    <w:rPr>
                      <w:color w:val="auto"/>
                      <w:highlight w:val="none"/>
                    </w:rPr>
                  </w:pPr>
                  <w:r>
                    <w:rPr>
                      <w:color w:val="auto"/>
                      <w:highlight w:val="none"/>
                    </w:rPr>
                    <w:t>项目</w:t>
                  </w:r>
                  <w:r>
                    <w:rPr>
                      <w:rFonts w:hint="eastAsia"/>
                      <w:color w:val="auto"/>
                      <w:highlight w:val="none"/>
                    </w:rPr>
                    <w:t>产品为秸秆饲料和饲料颗粒</w:t>
                  </w:r>
                  <w:r>
                    <w:rPr>
                      <w:color w:val="auto"/>
                      <w:highlight w:val="none"/>
                    </w:rPr>
                    <w:t>，可列入</w:t>
                  </w:r>
                  <w:r>
                    <w:rPr>
                      <w:rFonts w:hint="eastAsia"/>
                      <w:color w:val="auto"/>
                      <w:highlight w:val="none"/>
                    </w:rPr>
                    <w:t>C1329 其他饲料加工</w:t>
                  </w:r>
                </w:p>
              </w:tc>
            </w:tr>
            <w:tr w14:paraId="79B70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3" w:type="pct"/>
                  <w:vMerge w:val="continue"/>
                  <w:vAlign w:val="center"/>
                </w:tcPr>
                <w:p w14:paraId="6C1E4898">
                  <w:pPr>
                    <w:pStyle w:val="13"/>
                    <w:rPr>
                      <w:color w:val="auto"/>
                      <w:highlight w:val="none"/>
                    </w:rPr>
                  </w:pPr>
                </w:p>
              </w:tc>
              <w:tc>
                <w:tcPr>
                  <w:tcW w:w="4676" w:type="pct"/>
                  <w:gridSpan w:val="13"/>
                  <w:vAlign w:val="center"/>
                </w:tcPr>
                <w:p w14:paraId="042AD196">
                  <w:pPr>
                    <w:pStyle w:val="13"/>
                    <w:rPr>
                      <w:b/>
                      <w:bCs/>
                      <w:color w:val="auto"/>
                      <w:highlight w:val="none"/>
                    </w:rPr>
                  </w:pPr>
                  <w:r>
                    <w:rPr>
                      <w:b/>
                      <w:bCs/>
                      <w:color w:val="auto"/>
                      <w:highlight w:val="none"/>
                    </w:rPr>
                    <w:t>二、《建设项目环境影响评价分类管理名录》（2021年版）</w:t>
                  </w:r>
                </w:p>
              </w:tc>
            </w:tr>
            <w:tr w14:paraId="4955F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3" w:type="pct"/>
                  <w:vMerge w:val="continue"/>
                  <w:vAlign w:val="center"/>
                </w:tcPr>
                <w:p w14:paraId="7DE64C8B">
                  <w:pPr>
                    <w:pStyle w:val="13"/>
                    <w:rPr>
                      <w:color w:val="auto"/>
                      <w:highlight w:val="none"/>
                    </w:rPr>
                  </w:pPr>
                </w:p>
              </w:tc>
              <w:tc>
                <w:tcPr>
                  <w:tcW w:w="1114" w:type="pct"/>
                  <w:gridSpan w:val="3"/>
                  <w:vAlign w:val="center"/>
                </w:tcPr>
                <w:p w14:paraId="07135F9E">
                  <w:pPr>
                    <w:pStyle w:val="13"/>
                    <w:rPr>
                      <w:b/>
                      <w:bCs/>
                      <w:color w:val="auto"/>
                      <w:highlight w:val="none"/>
                    </w:rPr>
                  </w:pPr>
                  <w:r>
                    <w:rPr>
                      <w:rFonts w:hint="eastAsia"/>
                      <w:b/>
                      <w:bCs/>
                      <w:color w:val="auto"/>
                      <w:highlight w:val="none"/>
                    </w:rPr>
                    <w:t>项目情况</w:t>
                  </w:r>
                </w:p>
              </w:tc>
              <w:tc>
                <w:tcPr>
                  <w:tcW w:w="686" w:type="pct"/>
                  <w:gridSpan w:val="3"/>
                  <w:vAlign w:val="center"/>
                </w:tcPr>
                <w:p w14:paraId="0D47F244">
                  <w:pPr>
                    <w:pStyle w:val="13"/>
                    <w:rPr>
                      <w:b/>
                      <w:bCs/>
                      <w:color w:val="auto"/>
                      <w:highlight w:val="none"/>
                    </w:rPr>
                  </w:pPr>
                  <w:r>
                    <w:rPr>
                      <w:rFonts w:hint="eastAsia"/>
                      <w:b/>
                      <w:bCs/>
                      <w:color w:val="auto"/>
                      <w:highlight w:val="none"/>
                    </w:rPr>
                    <w:t>报告书</w:t>
                  </w:r>
                </w:p>
              </w:tc>
              <w:tc>
                <w:tcPr>
                  <w:tcW w:w="1532" w:type="pct"/>
                  <w:gridSpan w:val="4"/>
                  <w:vAlign w:val="center"/>
                </w:tcPr>
                <w:p w14:paraId="1C25C138">
                  <w:pPr>
                    <w:pStyle w:val="13"/>
                    <w:rPr>
                      <w:b/>
                      <w:bCs/>
                      <w:color w:val="auto"/>
                      <w:highlight w:val="none"/>
                    </w:rPr>
                  </w:pPr>
                  <w:r>
                    <w:rPr>
                      <w:rFonts w:hint="eastAsia"/>
                      <w:b/>
                      <w:bCs/>
                      <w:color w:val="auto"/>
                      <w:highlight w:val="none"/>
                    </w:rPr>
                    <w:t>报告表</w:t>
                  </w:r>
                </w:p>
              </w:tc>
              <w:tc>
                <w:tcPr>
                  <w:tcW w:w="480" w:type="pct"/>
                  <w:vAlign w:val="center"/>
                </w:tcPr>
                <w:p w14:paraId="6F7242C1">
                  <w:pPr>
                    <w:pStyle w:val="13"/>
                    <w:rPr>
                      <w:b/>
                      <w:bCs/>
                      <w:color w:val="auto"/>
                      <w:highlight w:val="none"/>
                    </w:rPr>
                  </w:pPr>
                  <w:r>
                    <w:rPr>
                      <w:rFonts w:hint="eastAsia"/>
                      <w:b/>
                      <w:bCs/>
                      <w:color w:val="auto"/>
                      <w:highlight w:val="none"/>
                    </w:rPr>
                    <w:t>登记表</w:t>
                  </w:r>
                </w:p>
              </w:tc>
              <w:tc>
                <w:tcPr>
                  <w:tcW w:w="862" w:type="pct"/>
                  <w:gridSpan w:val="2"/>
                  <w:vAlign w:val="center"/>
                </w:tcPr>
                <w:p w14:paraId="0D77D5E9">
                  <w:pPr>
                    <w:pStyle w:val="13"/>
                    <w:rPr>
                      <w:b/>
                      <w:bCs/>
                      <w:color w:val="auto"/>
                      <w:highlight w:val="none"/>
                    </w:rPr>
                  </w:pPr>
                  <w:r>
                    <w:rPr>
                      <w:rFonts w:hint="eastAsia"/>
                      <w:b/>
                      <w:bCs/>
                      <w:color w:val="auto"/>
                      <w:highlight w:val="none"/>
                    </w:rPr>
                    <w:t>判定</w:t>
                  </w:r>
                </w:p>
              </w:tc>
            </w:tr>
            <w:tr w14:paraId="637F3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3" w:type="pct"/>
                  <w:vMerge w:val="continue"/>
                  <w:vAlign w:val="center"/>
                </w:tcPr>
                <w:p w14:paraId="0334996C">
                  <w:pPr>
                    <w:pStyle w:val="13"/>
                    <w:rPr>
                      <w:color w:val="auto"/>
                      <w:highlight w:val="none"/>
                    </w:rPr>
                  </w:pPr>
                </w:p>
              </w:tc>
              <w:tc>
                <w:tcPr>
                  <w:tcW w:w="1114" w:type="pct"/>
                  <w:gridSpan w:val="3"/>
                  <w:vAlign w:val="center"/>
                </w:tcPr>
                <w:p w14:paraId="13EE66C8">
                  <w:pPr>
                    <w:pStyle w:val="13"/>
                    <w:rPr>
                      <w:color w:val="auto"/>
                      <w:highlight w:val="none"/>
                    </w:rPr>
                  </w:pPr>
                  <w:r>
                    <w:rPr>
                      <w:rFonts w:hint="eastAsia"/>
                      <w:color w:val="auto"/>
                      <w:highlight w:val="none"/>
                    </w:rPr>
                    <w:t>十、农副食品加工业 13、谷物磨制 131*；饲料加工 132*</w:t>
                  </w:r>
                </w:p>
              </w:tc>
              <w:tc>
                <w:tcPr>
                  <w:tcW w:w="686" w:type="pct"/>
                  <w:gridSpan w:val="3"/>
                  <w:vAlign w:val="center"/>
                </w:tcPr>
                <w:p w14:paraId="3BE9B005">
                  <w:pPr>
                    <w:pStyle w:val="13"/>
                    <w:rPr>
                      <w:color w:val="auto"/>
                      <w:highlight w:val="none"/>
                    </w:rPr>
                  </w:pPr>
                  <w:r>
                    <w:rPr>
                      <w:rFonts w:hint="eastAsia"/>
                      <w:color w:val="auto"/>
                      <w:highlight w:val="none"/>
                    </w:rPr>
                    <w:t>/</w:t>
                  </w:r>
                </w:p>
              </w:tc>
              <w:tc>
                <w:tcPr>
                  <w:tcW w:w="1532" w:type="pct"/>
                  <w:gridSpan w:val="4"/>
                  <w:vAlign w:val="center"/>
                </w:tcPr>
                <w:p w14:paraId="54716CA0">
                  <w:pPr>
                    <w:pStyle w:val="13"/>
                    <w:rPr>
                      <w:color w:val="auto"/>
                      <w:highlight w:val="none"/>
                    </w:rPr>
                  </w:pPr>
                  <w:r>
                    <w:rPr>
                      <w:rFonts w:hint="eastAsia"/>
                      <w:color w:val="auto"/>
                      <w:highlight w:val="none"/>
                    </w:rPr>
                    <w:t>含发酵工艺的；年加工1万吨及以上的</w:t>
                  </w:r>
                </w:p>
              </w:tc>
              <w:tc>
                <w:tcPr>
                  <w:tcW w:w="480" w:type="pct"/>
                  <w:vAlign w:val="center"/>
                </w:tcPr>
                <w:p w14:paraId="1E611F54">
                  <w:pPr>
                    <w:pStyle w:val="13"/>
                    <w:rPr>
                      <w:color w:val="auto"/>
                      <w:highlight w:val="none"/>
                    </w:rPr>
                  </w:pPr>
                  <w:r>
                    <w:rPr>
                      <w:rFonts w:hint="eastAsia"/>
                      <w:color w:val="auto"/>
                      <w:highlight w:val="none"/>
                    </w:rPr>
                    <w:t>/</w:t>
                  </w:r>
                </w:p>
              </w:tc>
              <w:tc>
                <w:tcPr>
                  <w:tcW w:w="862" w:type="pct"/>
                  <w:gridSpan w:val="2"/>
                  <w:vMerge w:val="restart"/>
                  <w:vAlign w:val="center"/>
                </w:tcPr>
                <w:p w14:paraId="0EFB8DE5">
                  <w:pPr>
                    <w:pStyle w:val="13"/>
                    <w:rPr>
                      <w:color w:val="auto"/>
                      <w:highlight w:val="none"/>
                    </w:rPr>
                  </w:pPr>
                  <w:r>
                    <w:rPr>
                      <w:rFonts w:hint="eastAsia"/>
                      <w:color w:val="auto"/>
                      <w:highlight w:val="none"/>
                    </w:rPr>
                    <w:t>项目年产1.5万吨精制复合饲料，产品为秸秆饲料和饲料颗粒</w:t>
                  </w:r>
                  <w:r>
                    <w:rPr>
                      <w:color w:val="auto"/>
                      <w:highlight w:val="none"/>
                    </w:rPr>
                    <w:t>，</w:t>
                  </w:r>
                  <w:r>
                    <w:rPr>
                      <w:rFonts w:hint="eastAsia"/>
                      <w:color w:val="auto"/>
                      <w:highlight w:val="none"/>
                    </w:rPr>
                    <w:t>不涉及发酵工艺</w:t>
                  </w:r>
                  <w:r>
                    <w:rPr>
                      <w:rFonts w:hint="eastAsia"/>
                      <w:color w:val="auto"/>
                      <w:highlight w:val="none"/>
                      <w:lang w:eastAsia="zh-CN"/>
                    </w:rPr>
                    <w:t>；</w:t>
                  </w:r>
                  <w:r>
                    <w:rPr>
                      <w:rFonts w:hint="eastAsia"/>
                      <w:color w:val="auto"/>
                      <w:highlight w:val="none"/>
                      <w:lang w:val="en-US" w:eastAsia="zh-CN"/>
                    </w:rPr>
                    <w:t>项目设置3t/h生物质蒸汽锅炉，</w:t>
                  </w:r>
                  <w:r>
                    <w:rPr>
                      <w:rFonts w:hint="eastAsia"/>
                      <w:color w:val="auto"/>
                      <w:highlight w:val="none"/>
                    </w:rPr>
                    <w:t>应编制报告表</w:t>
                  </w:r>
                </w:p>
              </w:tc>
            </w:tr>
            <w:tr w14:paraId="4AE86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3" w:type="pct"/>
                  <w:vMerge w:val="continue"/>
                  <w:vAlign w:val="center"/>
                </w:tcPr>
                <w:p w14:paraId="7D684303">
                  <w:pPr>
                    <w:pStyle w:val="13"/>
                    <w:rPr>
                      <w:color w:val="auto"/>
                      <w:highlight w:val="none"/>
                    </w:rPr>
                  </w:pPr>
                </w:p>
              </w:tc>
              <w:tc>
                <w:tcPr>
                  <w:tcW w:w="1114" w:type="pct"/>
                  <w:gridSpan w:val="3"/>
                  <w:vAlign w:val="center"/>
                </w:tcPr>
                <w:p w14:paraId="7FD47A27">
                  <w:pPr>
                    <w:pStyle w:val="13"/>
                    <w:rPr>
                      <w:rFonts w:hint="eastAsia" w:eastAsia="宋体"/>
                      <w:color w:val="auto"/>
                      <w:highlight w:val="none"/>
                      <w:lang w:val="en-US" w:eastAsia="zh-CN"/>
                    </w:rPr>
                  </w:pPr>
                  <w:r>
                    <w:rPr>
                      <w:rFonts w:hint="eastAsia"/>
                      <w:color w:val="auto"/>
                      <w:highlight w:val="none"/>
                    </w:rPr>
                    <w:t>四十一、电力、热力生产和供应业</w:t>
                  </w:r>
                  <w:r>
                    <w:rPr>
                      <w:rFonts w:hint="eastAsia"/>
                      <w:color w:val="auto"/>
                      <w:highlight w:val="none"/>
                      <w:lang w:val="en-US" w:eastAsia="zh-CN"/>
                    </w:rPr>
                    <w:t xml:space="preserve"> 91、热力生产和供应工程（包括建设单位自建自用的供热工程）</w:t>
                  </w:r>
                </w:p>
              </w:tc>
              <w:tc>
                <w:tcPr>
                  <w:tcW w:w="686" w:type="pct"/>
                  <w:gridSpan w:val="3"/>
                  <w:vAlign w:val="center"/>
                </w:tcPr>
                <w:p w14:paraId="1981AD30">
                  <w:pPr>
                    <w:pStyle w:val="13"/>
                    <w:rPr>
                      <w:rFonts w:hint="eastAsia"/>
                      <w:color w:val="auto"/>
                      <w:highlight w:val="none"/>
                    </w:rPr>
                  </w:pPr>
                  <w:r>
                    <w:rPr>
                      <w:rFonts w:hint="eastAsia"/>
                      <w:color w:val="auto"/>
                      <w:highlight w:val="none"/>
                    </w:rPr>
                    <w:t>燃煤、燃油锅炉总容量65吨/小时（45.5兆瓦）以上的</w:t>
                  </w:r>
                </w:p>
              </w:tc>
              <w:tc>
                <w:tcPr>
                  <w:tcW w:w="1532" w:type="pct"/>
                  <w:gridSpan w:val="4"/>
                  <w:vAlign w:val="center"/>
                </w:tcPr>
                <w:p w14:paraId="352AB950">
                  <w:pPr>
                    <w:pStyle w:val="13"/>
                    <w:rPr>
                      <w:rFonts w:hint="eastAsia"/>
                      <w:color w:val="auto"/>
                      <w:highlight w:val="none"/>
                    </w:rPr>
                  </w:pPr>
                  <w:r>
                    <w:rPr>
                      <w:rFonts w:hint="eastAsia"/>
                      <w:color w:val="auto"/>
                      <w:highlight w:val="none"/>
                    </w:rPr>
                    <w:t>燃煤、燃油锅炉总容量65吨/小时（45.5兆瓦）及以下的；天然气锅炉总容量1吨/小时（0.7兆瓦）以上的；使用其他高污染燃料的（高污染燃料指国环规大气〔2017〕2号《高污染燃料目录》中规定的燃料）</w:t>
                  </w:r>
                </w:p>
              </w:tc>
              <w:tc>
                <w:tcPr>
                  <w:tcW w:w="480" w:type="pct"/>
                  <w:vAlign w:val="center"/>
                </w:tcPr>
                <w:p w14:paraId="330E9B79">
                  <w:pPr>
                    <w:pStyle w:val="13"/>
                    <w:rPr>
                      <w:rFonts w:hint="eastAsia"/>
                      <w:color w:val="auto"/>
                      <w:highlight w:val="none"/>
                    </w:rPr>
                  </w:pPr>
                  <w:r>
                    <w:rPr>
                      <w:rFonts w:hint="eastAsia"/>
                      <w:color w:val="auto"/>
                      <w:highlight w:val="none"/>
                    </w:rPr>
                    <w:t>/</w:t>
                  </w:r>
                </w:p>
              </w:tc>
              <w:tc>
                <w:tcPr>
                  <w:tcW w:w="862" w:type="pct"/>
                  <w:gridSpan w:val="2"/>
                  <w:vMerge w:val="continue"/>
                  <w:vAlign w:val="center"/>
                </w:tcPr>
                <w:p w14:paraId="1F0659BE">
                  <w:pPr>
                    <w:pStyle w:val="13"/>
                    <w:rPr>
                      <w:rFonts w:hint="eastAsia"/>
                      <w:color w:val="auto"/>
                      <w:highlight w:val="none"/>
                    </w:rPr>
                  </w:pPr>
                </w:p>
              </w:tc>
            </w:tr>
            <w:tr w14:paraId="4FB6B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3" w:type="pct"/>
                  <w:vMerge w:val="continue"/>
                  <w:vAlign w:val="center"/>
                </w:tcPr>
                <w:p w14:paraId="676A642A">
                  <w:pPr>
                    <w:pStyle w:val="13"/>
                    <w:rPr>
                      <w:color w:val="auto"/>
                      <w:highlight w:val="none"/>
                    </w:rPr>
                  </w:pPr>
                </w:p>
              </w:tc>
              <w:tc>
                <w:tcPr>
                  <w:tcW w:w="4676" w:type="pct"/>
                  <w:gridSpan w:val="13"/>
                  <w:vAlign w:val="center"/>
                </w:tcPr>
                <w:p w14:paraId="6C2B2EFE">
                  <w:pPr>
                    <w:pStyle w:val="13"/>
                    <w:rPr>
                      <w:b/>
                      <w:bCs/>
                      <w:color w:val="auto"/>
                      <w:highlight w:val="none"/>
                    </w:rPr>
                  </w:pPr>
                  <w:r>
                    <w:rPr>
                      <w:rFonts w:hint="eastAsia"/>
                      <w:b/>
                      <w:bCs/>
                      <w:color w:val="auto"/>
                      <w:highlight w:val="none"/>
                    </w:rPr>
                    <w:t>三、《固定污染源排污许可分类管理名录》（2019年版）</w:t>
                  </w:r>
                </w:p>
              </w:tc>
            </w:tr>
            <w:tr w14:paraId="31DD0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trPr>
              <w:tc>
                <w:tcPr>
                  <w:tcW w:w="323" w:type="pct"/>
                  <w:vMerge w:val="continue"/>
                  <w:vAlign w:val="center"/>
                </w:tcPr>
                <w:p w14:paraId="2F37271B">
                  <w:pPr>
                    <w:pStyle w:val="13"/>
                    <w:rPr>
                      <w:color w:val="auto"/>
                      <w:highlight w:val="none"/>
                    </w:rPr>
                  </w:pPr>
                </w:p>
              </w:tc>
              <w:tc>
                <w:tcPr>
                  <w:tcW w:w="856" w:type="pct"/>
                  <w:gridSpan w:val="2"/>
                  <w:vAlign w:val="center"/>
                </w:tcPr>
                <w:p w14:paraId="71E40EC6">
                  <w:pPr>
                    <w:pStyle w:val="13"/>
                    <w:rPr>
                      <w:b/>
                      <w:bCs/>
                      <w:color w:val="auto"/>
                      <w:highlight w:val="none"/>
                    </w:rPr>
                  </w:pPr>
                  <w:r>
                    <w:rPr>
                      <w:rFonts w:hint="eastAsia"/>
                      <w:b/>
                      <w:bCs/>
                      <w:color w:val="auto"/>
                      <w:highlight w:val="none"/>
                    </w:rPr>
                    <w:t>行业类别</w:t>
                  </w:r>
                </w:p>
              </w:tc>
              <w:tc>
                <w:tcPr>
                  <w:tcW w:w="612" w:type="pct"/>
                  <w:gridSpan w:val="3"/>
                  <w:vAlign w:val="center"/>
                </w:tcPr>
                <w:p w14:paraId="5517A535">
                  <w:pPr>
                    <w:pStyle w:val="13"/>
                    <w:rPr>
                      <w:b/>
                      <w:bCs/>
                      <w:color w:val="auto"/>
                      <w:highlight w:val="none"/>
                    </w:rPr>
                  </w:pPr>
                  <w:r>
                    <w:rPr>
                      <w:b/>
                      <w:bCs/>
                      <w:color w:val="auto"/>
                      <w:highlight w:val="none"/>
                    </w:rPr>
                    <w:t>重点管理</w:t>
                  </w:r>
                </w:p>
              </w:tc>
              <w:tc>
                <w:tcPr>
                  <w:tcW w:w="1234" w:type="pct"/>
                  <w:gridSpan w:val="3"/>
                  <w:vAlign w:val="center"/>
                </w:tcPr>
                <w:p w14:paraId="0729D606">
                  <w:pPr>
                    <w:pStyle w:val="13"/>
                    <w:rPr>
                      <w:b/>
                      <w:bCs/>
                      <w:color w:val="auto"/>
                      <w:highlight w:val="none"/>
                    </w:rPr>
                  </w:pPr>
                  <w:r>
                    <w:rPr>
                      <w:b/>
                      <w:bCs/>
                      <w:color w:val="auto"/>
                      <w:highlight w:val="none"/>
                    </w:rPr>
                    <w:t>简化管理</w:t>
                  </w:r>
                </w:p>
              </w:tc>
              <w:tc>
                <w:tcPr>
                  <w:tcW w:w="1159" w:type="pct"/>
                  <w:gridSpan w:val="4"/>
                  <w:vAlign w:val="center"/>
                </w:tcPr>
                <w:p w14:paraId="6B0449A4">
                  <w:pPr>
                    <w:pStyle w:val="13"/>
                    <w:rPr>
                      <w:b/>
                      <w:bCs/>
                      <w:color w:val="auto"/>
                      <w:highlight w:val="none"/>
                    </w:rPr>
                  </w:pPr>
                  <w:r>
                    <w:rPr>
                      <w:b/>
                      <w:bCs/>
                      <w:color w:val="auto"/>
                      <w:highlight w:val="none"/>
                    </w:rPr>
                    <w:t>登记管理</w:t>
                  </w:r>
                </w:p>
              </w:tc>
              <w:tc>
                <w:tcPr>
                  <w:tcW w:w="812" w:type="pct"/>
                  <w:vAlign w:val="center"/>
                </w:tcPr>
                <w:p w14:paraId="1E8A11E4">
                  <w:pPr>
                    <w:pStyle w:val="13"/>
                    <w:rPr>
                      <w:b/>
                      <w:bCs/>
                      <w:color w:val="auto"/>
                      <w:highlight w:val="none"/>
                    </w:rPr>
                  </w:pPr>
                  <w:r>
                    <w:rPr>
                      <w:rFonts w:hint="eastAsia"/>
                      <w:b/>
                      <w:bCs/>
                      <w:color w:val="auto"/>
                      <w:highlight w:val="none"/>
                    </w:rPr>
                    <w:t>判定</w:t>
                  </w:r>
                </w:p>
              </w:tc>
            </w:tr>
            <w:tr w14:paraId="75489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3" w:type="pct"/>
                  <w:vMerge w:val="continue"/>
                  <w:vAlign w:val="center"/>
                </w:tcPr>
                <w:p w14:paraId="087A7BD7">
                  <w:pPr>
                    <w:pStyle w:val="13"/>
                    <w:rPr>
                      <w:color w:val="auto"/>
                      <w:highlight w:val="none"/>
                    </w:rPr>
                  </w:pPr>
                </w:p>
              </w:tc>
              <w:tc>
                <w:tcPr>
                  <w:tcW w:w="856" w:type="pct"/>
                  <w:gridSpan w:val="2"/>
                  <w:vAlign w:val="center"/>
                </w:tcPr>
                <w:p w14:paraId="5DED8EBE">
                  <w:pPr>
                    <w:pStyle w:val="13"/>
                    <w:rPr>
                      <w:color w:val="auto"/>
                      <w:highlight w:val="none"/>
                    </w:rPr>
                  </w:pPr>
                  <w:r>
                    <w:rPr>
                      <w:rFonts w:hint="eastAsia"/>
                      <w:color w:val="auto"/>
                      <w:highlight w:val="none"/>
                    </w:rPr>
                    <w:t>八、农副食品加工业 13、饲料加工 132</w:t>
                  </w:r>
                </w:p>
              </w:tc>
              <w:tc>
                <w:tcPr>
                  <w:tcW w:w="612" w:type="pct"/>
                  <w:gridSpan w:val="3"/>
                  <w:vAlign w:val="center"/>
                </w:tcPr>
                <w:p w14:paraId="7D89EC3B">
                  <w:pPr>
                    <w:pStyle w:val="13"/>
                    <w:rPr>
                      <w:color w:val="auto"/>
                      <w:highlight w:val="none"/>
                    </w:rPr>
                  </w:pPr>
                  <w:r>
                    <w:rPr>
                      <w:rFonts w:hint="eastAsia"/>
                      <w:color w:val="auto"/>
                      <w:highlight w:val="none"/>
                    </w:rPr>
                    <w:t>/</w:t>
                  </w:r>
                </w:p>
              </w:tc>
              <w:tc>
                <w:tcPr>
                  <w:tcW w:w="1234" w:type="pct"/>
                  <w:gridSpan w:val="3"/>
                  <w:vAlign w:val="center"/>
                </w:tcPr>
                <w:p w14:paraId="2F389224">
                  <w:pPr>
                    <w:pStyle w:val="13"/>
                    <w:rPr>
                      <w:rFonts w:cs="Times New Roman"/>
                      <w:color w:val="auto"/>
                      <w:highlight w:val="none"/>
                    </w:rPr>
                  </w:pPr>
                  <w:r>
                    <w:rPr>
                      <w:rFonts w:cs="Times New Roman"/>
                      <w:color w:val="auto"/>
                      <w:highlight w:val="none"/>
                    </w:rPr>
                    <w:t>饲料加工 132（有发酵工艺的）*</w:t>
                  </w:r>
                </w:p>
              </w:tc>
              <w:tc>
                <w:tcPr>
                  <w:tcW w:w="1159" w:type="pct"/>
                  <w:gridSpan w:val="4"/>
                  <w:vAlign w:val="center"/>
                </w:tcPr>
                <w:p w14:paraId="284B288D">
                  <w:pPr>
                    <w:pStyle w:val="13"/>
                    <w:rPr>
                      <w:rFonts w:cs="Times New Roman"/>
                      <w:color w:val="auto"/>
                      <w:highlight w:val="none"/>
                    </w:rPr>
                  </w:pPr>
                  <w:r>
                    <w:rPr>
                      <w:rFonts w:cs="Times New Roman"/>
                      <w:color w:val="auto"/>
                      <w:highlight w:val="none"/>
                    </w:rPr>
                    <w:t>饲料加工 132（无发酵工艺的）*</w:t>
                  </w:r>
                </w:p>
              </w:tc>
              <w:tc>
                <w:tcPr>
                  <w:tcW w:w="812" w:type="pct"/>
                  <w:vMerge w:val="restart"/>
                  <w:vAlign w:val="center"/>
                </w:tcPr>
                <w:p w14:paraId="665F68E9">
                  <w:pPr>
                    <w:pStyle w:val="13"/>
                    <w:rPr>
                      <w:rFonts w:hint="eastAsia" w:eastAsia="宋体"/>
                      <w:color w:val="auto"/>
                      <w:highlight w:val="none"/>
                      <w:lang w:eastAsia="zh-CN"/>
                    </w:rPr>
                  </w:pPr>
                  <w:r>
                    <w:rPr>
                      <w:rFonts w:hint="eastAsia"/>
                      <w:color w:val="auto"/>
                      <w:highlight w:val="none"/>
                    </w:rPr>
                    <w:t>项目不涉及发酵工艺</w:t>
                  </w:r>
                  <w:r>
                    <w:rPr>
                      <w:rFonts w:hint="eastAsia"/>
                      <w:color w:val="auto"/>
                      <w:highlight w:val="none"/>
                      <w:lang w:eastAsia="zh-CN"/>
                    </w:rPr>
                    <w:t>；</w:t>
                  </w:r>
                  <w:r>
                    <w:rPr>
                      <w:rFonts w:hint="eastAsia"/>
                      <w:color w:val="auto"/>
                      <w:highlight w:val="none"/>
                      <w:lang w:val="en-US" w:eastAsia="zh-CN"/>
                    </w:rPr>
                    <w:t>项目所用锅炉为3t/h，项目</w:t>
                  </w:r>
                  <w:r>
                    <w:rPr>
                      <w:rFonts w:hint="eastAsia"/>
                      <w:color w:val="auto"/>
                      <w:highlight w:val="none"/>
                    </w:rPr>
                    <w:t>为登记管理</w:t>
                  </w:r>
                  <w:r>
                    <w:rPr>
                      <w:rFonts w:hint="eastAsia"/>
                      <w:color w:val="auto"/>
                      <w:highlight w:val="none"/>
                      <w:lang w:eastAsia="zh-CN"/>
                    </w:rPr>
                    <w:t>。</w:t>
                  </w:r>
                </w:p>
              </w:tc>
            </w:tr>
            <w:tr w14:paraId="4D92C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23" w:type="pct"/>
                  <w:vMerge w:val="continue"/>
                  <w:vAlign w:val="center"/>
                </w:tcPr>
                <w:p w14:paraId="19EA08CA">
                  <w:pPr>
                    <w:pStyle w:val="13"/>
                    <w:rPr>
                      <w:color w:val="auto"/>
                      <w:highlight w:val="none"/>
                    </w:rPr>
                  </w:pPr>
                </w:p>
              </w:tc>
              <w:tc>
                <w:tcPr>
                  <w:tcW w:w="856" w:type="pct"/>
                  <w:gridSpan w:val="2"/>
                  <w:vAlign w:val="center"/>
                </w:tcPr>
                <w:p w14:paraId="411E420E">
                  <w:pPr>
                    <w:pStyle w:val="13"/>
                    <w:rPr>
                      <w:rFonts w:hint="eastAsia" w:eastAsia="宋体"/>
                      <w:color w:val="auto"/>
                      <w:highlight w:val="none"/>
                      <w:lang w:val="en-US" w:eastAsia="zh-CN"/>
                    </w:rPr>
                  </w:pPr>
                  <w:r>
                    <w:rPr>
                      <w:rFonts w:hint="eastAsia"/>
                      <w:color w:val="auto"/>
                      <w:highlight w:val="none"/>
                    </w:rPr>
                    <w:t>五十一、通用工序</w:t>
                  </w:r>
                  <w:r>
                    <w:rPr>
                      <w:rFonts w:hint="eastAsia"/>
                      <w:color w:val="auto"/>
                      <w:highlight w:val="none"/>
                      <w:lang w:val="en-US" w:eastAsia="zh-CN"/>
                    </w:rPr>
                    <w:t xml:space="preserve"> 109、锅炉</w:t>
                  </w:r>
                </w:p>
              </w:tc>
              <w:tc>
                <w:tcPr>
                  <w:tcW w:w="612" w:type="pct"/>
                  <w:gridSpan w:val="3"/>
                  <w:vAlign w:val="center"/>
                </w:tcPr>
                <w:p w14:paraId="5D6BE9F1">
                  <w:pPr>
                    <w:pStyle w:val="13"/>
                    <w:rPr>
                      <w:rFonts w:hint="eastAsia"/>
                      <w:color w:val="auto"/>
                      <w:highlight w:val="none"/>
                    </w:rPr>
                  </w:pPr>
                  <w:r>
                    <w:rPr>
                      <w:rFonts w:hint="eastAsia"/>
                      <w:color w:val="auto"/>
                      <w:highlight w:val="none"/>
                    </w:rPr>
                    <w:t>纳入重点排污单位名录的</w:t>
                  </w:r>
                </w:p>
              </w:tc>
              <w:tc>
                <w:tcPr>
                  <w:tcW w:w="1234" w:type="pct"/>
                  <w:gridSpan w:val="3"/>
                  <w:vAlign w:val="center"/>
                </w:tcPr>
                <w:p w14:paraId="5907E2C5">
                  <w:pPr>
                    <w:pStyle w:val="13"/>
                    <w:rPr>
                      <w:rFonts w:cs="Times New Roman"/>
                      <w:color w:val="auto"/>
                      <w:highlight w:val="none"/>
                    </w:rPr>
                  </w:pPr>
                  <w:r>
                    <w:rPr>
                      <w:rFonts w:hint="eastAsia" w:cs="Times New Roman"/>
                      <w:color w:val="auto"/>
                      <w:highlight w:val="none"/>
                    </w:rPr>
                    <w:t>除纳入重点排污单位名录的，单台或者合计出力20吨/小时（14兆瓦）及以上的锅炉（不含电热锅炉）</w:t>
                  </w:r>
                </w:p>
              </w:tc>
              <w:tc>
                <w:tcPr>
                  <w:tcW w:w="1159" w:type="pct"/>
                  <w:gridSpan w:val="4"/>
                  <w:vAlign w:val="center"/>
                </w:tcPr>
                <w:p w14:paraId="3F6D0898">
                  <w:pPr>
                    <w:pStyle w:val="13"/>
                    <w:rPr>
                      <w:rFonts w:cs="Times New Roman"/>
                      <w:color w:val="auto"/>
                      <w:highlight w:val="none"/>
                    </w:rPr>
                  </w:pPr>
                  <w:r>
                    <w:rPr>
                      <w:rFonts w:hint="eastAsia" w:cs="Times New Roman"/>
                      <w:color w:val="auto"/>
                      <w:highlight w:val="none"/>
                    </w:rPr>
                    <w:t>除纳入重点排污单位名录的，单台且合计出力20吨/小时（14兆瓦）以下的锅炉（不含电热锅炉）</w:t>
                  </w:r>
                </w:p>
              </w:tc>
              <w:tc>
                <w:tcPr>
                  <w:tcW w:w="812" w:type="pct"/>
                  <w:vMerge w:val="continue"/>
                  <w:vAlign w:val="center"/>
                </w:tcPr>
                <w:p w14:paraId="17C1EAEC">
                  <w:pPr>
                    <w:pStyle w:val="13"/>
                    <w:rPr>
                      <w:rFonts w:hint="eastAsia"/>
                      <w:color w:val="auto"/>
                      <w:highlight w:val="none"/>
                    </w:rPr>
                  </w:pPr>
                </w:p>
              </w:tc>
            </w:tr>
          </w:tbl>
          <w:p w14:paraId="7D86E897">
            <w:pPr>
              <w:ind w:firstLine="480"/>
              <w:rPr>
                <w:color w:val="auto"/>
                <w:highlight w:val="none"/>
              </w:rPr>
            </w:pPr>
            <w:r>
              <w:rPr>
                <w:rFonts w:hint="eastAsia"/>
                <w:color w:val="auto"/>
                <w:highlight w:val="none"/>
              </w:rPr>
              <w:t>对照上表，本项目应编制</w:t>
            </w:r>
            <w:r>
              <w:rPr>
                <w:rFonts w:hint="eastAsia"/>
                <w:b/>
                <w:bCs/>
                <w:color w:val="auto"/>
                <w:highlight w:val="none"/>
              </w:rPr>
              <w:t>环境影响报告表</w:t>
            </w:r>
            <w:r>
              <w:rPr>
                <w:rFonts w:hint="eastAsia"/>
                <w:color w:val="auto"/>
                <w:highlight w:val="none"/>
              </w:rPr>
              <w:t>，属于</w:t>
            </w:r>
            <w:r>
              <w:rPr>
                <w:rFonts w:hint="eastAsia"/>
                <w:b/>
                <w:bCs/>
                <w:color w:val="auto"/>
                <w:highlight w:val="none"/>
              </w:rPr>
              <w:t>登记管理</w:t>
            </w:r>
            <w:r>
              <w:rPr>
                <w:rFonts w:hint="eastAsia"/>
                <w:color w:val="auto"/>
                <w:highlight w:val="none"/>
              </w:rPr>
              <w:t>。排污单位应当在启动生产设施或发生实际排污前申请取得排污许可证。受建设单位委托，我公司承担该项目环境影响评价工作。接受委托后，我公司立即组织工程技术人员对该项目进行了实地考察，对建设地周围环境状况进行了调查，收集了当地的环保、水文、气象、地质等有关资料，按有关技术要求编写了本环境影响报告表，呈报环境保护主管部门审批。</w:t>
            </w:r>
          </w:p>
          <w:p w14:paraId="3B95F426">
            <w:pPr>
              <w:ind w:firstLine="480"/>
              <w:rPr>
                <w:color w:val="auto"/>
                <w:highlight w:val="none"/>
              </w:rPr>
            </w:pPr>
          </w:p>
          <w:p w14:paraId="02C4230F">
            <w:pPr>
              <w:ind w:firstLine="480"/>
              <w:rPr>
                <w:color w:val="auto"/>
                <w:highlight w:val="none"/>
              </w:rPr>
            </w:pPr>
          </w:p>
          <w:p w14:paraId="3981B457">
            <w:pPr>
              <w:ind w:firstLine="480"/>
              <w:rPr>
                <w:color w:val="auto"/>
                <w:highlight w:val="none"/>
              </w:rPr>
            </w:pPr>
          </w:p>
          <w:p w14:paraId="3FF048CC">
            <w:pPr>
              <w:ind w:firstLine="480"/>
              <w:rPr>
                <w:color w:val="auto"/>
                <w:highlight w:val="none"/>
              </w:rPr>
            </w:pPr>
          </w:p>
          <w:p w14:paraId="002586C4">
            <w:pPr>
              <w:ind w:firstLine="480"/>
              <w:rPr>
                <w:color w:val="auto"/>
                <w:highlight w:val="none"/>
              </w:rPr>
            </w:pPr>
          </w:p>
          <w:p w14:paraId="3AAFB9B6">
            <w:pPr>
              <w:ind w:firstLine="480"/>
              <w:rPr>
                <w:color w:val="auto"/>
                <w:highlight w:val="none"/>
              </w:rPr>
            </w:pPr>
          </w:p>
          <w:p w14:paraId="027450EA">
            <w:pPr>
              <w:ind w:firstLine="480"/>
              <w:rPr>
                <w:color w:val="auto"/>
                <w:highlight w:val="none"/>
              </w:rPr>
            </w:pPr>
          </w:p>
          <w:p w14:paraId="4350E20C">
            <w:pPr>
              <w:ind w:firstLine="480"/>
              <w:rPr>
                <w:color w:val="auto"/>
                <w:highlight w:val="none"/>
              </w:rPr>
            </w:pPr>
          </w:p>
          <w:p w14:paraId="10FCB351">
            <w:pPr>
              <w:ind w:firstLine="480"/>
              <w:rPr>
                <w:color w:val="auto"/>
                <w:highlight w:val="none"/>
              </w:rPr>
            </w:pPr>
          </w:p>
          <w:p w14:paraId="65F0B46F">
            <w:pPr>
              <w:ind w:firstLine="480"/>
              <w:rPr>
                <w:color w:val="auto"/>
                <w:highlight w:val="none"/>
              </w:rPr>
            </w:pPr>
          </w:p>
          <w:p w14:paraId="61EBC0C6">
            <w:pPr>
              <w:ind w:firstLine="480"/>
              <w:rPr>
                <w:color w:val="auto"/>
                <w:highlight w:val="none"/>
              </w:rPr>
            </w:pPr>
          </w:p>
          <w:p w14:paraId="48B89592">
            <w:pPr>
              <w:ind w:firstLine="480"/>
              <w:rPr>
                <w:color w:val="auto"/>
                <w:highlight w:val="none"/>
              </w:rPr>
            </w:pPr>
          </w:p>
          <w:p w14:paraId="54D625F0">
            <w:pPr>
              <w:ind w:firstLine="480"/>
              <w:rPr>
                <w:color w:val="auto"/>
                <w:highlight w:val="none"/>
              </w:rPr>
            </w:pPr>
          </w:p>
          <w:p w14:paraId="7398CE7E">
            <w:pPr>
              <w:ind w:firstLine="480"/>
              <w:rPr>
                <w:color w:val="auto"/>
                <w:highlight w:val="none"/>
              </w:rPr>
            </w:pPr>
          </w:p>
        </w:tc>
      </w:tr>
    </w:tbl>
    <w:p w14:paraId="75E96764">
      <w:pPr>
        <w:ind w:firstLine="480"/>
        <w:rPr>
          <w:color w:val="auto"/>
          <w:highlight w:val="none"/>
        </w:rPr>
        <w:sectPr>
          <w:pgSz w:w="11906" w:h="16838"/>
          <w:pgMar w:top="1134" w:right="1247" w:bottom="1247" w:left="1134" w:header="851" w:footer="850" w:gutter="0"/>
          <w:cols w:space="425" w:num="1"/>
          <w:docGrid w:type="lines" w:linePitch="312" w:charSpace="0"/>
        </w:sectPr>
      </w:pPr>
    </w:p>
    <w:tbl>
      <w:tblPr>
        <w:tblStyle w:val="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14210"/>
      </w:tblGrid>
      <w:tr w14:paraId="763F5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 w:type="pct"/>
          </w:tcPr>
          <w:p w14:paraId="16305314">
            <w:pPr>
              <w:ind w:firstLine="0" w:firstLineChars="0"/>
              <w:rPr>
                <w:color w:val="auto"/>
                <w:highlight w:val="none"/>
              </w:rPr>
            </w:pPr>
            <w:r>
              <w:rPr>
                <w:rFonts w:hint="eastAsia"/>
                <w:b/>
                <w:bCs/>
                <w:color w:val="auto"/>
                <w:highlight w:val="none"/>
              </w:rPr>
              <w:t>建设内容</w:t>
            </w:r>
          </w:p>
        </w:tc>
        <w:tc>
          <w:tcPr>
            <w:tcW w:w="4844" w:type="pct"/>
          </w:tcPr>
          <w:p w14:paraId="56EFE188">
            <w:pPr>
              <w:pStyle w:val="2"/>
              <w:ind w:firstLine="482"/>
              <w:rPr>
                <w:color w:val="auto"/>
                <w:highlight w:val="none"/>
              </w:rPr>
            </w:pPr>
            <w:r>
              <w:rPr>
                <w:rFonts w:hint="eastAsia"/>
                <w:color w:val="auto"/>
                <w:highlight w:val="none"/>
              </w:rPr>
              <w:t>3、工程建设内容及规模</w:t>
            </w:r>
          </w:p>
          <w:p w14:paraId="4BAC123F">
            <w:pPr>
              <w:ind w:firstLine="480"/>
              <w:rPr>
                <w:color w:val="auto"/>
                <w:highlight w:val="none"/>
              </w:rPr>
            </w:pPr>
            <w:r>
              <w:rPr>
                <w:rFonts w:hint="eastAsia"/>
                <w:color w:val="auto"/>
                <w:highlight w:val="none"/>
              </w:rPr>
              <w:t>本项目购买安徽省青阳县荣华炉料有限公司1.7443公顷</w:t>
            </w:r>
            <w:r>
              <w:rPr>
                <w:rFonts w:hint="eastAsia" w:cs="Times New Roman"/>
                <w:color w:val="auto"/>
                <w:highlight w:val="none"/>
              </w:rPr>
              <w:t>土地</w:t>
            </w:r>
            <w:r>
              <w:rPr>
                <w:rFonts w:hint="eastAsia"/>
                <w:color w:val="auto"/>
                <w:highlight w:val="none"/>
              </w:rPr>
              <w:t>用于本项目的生产活动。项目规划分两期建设：一期主要生产秸杆饲料，规划总建筑面积11690m</w:t>
            </w:r>
            <w:r>
              <w:rPr>
                <w:rFonts w:cs="Times New Roman"/>
                <w:color w:val="auto"/>
                <w:highlight w:val="none"/>
              </w:rPr>
              <w:t>²</w:t>
            </w:r>
            <w:r>
              <w:rPr>
                <w:rFonts w:hint="eastAsia" w:cs="Times New Roman"/>
                <w:color w:val="auto"/>
                <w:highlight w:val="none"/>
              </w:rPr>
              <w:t>，</w:t>
            </w:r>
            <w:r>
              <w:rPr>
                <w:rFonts w:hint="eastAsia"/>
                <w:color w:val="auto"/>
                <w:highlight w:val="none"/>
              </w:rPr>
              <w:t>其中主要生产设施（原料仓库、加工车间、成品仓库等）建筑面积10400m</w:t>
            </w:r>
            <w:r>
              <w:rPr>
                <w:rFonts w:cs="Times New Roman"/>
                <w:color w:val="auto"/>
                <w:highlight w:val="none"/>
              </w:rPr>
              <w:t>²</w:t>
            </w:r>
            <w:r>
              <w:rPr>
                <w:rFonts w:hint="eastAsia"/>
                <w:color w:val="auto"/>
                <w:highlight w:val="none"/>
              </w:rPr>
              <w:t>，辅助生产设施（变电所、材料库、固废收贮间等）及办公生活设施建筑面积1290m</w:t>
            </w:r>
            <w:r>
              <w:rPr>
                <w:rFonts w:cs="Times New Roman"/>
                <w:color w:val="auto"/>
                <w:highlight w:val="none"/>
              </w:rPr>
              <w:t>²</w:t>
            </w:r>
            <w:r>
              <w:rPr>
                <w:rFonts w:hint="eastAsia"/>
                <w:color w:val="auto"/>
                <w:highlight w:val="none"/>
              </w:rPr>
              <w:t>；二期主要生产颗粒饲料，采购饲料加工专用设备，开展以秸杆饲料、精制饲料颗粒加工为主的特色农副产品加工业务；同时配套建设场内道路、绿化、给排水、电力及网络引入等公辅工程，统一规划环保、安全、卫生及消防设施。建设内容包括：主体工程、辅助工程、储运工程、公用工程和环保工程。建设项目工程内容详见下表。</w:t>
            </w:r>
          </w:p>
          <w:p w14:paraId="21938167">
            <w:pPr>
              <w:pStyle w:val="14"/>
              <w:spacing w:before="156"/>
              <w:rPr>
                <w:color w:val="auto"/>
                <w:highlight w:val="none"/>
              </w:rPr>
            </w:pPr>
            <w:r>
              <w:rPr>
                <w:rFonts w:hint="eastAsia"/>
                <w:color w:val="auto"/>
                <w:highlight w:val="none"/>
              </w:rPr>
              <w:t>表2-2  建设项目工程组成一览表</w:t>
            </w:r>
          </w:p>
          <w:tbl>
            <w:tblPr>
              <w:tblStyle w:val="1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823"/>
              <w:gridCol w:w="5324"/>
              <w:gridCol w:w="5324"/>
              <w:gridCol w:w="801"/>
            </w:tblGrid>
            <w:tr w14:paraId="15665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704" w:type="dxa"/>
                  <w:vMerge w:val="restart"/>
                  <w:vAlign w:val="center"/>
                </w:tcPr>
                <w:p w14:paraId="32D80331">
                  <w:pPr>
                    <w:pStyle w:val="13"/>
                    <w:rPr>
                      <w:rFonts w:cs="Times New Roman"/>
                      <w:b/>
                      <w:bCs/>
                      <w:color w:val="auto"/>
                      <w:highlight w:val="none"/>
                    </w:rPr>
                  </w:pPr>
                  <w:r>
                    <w:rPr>
                      <w:rFonts w:cs="Times New Roman"/>
                      <w:b/>
                      <w:bCs/>
                      <w:color w:val="auto"/>
                      <w:highlight w:val="none"/>
                    </w:rPr>
                    <w:t>工程类别</w:t>
                  </w:r>
                </w:p>
              </w:tc>
              <w:tc>
                <w:tcPr>
                  <w:tcW w:w="1823" w:type="dxa"/>
                  <w:vMerge w:val="restart"/>
                  <w:vAlign w:val="center"/>
                </w:tcPr>
                <w:p w14:paraId="23FF402D">
                  <w:pPr>
                    <w:pStyle w:val="13"/>
                    <w:rPr>
                      <w:rFonts w:cs="Times New Roman"/>
                      <w:b/>
                      <w:bCs/>
                      <w:color w:val="auto"/>
                      <w:highlight w:val="none"/>
                    </w:rPr>
                  </w:pPr>
                  <w:r>
                    <w:rPr>
                      <w:rFonts w:cs="Times New Roman"/>
                      <w:b/>
                      <w:bCs/>
                      <w:color w:val="auto"/>
                      <w:highlight w:val="none"/>
                    </w:rPr>
                    <w:t>工程名称</w:t>
                  </w:r>
                </w:p>
              </w:tc>
              <w:tc>
                <w:tcPr>
                  <w:tcW w:w="10648" w:type="dxa"/>
                  <w:gridSpan w:val="2"/>
                  <w:vAlign w:val="center"/>
                </w:tcPr>
                <w:p w14:paraId="124DBBDE">
                  <w:pPr>
                    <w:pStyle w:val="13"/>
                    <w:rPr>
                      <w:rFonts w:cs="Times New Roman"/>
                      <w:b/>
                      <w:bCs/>
                      <w:color w:val="auto"/>
                      <w:highlight w:val="none"/>
                    </w:rPr>
                  </w:pPr>
                  <w:r>
                    <w:rPr>
                      <w:rFonts w:hint="eastAsia" w:cs="Times New Roman"/>
                      <w:b/>
                      <w:bCs/>
                      <w:color w:val="auto"/>
                      <w:highlight w:val="none"/>
                    </w:rPr>
                    <w:t>建设内容及规模</w:t>
                  </w:r>
                </w:p>
              </w:tc>
              <w:tc>
                <w:tcPr>
                  <w:tcW w:w="801" w:type="dxa"/>
                  <w:vMerge w:val="restart"/>
                  <w:vAlign w:val="center"/>
                </w:tcPr>
                <w:p w14:paraId="4B2CEBFF">
                  <w:pPr>
                    <w:pStyle w:val="13"/>
                    <w:rPr>
                      <w:rFonts w:cs="Times New Roman"/>
                      <w:b/>
                      <w:bCs/>
                      <w:color w:val="auto"/>
                      <w:highlight w:val="none"/>
                    </w:rPr>
                  </w:pPr>
                  <w:r>
                    <w:rPr>
                      <w:rFonts w:cs="Times New Roman"/>
                      <w:b/>
                      <w:bCs/>
                      <w:color w:val="auto"/>
                      <w:highlight w:val="none"/>
                    </w:rPr>
                    <w:t>备注</w:t>
                  </w:r>
                </w:p>
              </w:tc>
            </w:tr>
            <w:tr w14:paraId="1EECE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704" w:type="dxa"/>
                  <w:vMerge w:val="continue"/>
                  <w:vAlign w:val="center"/>
                </w:tcPr>
                <w:p w14:paraId="137987E5">
                  <w:pPr>
                    <w:pStyle w:val="13"/>
                    <w:rPr>
                      <w:color w:val="auto"/>
                      <w:highlight w:val="none"/>
                    </w:rPr>
                  </w:pPr>
                </w:p>
              </w:tc>
              <w:tc>
                <w:tcPr>
                  <w:tcW w:w="1823" w:type="dxa"/>
                  <w:vMerge w:val="continue"/>
                  <w:vAlign w:val="center"/>
                </w:tcPr>
                <w:p w14:paraId="385F1C68">
                  <w:pPr>
                    <w:pStyle w:val="13"/>
                    <w:rPr>
                      <w:color w:val="auto"/>
                      <w:highlight w:val="none"/>
                    </w:rPr>
                  </w:pPr>
                </w:p>
              </w:tc>
              <w:tc>
                <w:tcPr>
                  <w:tcW w:w="5324" w:type="dxa"/>
                  <w:vAlign w:val="center"/>
                </w:tcPr>
                <w:p w14:paraId="33D18ECF">
                  <w:pPr>
                    <w:pStyle w:val="13"/>
                    <w:rPr>
                      <w:b/>
                      <w:bCs/>
                      <w:color w:val="auto"/>
                      <w:highlight w:val="none"/>
                    </w:rPr>
                  </w:pPr>
                  <w:r>
                    <w:rPr>
                      <w:rFonts w:hint="eastAsia"/>
                      <w:b/>
                      <w:bCs/>
                      <w:color w:val="auto"/>
                      <w:highlight w:val="none"/>
                    </w:rPr>
                    <w:t>一期</w:t>
                  </w:r>
                </w:p>
              </w:tc>
              <w:tc>
                <w:tcPr>
                  <w:tcW w:w="5324" w:type="dxa"/>
                  <w:vAlign w:val="center"/>
                </w:tcPr>
                <w:p w14:paraId="09606A8D">
                  <w:pPr>
                    <w:pStyle w:val="13"/>
                    <w:rPr>
                      <w:b/>
                      <w:bCs/>
                      <w:color w:val="auto"/>
                      <w:highlight w:val="none"/>
                    </w:rPr>
                  </w:pPr>
                  <w:r>
                    <w:rPr>
                      <w:rFonts w:hint="eastAsia"/>
                      <w:b/>
                      <w:bCs/>
                      <w:color w:val="auto"/>
                      <w:highlight w:val="none"/>
                    </w:rPr>
                    <w:t>二期</w:t>
                  </w:r>
                </w:p>
              </w:tc>
              <w:tc>
                <w:tcPr>
                  <w:tcW w:w="801" w:type="dxa"/>
                  <w:vMerge w:val="continue"/>
                  <w:vAlign w:val="center"/>
                </w:tcPr>
                <w:p w14:paraId="52E46469">
                  <w:pPr>
                    <w:pStyle w:val="13"/>
                    <w:rPr>
                      <w:color w:val="auto"/>
                      <w:highlight w:val="none"/>
                    </w:rPr>
                  </w:pPr>
                </w:p>
              </w:tc>
            </w:tr>
            <w:tr w14:paraId="08922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704" w:type="dxa"/>
                  <w:vAlign w:val="center"/>
                </w:tcPr>
                <w:p w14:paraId="0201786A">
                  <w:pPr>
                    <w:pStyle w:val="13"/>
                    <w:rPr>
                      <w:rFonts w:cs="Times New Roman"/>
                      <w:color w:val="auto"/>
                      <w:highlight w:val="none"/>
                    </w:rPr>
                  </w:pPr>
                  <w:r>
                    <w:rPr>
                      <w:rFonts w:hint="eastAsia" w:cs="Times New Roman"/>
                      <w:color w:val="auto"/>
                      <w:highlight w:val="none"/>
                    </w:rPr>
                    <w:t>主体工程</w:t>
                  </w:r>
                </w:p>
              </w:tc>
              <w:tc>
                <w:tcPr>
                  <w:tcW w:w="1823" w:type="dxa"/>
                  <w:vAlign w:val="center"/>
                </w:tcPr>
                <w:p w14:paraId="0D751A35">
                  <w:pPr>
                    <w:pStyle w:val="13"/>
                    <w:rPr>
                      <w:rFonts w:cs="Times New Roman"/>
                      <w:color w:val="auto"/>
                      <w:highlight w:val="none"/>
                    </w:rPr>
                  </w:pPr>
                  <w:r>
                    <w:rPr>
                      <w:rFonts w:hint="eastAsia" w:cs="Times New Roman"/>
                      <w:color w:val="auto"/>
                      <w:highlight w:val="none"/>
                    </w:rPr>
                    <w:t>加工车间</w:t>
                  </w:r>
                </w:p>
              </w:tc>
              <w:tc>
                <w:tcPr>
                  <w:tcW w:w="5324" w:type="dxa"/>
                  <w:vAlign w:val="center"/>
                </w:tcPr>
                <w:p w14:paraId="607B105D">
                  <w:pPr>
                    <w:pStyle w:val="13"/>
                    <w:jc w:val="both"/>
                    <w:rPr>
                      <w:rFonts w:cs="Times New Roman"/>
                      <w:color w:val="auto"/>
                      <w:highlight w:val="none"/>
                    </w:rPr>
                  </w:pPr>
                  <w:r>
                    <w:rPr>
                      <w:rFonts w:hint="eastAsia" w:cs="Times New Roman"/>
                      <w:color w:val="auto"/>
                      <w:highlight w:val="none"/>
                    </w:rPr>
                    <w:t>位于厂区内东侧，9m高钢结构厂房1F，占地面积1800m</w:t>
                  </w:r>
                  <w:r>
                    <w:rPr>
                      <w:rFonts w:cs="Times New Roman"/>
                      <w:color w:val="auto"/>
                      <w:highlight w:val="none"/>
                    </w:rPr>
                    <w:t>²</w:t>
                  </w:r>
                  <w:r>
                    <w:rPr>
                      <w:rFonts w:hint="eastAsia" w:cs="Times New Roman"/>
                      <w:color w:val="auto"/>
                      <w:highlight w:val="none"/>
                    </w:rPr>
                    <w:t>。一期于加工车间内西北侧建设1条秸秆饲料生产线，包括清理筛、磁选机、破碎机、秸秆打包机、除尘器等。</w:t>
                  </w:r>
                </w:p>
              </w:tc>
              <w:tc>
                <w:tcPr>
                  <w:tcW w:w="5324" w:type="dxa"/>
                  <w:vAlign w:val="center"/>
                </w:tcPr>
                <w:p w14:paraId="6C2F9799">
                  <w:pPr>
                    <w:pStyle w:val="13"/>
                    <w:jc w:val="both"/>
                    <w:rPr>
                      <w:rFonts w:cs="Times New Roman"/>
                      <w:color w:val="auto"/>
                      <w:highlight w:val="none"/>
                    </w:rPr>
                  </w:pPr>
                  <w:r>
                    <w:rPr>
                      <w:rFonts w:hint="eastAsia" w:cs="Times New Roman"/>
                      <w:color w:val="auto"/>
                      <w:highlight w:val="none"/>
                    </w:rPr>
                    <w:t>二期于加工车间东南侧建设2条精制饲料颗粒生产线，包括中间仓、配料机、混合机、缓冲仓、调质机、冷却仓、制粒机、冷却分级筛、颗粒打包机、除尘器、蒸汽锅炉等。</w:t>
                  </w:r>
                </w:p>
              </w:tc>
              <w:tc>
                <w:tcPr>
                  <w:tcW w:w="801" w:type="dxa"/>
                  <w:vAlign w:val="center"/>
                </w:tcPr>
                <w:p w14:paraId="78D7C449">
                  <w:pPr>
                    <w:pStyle w:val="13"/>
                    <w:rPr>
                      <w:rFonts w:cs="Times New Roman"/>
                      <w:color w:val="auto"/>
                      <w:highlight w:val="none"/>
                    </w:rPr>
                  </w:pPr>
                  <w:r>
                    <w:rPr>
                      <w:rFonts w:hint="eastAsia" w:cs="Times New Roman"/>
                      <w:color w:val="auto"/>
                      <w:highlight w:val="none"/>
                    </w:rPr>
                    <w:t>/</w:t>
                  </w:r>
                </w:p>
              </w:tc>
            </w:tr>
            <w:tr w14:paraId="1BE82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4" w:type="dxa"/>
                  <w:vMerge w:val="restart"/>
                  <w:vAlign w:val="center"/>
                </w:tcPr>
                <w:p w14:paraId="68F6A632">
                  <w:pPr>
                    <w:pStyle w:val="13"/>
                    <w:rPr>
                      <w:rFonts w:cs="Times New Roman"/>
                      <w:color w:val="auto"/>
                      <w:highlight w:val="none"/>
                    </w:rPr>
                  </w:pPr>
                  <w:r>
                    <w:rPr>
                      <w:rFonts w:hint="eastAsia" w:cs="Times New Roman"/>
                      <w:color w:val="auto"/>
                      <w:highlight w:val="none"/>
                    </w:rPr>
                    <w:t>辅助工程</w:t>
                  </w:r>
                </w:p>
              </w:tc>
              <w:tc>
                <w:tcPr>
                  <w:tcW w:w="1823" w:type="dxa"/>
                  <w:vAlign w:val="center"/>
                </w:tcPr>
                <w:p w14:paraId="5952AD1F">
                  <w:pPr>
                    <w:pStyle w:val="13"/>
                    <w:rPr>
                      <w:rFonts w:cs="Times New Roman"/>
                      <w:color w:val="auto"/>
                      <w:highlight w:val="none"/>
                    </w:rPr>
                  </w:pPr>
                  <w:r>
                    <w:rPr>
                      <w:rFonts w:hint="eastAsia" w:cs="Times New Roman"/>
                      <w:color w:val="auto"/>
                      <w:highlight w:val="none"/>
                    </w:rPr>
                    <w:t>办公楼</w:t>
                  </w:r>
                </w:p>
              </w:tc>
              <w:tc>
                <w:tcPr>
                  <w:tcW w:w="5324" w:type="dxa"/>
                  <w:vAlign w:val="center"/>
                </w:tcPr>
                <w:p w14:paraId="53C859C0">
                  <w:pPr>
                    <w:pStyle w:val="13"/>
                    <w:jc w:val="both"/>
                    <w:rPr>
                      <w:rFonts w:cs="Times New Roman"/>
                      <w:color w:val="auto"/>
                      <w:highlight w:val="none"/>
                    </w:rPr>
                  </w:pPr>
                  <w:r>
                    <w:rPr>
                      <w:rFonts w:hint="eastAsia" w:cs="Times New Roman"/>
                      <w:color w:val="auto"/>
                      <w:highlight w:val="none"/>
                    </w:rPr>
                    <w:t>位于厂区内东侧，9m高砖混结构3F，占地面积240m</w:t>
                  </w:r>
                  <w:r>
                    <w:rPr>
                      <w:rFonts w:cs="Times New Roman"/>
                      <w:color w:val="auto"/>
                      <w:highlight w:val="none"/>
                    </w:rPr>
                    <w:t>²</w:t>
                  </w:r>
                  <w:r>
                    <w:rPr>
                      <w:rFonts w:hint="eastAsia" w:cs="Times New Roman"/>
                      <w:color w:val="auto"/>
                      <w:highlight w:val="none"/>
                    </w:rPr>
                    <w:t>，用于员工办公、产品研发和检测。</w:t>
                  </w:r>
                </w:p>
              </w:tc>
              <w:tc>
                <w:tcPr>
                  <w:tcW w:w="5324" w:type="dxa"/>
                  <w:vAlign w:val="center"/>
                </w:tcPr>
                <w:p w14:paraId="4827EC46">
                  <w:pPr>
                    <w:pStyle w:val="13"/>
                    <w:rPr>
                      <w:rFonts w:cs="Times New Roman"/>
                      <w:color w:val="auto"/>
                      <w:highlight w:val="none"/>
                    </w:rPr>
                  </w:pPr>
                  <w:r>
                    <w:rPr>
                      <w:rFonts w:hint="eastAsia" w:cs="Times New Roman"/>
                      <w:color w:val="auto"/>
                      <w:highlight w:val="none"/>
                    </w:rPr>
                    <w:t>/</w:t>
                  </w:r>
                </w:p>
              </w:tc>
              <w:tc>
                <w:tcPr>
                  <w:tcW w:w="801" w:type="dxa"/>
                  <w:vAlign w:val="center"/>
                </w:tcPr>
                <w:p w14:paraId="3EA004E2">
                  <w:pPr>
                    <w:pStyle w:val="13"/>
                    <w:rPr>
                      <w:rFonts w:cs="Times New Roman"/>
                      <w:color w:val="auto"/>
                      <w:highlight w:val="none"/>
                    </w:rPr>
                  </w:pPr>
                  <w:r>
                    <w:rPr>
                      <w:rFonts w:hint="eastAsia" w:cs="Times New Roman"/>
                      <w:color w:val="auto"/>
                      <w:highlight w:val="none"/>
                    </w:rPr>
                    <w:t>/</w:t>
                  </w:r>
                </w:p>
              </w:tc>
            </w:tr>
            <w:tr w14:paraId="46C25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4" w:type="dxa"/>
                  <w:vMerge w:val="continue"/>
                  <w:vAlign w:val="center"/>
                </w:tcPr>
                <w:p w14:paraId="3469340B">
                  <w:pPr>
                    <w:pStyle w:val="13"/>
                    <w:rPr>
                      <w:rFonts w:cs="Times New Roman"/>
                      <w:color w:val="auto"/>
                      <w:highlight w:val="none"/>
                    </w:rPr>
                  </w:pPr>
                </w:p>
              </w:tc>
              <w:tc>
                <w:tcPr>
                  <w:tcW w:w="1823" w:type="dxa"/>
                  <w:vAlign w:val="center"/>
                </w:tcPr>
                <w:p w14:paraId="42FE5D04">
                  <w:pPr>
                    <w:pStyle w:val="13"/>
                    <w:rPr>
                      <w:rFonts w:cs="Times New Roman"/>
                      <w:color w:val="auto"/>
                      <w:highlight w:val="none"/>
                    </w:rPr>
                  </w:pPr>
                  <w:r>
                    <w:rPr>
                      <w:rFonts w:hint="eastAsia" w:cs="Times New Roman"/>
                      <w:color w:val="auto"/>
                      <w:highlight w:val="none"/>
                    </w:rPr>
                    <w:t>宿舍楼</w:t>
                  </w:r>
                </w:p>
              </w:tc>
              <w:tc>
                <w:tcPr>
                  <w:tcW w:w="5324" w:type="dxa"/>
                  <w:vAlign w:val="center"/>
                </w:tcPr>
                <w:p w14:paraId="3343462F">
                  <w:pPr>
                    <w:pStyle w:val="13"/>
                    <w:jc w:val="both"/>
                    <w:rPr>
                      <w:rFonts w:cs="Times New Roman"/>
                      <w:color w:val="auto"/>
                      <w:highlight w:val="none"/>
                    </w:rPr>
                  </w:pPr>
                  <w:r>
                    <w:rPr>
                      <w:rFonts w:hint="eastAsia" w:cs="Times New Roman"/>
                      <w:color w:val="auto"/>
                      <w:highlight w:val="none"/>
                    </w:rPr>
                    <w:t>位于厂区内西北角，6m高砖混结构2F，占地面积160m</w:t>
                  </w:r>
                  <w:r>
                    <w:rPr>
                      <w:rFonts w:cs="Times New Roman"/>
                      <w:color w:val="auto"/>
                      <w:highlight w:val="none"/>
                    </w:rPr>
                    <w:t>²</w:t>
                  </w:r>
                  <w:r>
                    <w:rPr>
                      <w:rFonts w:hint="eastAsia" w:cs="Times New Roman"/>
                      <w:color w:val="auto"/>
                      <w:highlight w:val="none"/>
                    </w:rPr>
                    <w:t>，设有食堂，用于员工食宿。</w:t>
                  </w:r>
                </w:p>
              </w:tc>
              <w:tc>
                <w:tcPr>
                  <w:tcW w:w="5324" w:type="dxa"/>
                  <w:vAlign w:val="center"/>
                </w:tcPr>
                <w:p w14:paraId="36E849D9">
                  <w:pPr>
                    <w:pStyle w:val="13"/>
                    <w:rPr>
                      <w:rFonts w:cs="Times New Roman"/>
                      <w:color w:val="auto"/>
                      <w:highlight w:val="none"/>
                    </w:rPr>
                  </w:pPr>
                  <w:r>
                    <w:rPr>
                      <w:rFonts w:hint="eastAsia" w:cs="Times New Roman"/>
                      <w:color w:val="auto"/>
                      <w:highlight w:val="none"/>
                    </w:rPr>
                    <w:t>/</w:t>
                  </w:r>
                </w:p>
              </w:tc>
              <w:tc>
                <w:tcPr>
                  <w:tcW w:w="801" w:type="dxa"/>
                  <w:vAlign w:val="center"/>
                </w:tcPr>
                <w:p w14:paraId="0865DC55">
                  <w:pPr>
                    <w:pStyle w:val="13"/>
                    <w:rPr>
                      <w:rFonts w:cs="Times New Roman"/>
                      <w:color w:val="auto"/>
                      <w:highlight w:val="none"/>
                    </w:rPr>
                  </w:pPr>
                  <w:r>
                    <w:rPr>
                      <w:rFonts w:hint="eastAsia" w:cs="Times New Roman"/>
                      <w:color w:val="auto"/>
                      <w:highlight w:val="none"/>
                    </w:rPr>
                    <w:t>/</w:t>
                  </w:r>
                </w:p>
              </w:tc>
            </w:tr>
            <w:tr w14:paraId="218DB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4" w:type="dxa"/>
                  <w:vMerge w:val="continue"/>
                  <w:vAlign w:val="center"/>
                </w:tcPr>
                <w:p w14:paraId="2949C1A3">
                  <w:pPr>
                    <w:pStyle w:val="13"/>
                    <w:rPr>
                      <w:rFonts w:cs="Times New Roman"/>
                      <w:color w:val="auto"/>
                      <w:highlight w:val="none"/>
                    </w:rPr>
                  </w:pPr>
                </w:p>
              </w:tc>
              <w:tc>
                <w:tcPr>
                  <w:tcW w:w="1823" w:type="dxa"/>
                  <w:vAlign w:val="center"/>
                </w:tcPr>
                <w:p w14:paraId="0D965A18">
                  <w:pPr>
                    <w:pStyle w:val="13"/>
                    <w:rPr>
                      <w:rFonts w:cs="Times New Roman"/>
                      <w:color w:val="auto"/>
                      <w:highlight w:val="none"/>
                    </w:rPr>
                  </w:pPr>
                  <w:r>
                    <w:rPr>
                      <w:rFonts w:hint="eastAsia" w:cs="Times New Roman"/>
                      <w:color w:val="auto"/>
                      <w:highlight w:val="none"/>
                    </w:rPr>
                    <w:t>门卫室及磅房</w:t>
                  </w:r>
                </w:p>
              </w:tc>
              <w:tc>
                <w:tcPr>
                  <w:tcW w:w="5324" w:type="dxa"/>
                  <w:vAlign w:val="center"/>
                </w:tcPr>
                <w:p w14:paraId="5C0AEFF5">
                  <w:pPr>
                    <w:pStyle w:val="13"/>
                    <w:jc w:val="both"/>
                    <w:rPr>
                      <w:rFonts w:cs="Times New Roman"/>
                      <w:color w:val="auto"/>
                      <w:highlight w:val="none"/>
                    </w:rPr>
                  </w:pPr>
                  <w:r>
                    <w:rPr>
                      <w:rFonts w:hint="eastAsia" w:cs="Times New Roman"/>
                      <w:color w:val="auto"/>
                      <w:highlight w:val="none"/>
                    </w:rPr>
                    <w:t>位于厂区内西测，3m高砖混结构1F，占地面积100m</w:t>
                  </w:r>
                  <w:r>
                    <w:rPr>
                      <w:rFonts w:cs="Times New Roman"/>
                      <w:color w:val="auto"/>
                      <w:highlight w:val="none"/>
                    </w:rPr>
                    <w:t>²</w:t>
                  </w:r>
                  <w:r>
                    <w:rPr>
                      <w:rFonts w:hint="eastAsia" w:cs="Times New Roman"/>
                      <w:color w:val="auto"/>
                      <w:highlight w:val="none"/>
                    </w:rPr>
                    <w:t>。</w:t>
                  </w:r>
                </w:p>
              </w:tc>
              <w:tc>
                <w:tcPr>
                  <w:tcW w:w="5324" w:type="dxa"/>
                  <w:vAlign w:val="center"/>
                </w:tcPr>
                <w:p w14:paraId="2AA46E69">
                  <w:pPr>
                    <w:pStyle w:val="13"/>
                    <w:rPr>
                      <w:rFonts w:cs="Times New Roman"/>
                      <w:color w:val="auto"/>
                      <w:highlight w:val="none"/>
                    </w:rPr>
                  </w:pPr>
                  <w:r>
                    <w:rPr>
                      <w:rFonts w:hint="eastAsia" w:cs="Times New Roman"/>
                      <w:color w:val="auto"/>
                      <w:highlight w:val="none"/>
                    </w:rPr>
                    <w:t>/</w:t>
                  </w:r>
                </w:p>
              </w:tc>
              <w:tc>
                <w:tcPr>
                  <w:tcW w:w="801" w:type="dxa"/>
                  <w:vAlign w:val="center"/>
                </w:tcPr>
                <w:p w14:paraId="012C74E9">
                  <w:pPr>
                    <w:pStyle w:val="13"/>
                    <w:rPr>
                      <w:rFonts w:cs="Times New Roman"/>
                      <w:color w:val="auto"/>
                      <w:highlight w:val="none"/>
                    </w:rPr>
                  </w:pPr>
                  <w:r>
                    <w:rPr>
                      <w:rFonts w:hint="eastAsia" w:cs="Times New Roman"/>
                      <w:color w:val="auto"/>
                      <w:highlight w:val="none"/>
                    </w:rPr>
                    <w:t>/</w:t>
                  </w:r>
                </w:p>
              </w:tc>
            </w:tr>
            <w:tr w14:paraId="74B95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4" w:type="dxa"/>
                  <w:vMerge w:val="restart"/>
                  <w:vAlign w:val="center"/>
                </w:tcPr>
                <w:p w14:paraId="55741B69">
                  <w:pPr>
                    <w:pStyle w:val="13"/>
                    <w:rPr>
                      <w:rFonts w:cs="Times New Roman"/>
                      <w:color w:val="auto"/>
                      <w:highlight w:val="none"/>
                    </w:rPr>
                  </w:pPr>
                  <w:r>
                    <w:rPr>
                      <w:rFonts w:hint="eastAsia" w:cs="Times New Roman"/>
                      <w:color w:val="auto"/>
                      <w:highlight w:val="none"/>
                    </w:rPr>
                    <w:t>储运工程</w:t>
                  </w:r>
                </w:p>
              </w:tc>
              <w:tc>
                <w:tcPr>
                  <w:tcW w:w="1823" w:type="dxa"/>
                  <w:vAlign w:val="center"/>
                </w:tcPr>
                <w:p w14:paraId="624C6492">
                  <w:pPr>
                    <w:pStyle w:val="13"/>
                    <w:rPr>
                      <w:rFonts w:cs="Times New Roman"/>
                      <w:color w:val="auto"/>
                      <w:highlight w:val="none"/>
                    </w:rPr>
                  </w:pPr>
                  <w:r>
                    <w:rPr>
                      <w:rFonts w:hint="eastAsia" w:cs="Times New Roman"/>
                      <w:color w:val="auto"/>
                      <w:highlight w:val="none"/>
                    </w:rPr>
                    <w:t>原料仓库</w:t>
                  </w:r>
                </w:p>
              </w:tc>
              <w:tc>
                <w:tcPr>
                  <w:tcW w:w="5324" w:type="dxa"/>
                  <w:vAlign w:val="center"/>
                </w:tcPr>
                <w:p w14:paraId="27BB19E5">
                  <w:pPr>
                    <w:pStyle w:val="13"/>
                    <w:jc w:val="both"/>
                    <w:rPr>
                      <w:rFonts w:cs="Times New Roman"/>
                      <w:color w:val="auto"/>
                      <w:highlight w:val="none"/>
                    </w:rPr>
                  </w:pPr>
                  <w:r>
                    <w:rPr>
                      <w:rFonts w:hint="eastAsia" w:cs="Times New Roman"/>
                      <w:color w:val="auto"/>
                      <w:highlight w:val="none"/>
                    </w:rPr>
                    <w:t>位于厂区内南测，9m高钢结构厂房1F，占地面积5000m</w:t>
                  </w:r>
                  <w:r>
                    <w:rPr>
                      <w:rFonts w:cs="Times New Roman"/>
                      <w:color w:val="auto"/>
                      <w:highlight w:val="none"/>
                    </w:rPr>
                    <w:t>²</w:t>
                  </w:r>
                  <w:r>
                    <w:rPr>
                      <w:rFonts w:hint="eastAsia" w:cs="Times New Roman"/>
                      <w:color w:val="auto"/>
                      <w:highlight w:val="none"/>
                    </w:rPr>
                    <w:t>，用于贮存秸秆原料。</w:t>
                  </w:r>
                </w:p>
              </w:tc>
              <w:tc>
                <w:tcPr>
                  <w:tcW w:w="5324" w:type="dxa"/>
                  <w:vAlign w:val="center"/>
                </w:tcPr>
                <w:p w14:paraId="4FDD2C66">
                  <w:pPr>
                    <w:pStyle w:val="13"/>
                    <w:rPr>
                      <w:rFonts w:cs="Times New Roman"/>
                      <w:color w:val="auto"/>
                      <w:highlight w:val="none"/>
                    </w:rPr>
                  </w:pPr>
                  <w:r>
                    <w:rPr>
                      <w:rFonts w:hint="eastAsia" w:cs="Times New Roman"/>
                      <w:color w:val="auto"/>
                      <w:highlight w:val="none"/>
                    </w:rPr>
                    <w:t>/</w:t>
                  </w:r>
                </w:p>
              </w:tc>
              <w:tc>
                <w:tcPr>
                  <w:tcW w:w="801" w:type="dxa"/>
                  <w:vMerge w:val="restart"/>
                  <w:vAlign w:val="center"/>
                </w:tcPr>
                <w:p w14:paraId="72FD2675">
                  <w:pPr>
                    <w:pStyle w:val="13"/>
                    <w:rPr>
                      <w:rFonts w:cs="Times New Roman"/>
                      <w:color w:val="auto"/>
                      <w:highlight w:val="none"/>
                    </w:rPr>
                  </w:pPr>
                  <w:r>
                    <w:rPr>
                      <w:rFonts w:hint="eastAsia" w:cs="Times New Roman"/>
                      <w:color w:val="auto"/>
                      <w:highlight w:val="none"/>
                    </w:rPr>
                    <w:t>/</w:t>
                  </w:r>
                </w:p>
              </w:tc>
            </w:tr>
            <w:tr w14:paraId="70F2B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4" w:type="dxa"/>
                  <w:vMerge w:val="continue"/>
                  <w:vAlign w:val="center"/>
                </w:tcPr>
                <w:p w14:paraId="0603A6B6">
                  <w:pPr>
                    <w:pStyle w:val="13"/>
                    <w:rPr>
                      <w:rFonts w:cs="Times New Roman"/>
                      <w:color w:val="auto"/>
                      <w:highlight w:val="none"/>
                    </w:rPr>
                  </w:pPr>
                </w:p>
              </w:tc>
              <w:tc>
                <w:tcPr>
                  <w:tcW w:w="1823" w:type="dxa"/>
                  <w:vAlign w:val="center"/>
                </w:tcPr>
                <w:p w14:paraId="551F427F">
                  <w:pPr>
                    <w:pStyle w:val="13"/>
                    <w:rPr>
                      <w:rFonts w:cs="Times New Roman"/>
                      <w:color w:val="auto"/>
                      <w:highlight w:val="none"/>
                    </w:rPr>
                  </w:pPr>
                  <w:r>
                    <w:rPr>
                      <w:rFonts w:hint="eastAsia" w:cs="Times New Roman"/>
                      <w:color w:val="auto"/>
                      <w:highlight w:val="none"/>
                    </w:rPr>
                    <w:t>成品仓库</w:t>
                  </w:r>
                </w:p>
              </w:tc>
              <w:tc>
                <w:tcPr>
                  <w:tcW w:w="5324" w:type="dxa"/>
                  <w:vAlign w:val="center"/>
                </w:tcPr>
                <w:p w14:paraId="2B46ECB0">
                  <w:pPr>
                    <w:pStyle w:val="13"/>
                    <w:jc w:val="both"/>
                    <w:rPr>
                      <w:rFonts w:cs="Times New Roman"/>
                      <w:color w:val="auto"/>
                      <w:highlight w:val="none"/>
                    </w:rPr>
                  </w:pPr>
                  <w:r>
                    <w:rPr>
                      <w:rFonts w:hint="eastAsia" w:cs="Times New Roman"/>
                      <w:color w:val="auto"/>
                      <w:highlight w:val="none"/>
                    </w:rPr>
                    <w:t>位于厂区内东测，9m高钢结构厂房1F，占地面积3600m</w:t>
                  </w:r>
                  <w:r>
                    <w:rPr>
                      <w:rFonts w:cs="Times New Roman"/>
                      <w:color w:val="auto"/>
                      <w:highlight w:val="none"/>
                    </w:rPr>
                    <w:t>²</w:t>
                  </w:r>
                  <w:r>
                    <w:rPr>
                      <w:rFonts w:hint="eastAsia" w:cs="Times New Roman"/>
                      <w:color w:val="auto"/>
                      <w:highlight w:val="none"/>
                    </w:rPr>
                    <w:t>，用于贮存秸秆原料。</w:t>
                  </w:r>
                </w:p>
              </w:tc>
              <w:tc>
                <w:tcPr>
                  <w:tcW w:w="5324" w:type="dxa"/>
                  <w:vAlign w:val="center"/>
                </w:tcPr>
                <w:p w14:paraId="5AF2DAA7">
                  <w:pPr>
                    <w:pStyle w:val="13"/>
                    <w:rPr>
                      <w:rFonts w:cs="Times New Roman"/>
                      <w:color w:val="auto"/>
                      <w:highlight w:val="none"/>
                    </w:rPr>
                  </w:pPr>
                  <w:r>
                    <w:rPr>
                      <w:rFonts w:hint="eastAsia" w:cs="Times New Roman"/>
                      <w:color w:val="auto"/>
                      <w:highlight w:val="none"/>
                    </w:rPr>
                    <w:t>/</w:t>
                  </w:r>
                </w:p>
              </w:tc>
              <w:tc>
                <w:tcPr>
                  <w:tcW w:w="801" w:type="dxa"/>
                  <w:vMerge w:val="continue"/>
                  <w:vAlign w:val="center"/>
                </w:tcPr>
                <w:p w14:paraId="31BB13C8">
                  <w:pPr>
                    <w:pStyle w:val="13"/>
                    <w:rPr>
                      <w:rFonts w:cs="Times New Roman"/>
                      <w:color w:val="auto"/>
                      <w:highlight w:val="none"/>
                    </w:rPr>
                  </w:pPr>
                </w:p>
              </w:tc>
            </w:tr>
            <w:tr w14:paraId="454AF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4" w:type="dxa"/>
                  <w:vMerge w:val="continue"/>
                  <w:vAlign w:val="center"/>
                </w:tcPr>
                <w:p w14:paraId="2A0B1716">
                  <w:pPr>
                    <w:pStyle w:val="13"/>
                    <w:rPr>
                      <w:rFonts w:cs="Times New Roman"/>
                      <w:color w:val="auto"/>
                      <w:highlight w:val="none"/>
                    </w:rPr>
                  </w:pPr>
                </w:p>
              </w:tc>
              <w:tc>
                <w:tcPr>
                  <w:tcW w:w="1823" w:type="dxa"/>
                  <w:vAlign w:val="center"/>
                </w:tcPr>
                <w:p w14:paraId="06817BBD">
                  <w:pPr>
                    <w:pStyle w:val="13"/>
                    <w:rPr>
                      <w:rFonts w:cs="Times New Roman"/>
                      <w:color w:val="auto"/>
                      <w:highlight w:val="none"/>
                    </w:rPr>
                  </w:pPr>
                  <w:r>
                    <w:rPr>
                      <w:rFonts w:hint="eastAsia" w:cs="Times New Roman"/>
                      <w:color w:val="auto"/>
                      <w:highlight w:val="none"/>
                    </w:rPr>
                    <w:t>材料库</w:t>
                  </w:r>
                </w:p>
              </w:tc>
              <w:tc>
                <w:tcPr>
                  <w:tcW w:w="5324" w:type="dxa"/>
                  <w:vAlign w:val="center"/>
                </w:tcPr>
                <w:p w14:paraId="3074C5D9">
                  <w:pPr>
                    <w:pStyle w:val="13"/>
                    <w:jc w:val="left"/>
                    <w:rPr>
                      <w:rFonts w:cs="Times New Roman"/>
                      <w:color w:val="auto"/>
                      <w:highlight w:val="none"/>
                    </w:rPr>
                  </w:pPr>
                  <w:r>
                    <w:rPr>
                      <w:rFonts w:hint="eastAsia" w:cs="Times New Roman"/>
                      <w:color w:val="auto"/>
                      <w:highlight w:val="none"/>
                    </w:rPr>
                    <w:t>位于厂区内东测，9m高砖混结构厂房1F，占地面积60m</w:t>
                  </w:r>
                  <w:r>
                    <w:rPr>
                      <w:rFonts w:cs="Times New Roman"/>
                      <w:color w:val="auto"/>
                      <w:highlight w:val="none"/>
                    </w:rPr>
                    <w:t>²</w:t>
                  </w:r>
                  <w:r>
                    <w:rPr>
                      <w:rFonts w:hint="eastAsia" w:cs="Times New Roman"/>
                      <w:color w:val="auto"/>
                      <w:highlight w:val="none"/>
                    </w:rPr>
                    <w:t>，用于贮存秸秆原料。</w:t>
                  </w:r>
                </w:p>
              </w:tc>
              <w:tc>
                <w:tcPr>
                  <w:tcW w:w="5324" w:type="dxa"/>
                  <w:vAlign w:val="center"/>
                </w:tcPr>
                <w:p w14:paraId="0AD6D48D">
                  <w:pPr>
                    <w:pStyle w:val="13"/>
                    <w:rPr>
                      <w:rFonts w:cs="Times New Roman"/>
                      <w:color w:val="auto"/>
                      <w:highlight w:val="none"/>
                    </w:rPr>
                  </w:pPr>
                  <w:r>
                    <w:rPr>
                      <w:rFonts w:hint="eastAsia" w:cs="Times New Roman"/>
                      <w:color w:val="auto"/>
                      <w:highlight w:val="none"/>
                    </w:rPr>
                    <w:t>/</w:t>
                  </w:r>
                </w:p>
              </w:tc>
              <w:tc>
                <w:tcPr>
                  <w:tcW w:w="801" w:type="dxa"/>
                  <w:vMerge w:val="continue"/>
                  <w:vAlign w:val="center"/>
                </w:tcPr>
                <w:p w14:paraId="6EA4D9F8">
                  <w:pPr>
                    <w:pStyle w:val="13"/>
                    <w:rPr>
                      <w:rFonts w:cs="Times New Roman"/>
                      <w:color w:val="auto"/>
                      <w:highlight w:val="none"/>
                    </w:rPr>
                  </w:pPr>
                </w:p>
              </w:tc>
            </w:tr>
            <w:tr w14:paraId="55FE4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4" w:type="dxa"/>
                  <w:vMerge w:val="restart"/>
                  <w:vAlign w:val="center"/>
                </w:tcPr>
                <w:p w14:paraId="6878E0A1">
                  <w:pPr>
                    <w:pStyle w:val="13"/>
                    <w:rPr>
                      <w:rFonts w:cs="Times New Roman"/>
                      <w:color w:val="auto"/>
                      <w:highlight w:val="none"/>
                    </w:rPr>
                  </w:pPr>
                  <w:r>
                    <w:rPr>
                      <w:rFonts w:hint="eastAsia" w:cs="Times New Roman"/>
                      <w:color w:val="auto"/>
                      <w:highlight w:val="none"/>
                    </w:rPr>
                    <w:t>公用工程</w:t>
                  </w:r>
                </w:p>
              </w:tc>
              <w:tc>
                <w:tcPr>
                  <w:tcW w:w="1823" w:type="dxa"/>
                  <w:vAlign w:val="center"/>
                </w:tcPr>
                <w:p w14:paraId="004E826B">
                  <w:pPr>
                    <w:pStyle w:val="13"/>
                    <w:rPr>
                      <w:rFonts w:cs="Times New Roman"/>
                      <w:color w:val="auto"/>
                      <w:highlight w:val="none"/>
                    </w:rPr>
                  </w:pPr>
                  <w:r>
                    <w:rPr>
                      <w:rFonts w:hint="eastAsia" w:cs="Times New Roman"/>
                      <w:color w:val="auto"/>
                      <w:highlight w:val="none"/>
                    </w:rPr>
                    <w:t>给水系统</w:t>
                  </w:r>
                </w:p>
              </w:tc>
              <w:tc>
                <w:tcPr>
                  <w:tcW w:w="10648" w:type="dxa"/>
                  <w:gridSpan w:val="2"/>
                  <w:vAlign w:val="center"/>
                </w:tcPr>
                <w:p w14:paraId="5EEDF4FF">
                  <w:pPr>
                    <w:pStyle w:val="13"/>
                    <w:jc w:val="left"/>
                    <w:rPr>
                      <w:rFonts w:cs="Times New Roman"/>
                      <w:color w:val="auto"/>
                      <w:highlight w:val="none"/>
                    </w:rPr>
                  </w:pPr>
                  <w:r>
                    <w:rPr>
                      <w:rFonts w:hint="eastAsia" w:cs="Times New Roman"/>
                      <w:color w:val="auto"/>
                      <w:highlight w:val="none"/>
                    </w:rPr>
                    <w:t>由市政给水管网供给</w:t>
                  </w:r>
                  <w:r>
                    <w:rPr>
                      <w:rFonts w:cs="Times New Roman"/>
                      <w:color w:val="auto"/>
                      <w:highlight w:val="none"/>
                    </w:rPr>
                    <w:t>，年用水量约</w:t>
                  </w:r>
                  <w:r>
                    <w:rPr>
                      <w:rFonts w:hint="eastAsia" w:cs="Times New Roman"/>
                      <w:color w:val="auto"/>
                      <w:highlight w:val="none"/>
                    </w:rPr>
                    <w:t>810</w:t>
                  </w:r>
                  <w:r>
                    <w:rPr>
                      <w:rFonts w:cs="Times New Roman"/>
                      <w:color w:val="auto"/>
                      <w:highlight w:val="none"/>
                    </w:rPr>
                    <w:t>t</w:t>
                  </w:r>
                  <w:r>
                    <w:rPr>
                      <w:rFonts w:hint="eastAsia" w:cs="Times New Roman"/>
                      <w:color w:val="auto"/>
                      <w:highlight w:val="none"/>
                    </w:rPr>
                    <w:t>/</w:t>
                  </w:r>
                  <w:r>
                    <w:rPr>
                      <w:rFonts w:cs="Times New Roman"/>
                      <w:color w:val="auto"/>
                      <w:highlight w:val="none"/>
                    </w:rPr>
                    <w:t>a</w:t>
                  </w:r>
                  <w:r>
                    <w:rPr>
                      <w:rFonts w:hint="eastAsia" w:cs="Times New Roman"/>
                      <w:color w:val="auto"/>
                      <w:highlight w:val="none"/>
                    </w:rPr>
                    <w:t>。</w:t>
                  </w:r>
                </w:p>
              </w:tc>
              <w:tc>
                <w:tcPr>
                  <w:tcW w:w="801" w:type="dxa"/>
                  <w:vAlign w:val="center"/>
                </w:tcPr>
                <w:p w14:paraId="69DCC855">
                  <w:pPr>
                    <w:pStyle w:val="13"/>
                    <w:rPr>
                      <w:rFonts w:cs="Times New Roman"/>
                      <w:color w:val="auto"/>
                      <w:highlight w:val="none"/>
                    </w:rPr>
                  </w:pPr>
                  <w:r>
                    <w:rPr>
                      <w:rFonts w:hint="eastAsia" w:cs="Times New Roman"/>
                      <w:color w:val="auto"/>
                      <w:highlight w:val="none"/>
                    </w:rPr>
                    <w:t>/</w:t>
                  </w:r>
                </w:p>
              </w:tc>
            </w:tr>
            <w:tr w14:paraId="0592D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4" w:type="dxa"/>
                  <w:vMerge w:val="continue"/>
                  <w:vAlign w:val="center"/>
                </w:tcPr>
                <w:p w14:paraId="176DD6DC">
                  <w:pPr>
                    <w:pStyle w:val="13"/>
                    <w:rPr>
                      <w:rFonts w:cs="Times New Roman"/>
                      <w:color w:val="auto"/>
                      <w:highlight w:val="none"/>
                    </w:rPr>
                  </w:pPr>
                </w:p>
              </w:tc>
              <w:tc>
                <w:tcPr>
                  <w:tcW w:w="1823" w:type="dxa"/>
                  <w:vAlign w:val="center"/>
                </w:tcPr>
                <w:p w14:paraId="6BD882B9">
                  <w:pPr>
                    <w:pStyle w:val="13"/>
                    <w:rPr>
                      <w:rFonts w:cs="Times New Roman"/>
                      <w:color w:val="auto"/>
                      <w:highlight w:val="none"/>
                    </w:rPr>
                  </w:pPr>
                  <w:r>
                    <w:rPr>
                      <w:rFonts w:hint="eastAsia" w:cs="Times New Roman"/>
                      <w:color w:val="auto"/>
                      <w:highlight w:val="none"/>
                    </w:rPr>
                    <w:t>排水系统</w:t>
                  </w:r>
                </w:p>
              </w:tc>
              <w:tc>
                <w:tcPr>
                  <w:tcW w:w="10648" w:type="dxa"/>
                  <w:gridSpan w:val="2"/>
                  <w:vAlign w:val="center"/>
                </w:tcPr>
                <w:p w14:paraId="6C1BD403">
                  <w:pPr>
                    <w:pStyle w:val="13"/>
                    <w:jc w:val="left"/>
                    <w:rPr>
                      <w:rFonts w:cs="Times New Roman"/>
                      <w:color w:val="auto"/>
                      <w:highlight w:val="none"/>
                    </w:rPr>
                  </w:pPr>
                  <w:r>
                    <w:rPr>
                      <w:rFonts w:hint="eastAsia" w:cs="Times New Roman"/>
                      <w:color w:val="auto"/>
                      <w:highlight w:val="none"/>
                    </w:rPr>
                    <w:t>项目采用雨污分流制，雨水经收集后，排入市政雨水管网；</w:t>
                  </w:r>
                  <w:r>
                    <w:rPr>
                      <w:rFonts w:hint="eastAsia" w:cs="Times New Roman"/>
                      <w:color w:val="auto"/>
                      <w:highlight w:val="none"/>
                      <w:lang w:eastAsia="zh-CN"/>
                    </w:rPr>
                    <w:t>生活污水经隔油池、化粪池处理达酉华镇污水处理站接管标准后，与调质废水一起纳管排入酉华镇污水处理站处理，达到《城镇污水处理站污染物排放标准》（GB 18918-2002）一级A标准后排入七星河</w:t>
                  </w:r>
                  <w:r>
                    <w:rPr>
                      <w:rFonts w:hint="eastAsia" w:cs="Times New Roman"/>
                      <w:color w:val="auto"/>
                      <w:highlight w:val="none"/>
                    </w:rPr>
                    <w:t>。</w:t>
                  </w:r>
                </w:p>
              </w:tc>
              <w:tc>
                <w:tcPr>
                  <w:tcW w:w="801" w:type="dxa"/>
                  <w:vAlign w:val="center"/>
                </w:tcPr>
                <w:p w14:paraId="02A16B02">
                  <w:pPr>
                    <w:pStyle w:val="13"/>
                    <w:rPr>
                      <w:rFonts w:cs="Times New Roman"/>
                      <w:color w:val="auto"/>
                      <w:highlight w:val="none"/>
                    </w:rPr>
                  </w:pPr>
                  <w:r>
                    <w:rPr>
                      <w:rFonts w:hint="eastAsia" w:cs="Times New Roman"/>
                      <w:color w:val="auto"/>
                      <w:highlight w:val="none"/>
                    </w:rPr>
                    <w:t>/</w:t>
                  </w:r>
                </w:p>
              </w:tc>
            </w:tr>
            <w:tr w14:paraId="22E3D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4" w:type="dxa"/>
                  <w:vMerge w:val="continue"/>
                  <w:vAlign w:val="center"/>
                </w:tcPr>
                <w:p w14:paraId="6E899F90">
                  <w:pPr>
                    <w:pStyle w:val="13"/>
                    <w:rPr>
                      <w:rFonts w:cs="Times New Roman"/>
                      <w:color w:val="auto"/>
                      <w:highlight w:val="none"/>
                    </w:rPr>
                  </w:pPr>
                </w:p>
              </w:tc>
              <w:tc>
                <w:tcPr>
                  <w:tcW w:w="1823" w:type="dxa"/>
                  <w:vAlign w:val="center"/>
                </w:tcPr>
                <w:p w14:paraId="30BB47B2">
                  <w:pPr>
                    <w:pStyle w:val="13"/>
                    <w:rPr>
                      <w:rFonts w:cs="Times New Roman"/>
                      <w:color w:val="auto"/>
                      <w:highlight w:val="none"/>
                    </w:rPr>
                  </w:pPr>
                  <w:r>
                    <w:rPr>
                      <w:rFonts w:hint="eastAsia" w:cs="Times New Roman"/>
                      <w:color w:val="auto"/>
                      <w:highlight w:val="none"/>
                    </w:rPr>
                    <w:t>供电系统</w:t>
                  </w:r>
                </w:p>
              </w:tc>
              <w:tc>
                <w:tcPr>
                  <w:tcW w:w="10648" w:type="dxa"/>
                  <w:gridSpan w:val="2"/>
                  <w:vAlign w:val="center"/>
                </w:tcPr>
                <w:p w14:paraId="1BBA540E">
                  <w:pPr>
                    <w:pStyle w:val="13"/>
                    <w:jc w:val="left"/>
                    <w:rPr>
                      <w:rFonts w:cs="Times New Roman"/>
                      <w:color w:val="auto"/>
                      <w:highlight w:val="none"/>
                    </w:rPr>
                  </w:pPr>
                  <w:r>
                    <w:rPr>
                      <w:rFonts w:cs="Times New Roman"/>
                      <w:color w:val="auto"/>
                      <w:highlight w:val="none"/>
                    </w:rPr>
                    <w:t>依托</w:t>
                  </w:r>
                  <w:r>
                    <w:rPr>
                      <w:rFonts w:hint="eastAsia" w:cs="Times New Roman"/>
                      <w:color w:val="auto"/>
                      <w:highlight w:val="none"/>
                    </w:rPr>
                    <w:t>市政</w:t>
                  </w:r>
                  <w:r>
                    <w:rPr>
                      <w:rFonts w:cs="Times New Roman"/>
                      <w:color w:val="auto"/>
                      <w:highlight w:val="none"/>
                    </w:rPr>
                    <w:t>电网供给，年用电量</w:t>
                  </w:r>
                  <w:r>
                    <w:rPr>
                      <w:rFonts w:hint="eastAsia" w:cs="Times New Roman"/>
                      <w:color w:val="auto"/>
                      <w:highlight w:val="none"/>
                    </w:rPr>
                    <w:t>300</w:t>
                  </w:r>
                  <w:r>
                    <w:rPr>
                      <w:rFonts w:cs="Times New Roman"/>
                      <w:color w:val="auto"/>
                      <w:highlight w:val="none"/>
                    </w:rPr>
                    <w:t>万kWh</w:t>
                  </w:r>
                  <w:r>
                    <w:rPr>
                      <w:rFonts w:hint="eastAsia" w:cs="Times New Roman"/>
                      <w:color w:val="auto"/>
                      <w:highlight w:val="none"/>
                    </w:rPr>
                    <w:t>。</w:t>
                  </w:r>
                </w:p>
              </w:tc>
              <w:tc>
                <w:tcPr>
                  <w:tcW w:w="801" w:type="dxa"/>
                  <w:vAlign w:val="center"/>
                </w:tcPr>
                <w:p w14:paraId="56374F23">
                  <w:pPr>
                    <w:pStyle w:val="13"/>
                    <w:rPr>
                      <w:rFonts w:cs="Times New Roman"/>
                      <w:color w:val="auto"/>
                      <w:highlight w:val="none"/>
                    </w:rPr>
                  </w:pPr>
                  <w:r>
                    <w:rPr>
                      <w:rFonts w:hint="eastAsia" w:cs="Times New Roman"/>
                      <w:color w:val="auto"/>
                      <w:highlight w:val="none"/>
                    </w:rPr>
                    <w:t>/</w:t>
                  </w:r>
                </w:p>
              </w:tc>
            </w:tr>
            <w:tr w14:paraId="442C6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4" w:type="dxa"/>
                  <w:vMerge w:val="restart"/>
                  <w:vAlign w:val="center"/>
                </w:tcPr>
                <w:p w14:paraId="19F34204">
                  <w:pPr>
                    <w:pStyle w:val="13"/>
                    <w:rPr>
                      <w:rFonts w:cs="Times New Roman"/>
                      <w:color w:val="auto"/>
                      <w:highlight w:val="none"/>
                    </w:rPr>
                  </w:pPr>
                  <w:r>
                    <w:rPr>
                      <w:rFonts w:hint="eastAsia" w:cs="Times New Roman"/>
                      <w:color w:val="auto"/>
                      <w:highlight w:val="none"/>
                    </w:rPr>
                    <w:t>环保工程</w:t>
                  </w:r>
                </w:p>
              </w:tc>
              <w:tc>
                <w:tcPr>
                  <w:tcW w:w="1823" w:type="dxa"/>
                  <w:vAlign w:val="center"/>
                </w:tcPr>
                <w:p w14:paraId="24385A90">
                  <w:pPr>
                    <w:pStyle w:val="13"/>
                    <w:rPr>
                      <w:rFonts w:cs="Times New Roman"/>
                      <w:color w:val="auto"/>
                      <w:highlight w:val="none"/>
                    </w:rPr>
                  </w:pPr>
                  <w:r>
                    <w:rPr>
                      <w:rFonts w:hint="eastAsia" w:cs="Times New Roman"/>
                      <w:color w:val="auto"/>
                      <w:highlight w:val="none"/>
                    </w:rPr>
                    <w:t>废气治理</w:t>
                  </w:r>
                </w:p>
              </w:tc>
              <w:tc>
                <w:tcPr>
                  <w:tcW w:w="10648" w:type="dxa"/>
                  <w:gridSpan w:val="2"/>
                  <w:vAlign w:val="center"/>
                </w:tcPr>
                <w:p w14:paraId="20F70840">
                  <w:pPr>
                    <w:pStyle w:val="13"/>
                    <w:jc w:val="both"/>
                    <w:rPr>
                      <w:rFonts w:cs="Times New Roman"/>
                      <w:color w:val="auto"/>
                      <w:highlight w:val="none"/>
                    </w:rPr>
                  </w:pPr>
                  <w:r>
                    <w:rPr>
                      <w:rFonts w:hint="eastAsia" w:cs="Times New Roman"/>
                      <w:color w:val="auto"/>
                      <w:highlight w:val="none"/>
                    </w:rPr>
                    <w:t>通过在清理筛、磁选机、破碎机、秸秆打包机产污处设置集气罩收集秸秆饲料生产废气并入一根管道，经布袋除尘器处理后由15m高排气筒DA001排放。</w:t>
                  </w:r>
                </w:p>
                <w:p w14:paraId="34DCFDC4">
                  <w:pPr>
                    <w:pStyle w:val="13"/>
                    <w:jc w:val="both"/>
                    <w:rPr>
                      <w:rFonts w:cs="Times New Roman"/>
                      <w:color w:val="auto"/>
                      <w:highlight w:val="none"/>
                    </w:rPr>
                  </w:pPr>
                  <w:r>
                    <w:rPr>
                      <w:rFonts w:hint="eastAsia" w:cs="Times New Roman"/>
                      <w:color w:val="auto"/>
                      <w:highlight w:val="none"/>
                    </w:rPr>
                    <w:t>通过在混合机、制粒机、冷却分级筛产污处设置集气罩收集饲料颗粒生产废气经布袋除尘器处理后由15m高排气筒DA002排放。</w:t>
                  </w:r>
                </w:p>
                <w:p w14:paraId="7D7A229A">
                  <w:pPr>
                    <w:pStyle w:val="13"/>
                    <w:jc w:val="both"/>
                    <w:rPr>
                      <w:rFonts w:cs="Times New Roman"/>
                      <w:color w:val="auto"/>
                      <w:highlight w:val="none"/>
                    </w:rPr>
                  </w:pPr>
                  <w:r>
                    <w:rPr>
                      <w:rFonts w:hint="eastAsia" w:cs="Times New Roman"/>
                      <w:color w:val="auto"/>
                      <w:highlight w:val="none"/>
                    </w:rPr>
                    <w:t>采用低氮燃烧的锅炉废气经布袋除尘器处理后由30m高排气筒DA003排放，</w:t>
                  </w:r>
                </w:p>
                <w:p w14:paraId="40045318">
                  <w:pPr>
                    <w:pStyle w:val="13"/>
                    <w:jc w:val="both"/>
                    <w:rPr>
                      <w:rFonts w:cs="Times New Roman"/>
                      <w:color w:val="auto"/>
                      <w:highlight w:val="none"/>
                    </w:rPr>
                  </w:pPr>
                  <w:r>
                    <w:rPr>
                      <w:rFonts w:hint="eastAsia" w:cs="Times New Roman"/>
                      <w:color w:val="auto"/>
                      <w:highlight w:val="none"/>
                    </w:rPr>
                    <w:t>针对无组织粉尘采取加强管理、定期清扫、优化设备、设备密闭、加强车间通风等措施。</w:t>
                  </w:r>
                </w:p>
              </w:tc>
              <w:tc>
                <w:tcPr>
                  <w:tcW w:w="801" w:type="dxa"/>
                  <w:vAlign w:val="center"/>
                </w:tcPr>
                <w:p w14:paraId="00F4A361">
                  <w:pPr>
                    <w:pStyle w:val="13"/>
                    <w:rPr>
                      <w:rFonts w:cs="Times New Roman"/>
                      <w:color w:val="auto"/>
                      <w:highlight w:val="none"/>
                    </w:rPr>
                  </w:pPr>
                  <w:r>
                    <w:rPr>
                      <w:rFonts w:hint="eastAsia" w:cs="Times New Roman"/>
                      <w:color w:val="auto"/>
                      <w:highlight w:val="none"/>
                    </w:rPr>
                    <w:t>/</w:t>
                  </w:r>
                </w:p>
              </w:tc>
            </w:tr>
            <w:tr w14:paraId="2FFF7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4" w:type="dxa"/>
                  <w:vMerge w:val="continue"/>
                  <w:vAlign w:val="center"/>
                </w:tcPr>
                <w:p w14:paraId="75F8E0D4">
                  <w:pPr>
                    <w:pStyle w:val="13"/>
                    <w:rPr>
                      <w:rFonts w:cs="Times New Roman"/>
                      <w:color w:val="auto"/>
                      <w:highlight w:val="none"/>
                    </w:rPr>
                  </w:pPr>
                </w:p>
              </w:tc>
              <w:tc>
                <w:tcPr>
                  <w:tcW w:w="1823" w:type="dxa"/>
                  <w:vAlign w:val="center"/>
                </w:tcPr>
                <w:p w14:paraId="67D6096B">
                  <w:pPr>
                    <w:pStyle w:val="13"/>
                    <w:rPr>
                      <w:rFonts w:cs="Times New Roman"/>
                      <w:color w:val="auto"/>
                      <w:highlight w:val="none"/>
                    </w:rPr>
                  </w:pPr>
                  <w:r>
                    <w:rPr>
                      <w:rFonts w:hint="eastAsia" w:cs="Times New Roman"/>
                      <w:color w:val="auto"/>
                      <w:highlight w:val="none"/>
                    </w:rPr>
                    <w:t>废水治理</w:t>
                  </w:r>
                </w:p>
              </w:tc>
              <w:tc>
                <w:tcPr>
                  <w:tcW w:w="10648" w:type="dxa"/>
                  <w:gridSpan w:val="2"/>
                  <w:vAlign w:val="center"/>
                </w:tcPr>
                <w:p w14:paraId="19343700">
                  <w:pPr>
                    <w:pStyle w:val="13"/>
                    <w:jc w:val="both"/>
                    <w:rPr>
                      <w:rFonts w:cs="Times New Roman"/>
                      <w:color w:val="auto"/>
                      <w:highlight w:val="none"/>
                    </w:rPr>
                  </w:pPr>
                  <w:r>
                    <w:rPr>
                      <w:rFonts w:hint="eastAsia" w:cs="Times New Roman"/>
                      <w:color w:val="auto"/>
                      <w:highlight w:val="none"/>
                    </w:rPr>
                    <w:t>项目采用雨污分流制，雨水经收集后，排入市政雨水管网；</w:t>
                  </w:r>
                  <w:r>
                    <w:rPr>
                      <w:rFonts w:hint="eastAsia" w:cs="Times New Roman"/>
                      <w:color w:val="auto"/>
                      <w:highlight w:val="none"/>
                      <w:lang w:eastAsia="zh-CN"/>
                    </w:rPr>
                    <w:t>生活污水经隔油池、化粪池处理达酉华镇污水处理站接管标准后，与调质废水一起纳管排入酉华镇污水处理站处理，达到《城镇污水处理站污染物排放标准》（GB 18918-2002）一级A标准后排入七星河</w:t>
                  </w:r>
                  <w:r>
                    <w:rPr>
                      <w:rFonts w:hint="eastAsia" w:cs="Times New Roman"/>
                      <w:color w:val="auto"/>
                      <w:highlight w:val="none"/>
                    </w:rPr>
                    <w:t>。</w:t>
                  </w:r>
                </w:p>
              </w:tc>
              <w:tc>
                <w:tcPr>
                  <w:tcW w:w="801" w:type="dxa"/>
                  <w:vAlign w:val="center"/>
                </w:tcPr>
                <w:p w14:paraId="032EA869">
                  <w:pPr>
                    <w:pStyle w:val="13"/>
                    <w:rPr>
                      <w:rFonts w:cs="Times New Roman"/>
                      <w:color w:val="auto"/>
                      <w:highlight w:val="none"/>
                    </w:rPr>
                  </w:pPr>
                  <w:r>
                    <w:rPr>
                      <w:rFonts w:hint="eastAsia" w:cs="Times New Roman"/>
                      <w:color w:val="auto"/>
                      <w:highlight w:val="none"/>
                    </w:rPr>
                    <w:t>/</w:t>
                  </w:r>
                </w:p>
              </w:tc>
            </w:tr>
            <w:tr w14:paraId="26076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4" w:type="dxa"/>
                  <w:vMerge w:val="continue"/>
                  <w:vAlign w:val="center"/>
                </w:tcPr>
                <w:p w14:paraId="770A1B85">
                  <w:pPr>
                    <w:pStyle w:val="13"/>
                    <w:rPr>
                      <w:rFonts w:cs="Times New Roman"/>
                      <w:color w:val="auto"/>
                      <w:highlight w:val="none"/>
                    </w:rPr>
                  </w:pPr>
                </w:p>
              </w:tc>
              <w:tc>
                <w:tcPr>
                  <w:tcW w:w="1823" w:type="dxa"/>
                  <w:vAlign w:val="center"/>
                </w:tcPr>
                <w:p w14:paraId="59CEAA90">
                  <w:pPr>
                    <w:pStyle w:val="13"/>
                    <w:rPr>
                      <w:rFonts w:cs="Times New Roman"/>
                      <w:color w:val="auto"/>
                      <w:highlight w:val="none"/>
                    </w:rPr>
                  </w:pPr>
                  <w:r>
                    <w:rPr>
                      <w:rFonts w:hint="eastAsia" w:cs="Times New Roman"/>
                      <w:color w:val="auto"/>
                      <w:highlight w:val="none"/>
                    </w:rPr>
                    <w:t>噪声控制</w:t>
                  </w:r>
                </w:p>
              </w:tc>
              <w:tc>
                <w:tcPr>
                  <w:tcW w:w="10648" w:type="dxa"/>
                  <w:gridSpan w:val="2"/>
                  <w:vAlign w:val="center"/>
                </w:tcPr>
                <w:p w14:paraId="687229DB">
                  <w:pPr>
                    <w:pStyle w:val="13"/>
                    <w:jc w:val="both"/>
                    <w:rPr>
                      <w:rFonts w:cs="Times New Roman"/>
                      <w:color w:val="auto"/>
                      <w:highlight w:val="none"/>
                    </w:rPr>
                  </w:pPr>
                  <w:r>
                    <w:rPr>
                      <w:rFonts w:cs="Times New Roman"/>
                      <w:color w:val="auto"/>
                      <w:highlight w:val="none"/>
                    </w:rPr>
                    <w:t>厂区合理布置，高噪声设备尽量布置在厂区中部：厂房隔声：安装减震垫；加强设备的维修管理。</w:t>
                  </w:r>
                </w:p>
              </w:tc>
              <w:tc>
                <w:tcPr>
                  <w:tcW w:w="801" w:type="dxa"/>
                  <w:vAlign w:val="center"/>
                </w:tcPr>
                <w:p w14:paraId="7EBCA4B3">
                  <w:pPr>
                    <w:pStyle w:val="13"/>
                    <w:rPr>
                      <w:rFonts w:cs="Times New Roman"/>
                      <w:color w:val="auto"/>
                      <w:highlight w:val="none"/>
                    </w:rPr>
                  </w:pPr>
                  <w:r>
                    <w:rPr>
                      <w:rFonts w:hint="eastAsia" w:cs="Times New Roman"/>
                      <w:color w:val="auto"/>
                      <w:highlight w:val="none"/>
                    </w:rPr>
                    <w:t>/</w:t>
                  </w:r>
                </w:p>
              </w:tc>
            </w:tr>
            <w:tr w14:paraId="0F59A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4" w:type="dxa"/>
                  <w:vMerge w:val="continue"/>
                  <w:vAlign w:val="center"/>
                </w:tcPr>
                <w:p w14:paraId="05215369">
                  <w:pPr>
                    <w:pStyle w:val="13"/>
                    <w:rPr>
                      <w:rFonts w:cs="Times New Roman"/>
                      <w:color w:val="auto"/>
                      <w:highlight w:val="none"/>
                    </w:rPr>
                  </w:pPr>
                </w:p>
              </w:tc>
              <w:tc>
                <w:tcPr>
                  <w:tcW w:w="1823" w:type="dxa"/>
                  <w:vAlign w:val="center"/>
                </w:tcPr>
                <w:p w14:paraId="6A898469">
                  <w:pPr>
                    <w:pStyle w:val="13"/>
                    <w:rPr>
                      <w:rFonts w:cs="Times New Roman"/>
                      <w:color w:val="auto"/>
                      <w:highlight w:val="none"/>
                    </w:rPr>
                  </w:pPr>
                  <w:r>
                    <w:rPr>
                      <w:rFonts w:hint="eastAsia" w:cs="Times New Roman"/>
                      <w:color w:val="auto"/>
                      <w:highlight w:val="none"/>
                    </w:rPr>
                    <w:t>固废治理</w:t>
                  </w:r>
                </w:p>
              </w:tc>
              <w:tc>
                <w:tcPr>
                  <w:tcW w:w="10648" w:type="dxa"/>
                  <w:gridSpan w:val="2"/>
                  <w:vAlign w:val="center"/>
                </w:tcPr>
                <w:p w14:paraId="38A9A2DC">
                  <w:pPr>
                    <w:pStyle w:val="13"/>
                    <w:jc w:val="both"/>
                    <w:rPr>
                      <w:rFonts w:cs="Times New Roman"/>
                      <w:color w:val="auto"/>
                      <w:highlight w:val="none"/>
                    </w:rPr>
                  </w:pPr>
                  <w:r>
                    <w:rPr>
                      <w:rFonts w:cs="Times New Roman"/>
                      <w:color w:val="auto"/>
                      <w:highlight w:val="none"/>
                    </w:rPr>
                    <w:t>设置一座</w:t>
                  </w:r>
                  <w:r>
                    <w:rPr>
                      <w:rFonts w:hint="eastAsia" w:cs="Times New Roman"/>
                      <w:color w:val="auto"/>
                      <w:highlight w:val="none"/>
                    </w:rPr>
                    <w:t>15</w:t>
                  </w:r>
                  <w:r>
                    <w:rPr>
                      <w:rFonts w:cs="Times New Roman"/>
                      <w:color w:val="auto"/>
                      <w:highlight w:val="none"/>
                    </w:rPr>
                    <w:t>m²的固废库，</w:t>
                  </w:r>
                  <w:r>
                    <w:rPr>
                      <w:rFonts w:hint="eastAsia" w:cs="Times New Roman"/>
                      <w:color w:val="auto"/>
                      <w:highlight w:val="none"/>
                    </w:rPr>
                    <w:t>筛分杂质、磁选杂质、废包装材料、炉渣分类暂存，委托有资质单位定期处置；除尘粉尘回用于生产</w:t>
                  </w:r>
                </w:p>
                <w:p w14:paraId="5ED9AF48">
                  <w:pPr>
                    <w:pStyle w:val="13"/>
                    <w:jc w:val="both"/>
                    <w:rPr>
                      <w:rFonts w:cs="Times New Roman"/>
                      <w:color w:val="auto"/>
                      <w:highlight w:val="none"/>
                    </w:rPr>
                  </w:pPr>
                  <w:r>
                    <w:rPr>
                      <w:rFonts w:cs="Times New Roman"/>
                      <w:color w:val="auto"/>
                      <w:highlight w:val="none"/>
                    </w:rPr>
                    <w:t>设置一座</w:t>
                  </w:r>
                  <w:r>
                    <w:rPr>
                      <w:rFonts w:hint="eastAsia" w:cs="Times New Roman"/>
                      <w:color w:val="auto"/>
                      <w:highlight w:val="none"/>
                    </w:rPr>
                    <w:t>15</w:t>
                  </w:r>
                  <w:r>
                    <w:rPr>
                      <w:rFonts w:cs="Times New Roman"/>
                      <w:color w:val="auto"/>
                      <w:highlight w:val="none"/>
                    </w:rPr>
                    <w:t>m²的</w:t>
                  </w:r>
                  <w:r>
                    <w:rPr>
                      <w:rFonts w:hint="eastAsia" w:cs="Times New Roman"/>
                      <w:color w:val="auto"/>
                      <w:highlight w:val="none"/>
                    </w:rPr>
                    <w:t>危</w:t>
                  </w:r>
                  <w:r>
                    <w:rPr>
                      <w:rFonts w:cs="Times New Roman"/>
                      <w:color w:val="auto"/>
                      <w:highlight w:val="none"/>
                    </w:rPr>
                    <w:t>废库，</w:t>
                  </w:r>
                  <w:r>
                    <w:rPr>
                      <w:rFonts w:hint="eastAsia" w:cs="Times New Roman"/>
                      <w:color w:val="auto"/>
                      <w:highlight w:val="none"/>
                    </w:rPr>
                    <w:t>暂存废矿物油，</w:t>
                  </w:r>
                  <w:r>
                    <w:rPr>
                      <w:rFonts w:cs="Times New Roman"/>
                      <w:color w:val="auto"/>
                      <w:highlight w:val="none"/>
                    </w:rPr>
                    <w:t>委托有资质单位定期</w:t>
                  </w:r>
                  <w:r>
                    <w:rPr>
                      <w:rFonts w:hint="eastAsia" w:cs="Times New Roman"/>
                      <w:color w:val="auto"/>
                      <w:highlight w:val="none"/>
                    </w:rPr>
                    <w:t>处置</w:t>
                  </w:r>
                  <w:r>
                    <w:rPr>
                      <w:rFonts w:cs="Times New Roman"/>
                      <w:color w:val="auto"/>
                      <w:highlight w:val="none"/>
                    </w:rPr>
                    <w:t>；</w:t>
                  </w:r>
                </w:p>
                <w:p w14:paraId="6026436F">
                  <w:pPr>
                    <w:pStyle w:val="13"/>
                    <w:jc w:val="both"/>
                    <w:rPr>
                      <w:rFonts w:cs="Times New Roman"/>
                      <w:color w:val="auto"/>
                      <w:highlight w:val="none"/>
                    </w:rPr>
                  </w:pPr>
                  <w:r>
                    <w:rPr>
                      <w:rFonts w:cs="Times New Roman"/>
                      <w:color w:val="auto"/>
                      <w:highlight w:val="none"/>
                    </w:rPr>
                    <w:t>生活垃圾分类收集后委托环卫部门统一处理。</w:t>
                  </w:r>
                </w:p>
              </w:tc>
              <w:tc>
                <w:tcPr>
                  <w:tcW w:w="801" w:type="dxa"/>
                  <w:vAlign w:val="center"/>
                </w:tcPr>
                <w:p w14:paraId="36F5D0D7">
                  <w:pPr>
                    <w:pStyle w:val="13"/>
                    <w:rPr>
                      <w:rFonts w:cs="Times New Roman"/>
                      <w:color w:val="auto"/>
                      <w:highlight w:val="none"/>
                    </w:rPr>
                  </w:pPr>
                  <w:r>
                    <w:rPr>
                      <w:rFonts w:hint="eastAsia" w:cs="Times New Roman"/>
                      <w:color w:val="auto"/>
                      <w:highlight w:val="none"/>
                    </w:rPr>
                    <w:t>/</w:t>
                  </w:r>
                </w:p>
              </w:tc>
            </w:tr>
            <w:tr w14:paraId="36A3A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04" w:type="dxa"/>
                  <w:vMerge w:val="continue"/>
                  <w:vAlign w:val="center"/>
                </w:tcPr>
                <w:p w14:paraId="7D8C883D">
                  <w:pPr>
                    <w:pStyle w:val="13"/>
                    <w:rPr>
                      <w:rFonts w:cs="Times New Roman"/>
                      <w:color w:val="auto"/>
                      <w:highlight w:val="none"/>
                    </w:rPr>
                  </w:pPr>
                </w:p>
              </w:tc>
              <w:tc>
                <w:tcPr>
                  <w:tcW w:w="1823" w:type="dxa"/>
                  <w:vAlign w:val="center"/>
                </w:tcPr>
                <w:p w14:paraId="13537523">
                  <w:pPr>
                    <w:pStyle w:val="13"/>
                    <w:rPr>
                      <w:rFonts w:cs="Times New Roman"/>
                      <w:color w:val="auto"/>
                      <w:highlight w:val="none"/>
                    </w:rPr>
                  </w:pPr>
                  <w:r>
                    <w:rPr>
                      <w:rFonts w:hint="eastAsia" w:cs="Times New Roman"/>
                      <w:color w:val="auto"/>
                      <w:highlight w:val="none"/>
                    </w:rPr>
                    <w:t>土壤及地下水风险防治措施</w:t>
                  </w:r>
                </w:p>
              </w:tc>
              <w:tc>
                <w:tcPr>
                  <w:tcW w:w="10648" w:type="dxa"/>
                  <w:gridSpan w:val="2"/>
                  <w:vAlign w:val="center"/>
                </w:tcPr>
                <w:p w14:paraId="03C185A0">
                  <w:pPr>
                    <w:pStyle w:val="13"/>
                    <w:jc w:val="both"/>
                    <w:rPr>
                      <w:rFonts w:cs="Times New Roman"/>
                      <w:color w:val="auto"/>
                      <w:highlight w:val="none"/>
                    </w:rPr>
                  </w:pPr>
                  <w:r>
                    <w:rPr>
                      <w:rFonts w:cs="Times New Roman"/>
                      <w:color w:val="auto"/>
                      <w:highlight w:val="none"/>
                    </w:rPr>
                    <w:t>落实分区防渗措施，加</w:t>
                  </w:r>
                  <w:r>
                    <w:rPr>
                      <w:rFonts w:hint="eastAsia" w:cs="Times New Roman"/>
                      <w:color w:val="auto"/>
                      <w:highlight w:val="none"/>
                    </w:rPr>
                    <w:t>强管理及维护。</w:t>
                  </w:r>
                </w:p>
                <w:p w14:paraId="323010A9">
                  <w:pPr>
                    <w:pStyle w:val="13"/>
                    <w:jc w:val="both"/>
                    <w:rPr>
                      <w:rFonts w:cs="Times New Roman"/>
                      <w:color w:val="auto"/>
                      <w:highlight w:val="none"/>
                    </w:rPr>
                  </w:pPr>
                  <w:r>
                    <w:rPr>
                      <w:rFonts w:hint="eastAsia" w:cs="Times New Roman"/>
                      <w:color w:val="auto"/>
                      <w:highlight w:val="none"/>
                    </w:rPr>
                    <w:t>重点防渗区：危废库；</w:t>
                  </w:r>
                </w:p>
                <w:p w14:paraId="78FBEC72">
                  <w:pPr>
                    <w:pStyle w:val="13"/>
                    <w:jc w:val="both"/>
                    <w:rPr>
                      <w:rFonts w:cs="Times New Roman"/>
                      <w:color w:val="auto"/>
                      <w:highlight w:val="none"/>
                    </w:rPr>
                  </w:pPr>
                  <w:r>
                    <w:rPr>
                      <w:rFonts w:hint="eastAsia" w:cs="Times New Roman"/>
                      <w:color w:val="auto"/>
                      <w:highlight w:val="none"/>
                    </w:rPr>
                    <w:t>一般防渗区：原料仓库、加工车间、研发办公楼、成品仓库、固废库</w:t>
                  </w:r>
                </w:p>
                <w:p w14:paraId="73AAD56F">
                  <w:pPr>
                    <w:pStyle w:val="13"/>
                    <w:jc w:val="both"/>
                    <w:rPr>
                      <w:rFonts w:cs="Times New Roman"/>
                      <w:color w:val="auto"/>
                      <w:highlight w:val="none"/>
                    </w:rPr>
                  </w:pPr>
                  <w:r>
                    <w:rPr>
                      <w:rFonts w:hint="eastAsia" w:cs="Times New Roman"/>
                      <w:color w:val="auto"/>
                      <w:highlight w:val="none"/>
                    </w:rPr>
                    <w:t>简单防渗区：其他区域。</w:t>
                  </w:r>
                </w:p>
              </w:tc>
              <w:tc>
                <w:tcPr>
                  <w:tcW w:w="801" w:type="dxa"/>
                  <w:vAlign w:val="center"/>
                </w:tcPr>
                <w:p w14:paraId="7BCB059F">
                  <w:pPr>
                    <w:pStyle w:val="13"/>
                    <w:rPr>
                      <w:rFonts w:cs="Times New Roman"/>
                      <w:color w:val="auto"/>
                      <w:highlight w:val="none"/>
                    </w:rPr>
                  </w:pPr>
                  <w:r>
                    <w:rPr>
                      <w:rFonts w:hint="eastAsia" w:cs="Times New Roman"/>
                      <w:color w:val="auto"/>
                      <w:highlight w:val="none"/>
                    </w:rPr>
                    <w:t>/</w:t>
                  </w:r>
                </w:p>
              </w:tc>
            </w:tr>
          </w:tbl>
          <w:p w14:paraId="3E4471C1">
            <w:pPr>
              <w:ind w:firstLine="480"/>
              <w:rPr>
                <w:color w:val="auto"/>
                <w:highlight w:val="none"/>
              </w:rPr>
            </w:pPr>
          </w:p>
          <w:p w14:paraId="62CCD4AD">
            <w:pPr>
              <w:ind w:firstLine="480"/>
              <w:rPr>
                <w:color w:val="auto"/>
                <w:highlight w:val="none"/>
              </w:rPr>
            </w:pPr>
          </w:p>
          <w:p w14:paraId="6707C956">
            <w:pPr>
              <w:ind w:firstLine="480"/>
              <w:rPr>
                <w:color w:val="auto"/>
                <w:highlight w:val="none"/>
              </w:rPr>
            </w:pPr>
          </w:p>
          <w:p w14:paraId="30C3D5F0">
            <w:pPr>
              <w:ind w:firstLine="480"/>
              <w:rPr>
                <w:color w:val="auto"/>
                <w:highlight w:val="none"/>
              </w:rPr>
            </w:pPr>
          </w:p>
          <w:p w14:paraId="16EE73BF">
            <w:pPr>
              <w:ind w:firstLine="480"/>
              <w:rPr>
                <w:color w:val="auto"/>
                <w:highlight w:val="none"/>
              </w:rPr>
            </w:pPr>
          </w:p>
          <w:p w14:paraId="54DB25A0">
            <w:pPr>
              <w:ind w:firstLine="480"/>
              <w:rPr>
                <w:color w:val="auto"/>
                <w:highlight w:val="none"/>
              </w:rPr>
            </w:pPr>
          </w:p>
        </w:tc>
      </w:tr>
    </w:tbl>
    <w:p w14:paraId="7605F539">
      <w:pPr>
        <w:ind w:firstLine="480"/>
        <w:rPr>
          <w:color w:val="auto"/>
          <w:highlight w:val="none"/>
        </w:rPr>
        <w:sectPr>
          <w:pgSz w:w="16838" w:h="11906" w:orient="landscape"/>
          <w:pgMar w:top="1134" w:right="1134" w:bottom="1247" w:left="1247" w:header="851" w:footer="850" w:gutter="0"/>
          <w:cols w:space="425" w:num="1"/>
          <w:docGrid w:type="lines" w:linePitch="312" w:charSpace="0"/>
        </w:sectPr>
      </w:pP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9088"/>
      </w:tblGrid>
      <w:tr w14:paraId="10D51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trPr>
        <w:tc>
          <w:tcPr>
            <w:tcW w:w="335" w:type="pct"/>
          </w:tcPr>
          <w:p w14:paraId="5D9D94E6">
            <w:pPr>
              <w:ind w:firstLine="0" w:firstLineChars="0"/>
              <w:rPr>
                <w:rFonts w:cs="Times New Roman"/>
                <w:color w:val="auto"/>
                <w:highlight w:val="none"/>
              </w:rPr>
            </w:pPr>
            <w:r>
              <w:rPr>
                <w:rFonts w:cs="Times New Roman"/>
                <w:b/>
                <w:bCs/>
                <w:color w:val="auto"/>
                <w:highlight w:val="none"/>
              </w:rPr>
              <w:t>建设内容</w:t>
            </w:r>
          </w:p>
        </w:tc>
        <w:tc>
          <w:tcPr>
            <w:tcW w:w="4664" w:type="pct"/>
          </w:tcPr>
          <w:p w14:paraId="01662BE0">
            <w:pPr>
              <w:pStyle w:val="2"/>
              <w:ind w:firstLine="482"/>
              <w:rPr>
                <w:rFonts w:cs="Times New Roman"/>
                <w:color w:val="auto"/>
                <w:highlight w:val="none"/>
              </w:rPr>
            </w:pPr>
            <w:r>
              <w:rPr>
                <w:rFonts w:cs="Times New Roman"/>
                <w:color w:val="auto"/>
                <w:highlight w:val="none"/>
              </w:rPr>
              <w:t>3、</w:t>
            </w:r>
            <w:r>
              <w:rPr>
                <w:rFonts w:hint="eastAsia" w:cs="Times New Roman"/>
                <w:color w:val="auto"/>
                <w:highlight w:val="none"/>
              </w:rPr>
              <w:t>主要产品及产能</w:t>
            </w:r>
          </w:p>
          <w:p w14:paraId="47ADEE91">
            <w:pPr>
              <w:ind w:firstLine="480"/>
              <w:rPr>
                <w:rFonts w:cs="Times New Roman"/>
                <w:color w:val="auto"/>
                <w:highlight w:val="none"/>
              </w:rPr>
            </w:pPr>
            <w:r>
              <w:rPr>
                <w:rFonts w:cs="Times New Roman"/>
                <w:color w:val="auto"/>
                <w:highlight w:val="none"/>
              </w:rPr>
              <w:t>项目产品方案详见下表：</w:t>
            </w:r>
          </w:p>
          <w:p w14:paraId="76A6015F">
            <w:pPr>
              <w:pStyle w:val="14"/>
              <w:spacing w:before="156"/>
              <w:rPr>
                <w:rFonts w:cs="Times New Roman"/>
                <w:color w:val="auto"/>
                <w:highlight w:val="none"/>
              </w:rPr>
            </w:pPr>
            <w:r>
              <w:rPr>
                <w:rFonts w:cs="Times New Roman"/>
                <w:color w:val="auto"/>
                <w:highlight w:val="none"/>
              </w:rPr>
              <w:t>表2-3  产品方案一览表  单位：t/a</w:t>
            </w:r>
          </w:p>
          <w:tbl>
            <w:tblPr>
              <w:tblStyle w:val="1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423"/>
              <w:gridCol w:w="859"/>
              <w:gridCol w:w="939"/>
              <w:gridCol w:w="965"/>
              <w:gridCol w:w="556"/>
              <w:gridCol w:w="2205"/>
              <w:gridCol w:w="2230"/>
            </w:tblGrid>
            <w:tr w14:paraId="4735C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83" w:type="pct"/>
                  <w:vAlign w:val="center"/>
                </w:tcPr>
                <w:p w14:paraId="598F96DE">
                  <w:pPr>
                    <w:pStyle w:val="13"/>
                    <w:rPr>
                      <w:rFonts w:cs="Times New Roman"/>
                      <w:b/>
                      <w:bCs/>
                      <w:color w:val="auto"/>
                      <w:highlight w:val="none"/>
                    </w:rPr>
                  </w:pPr>
                  <w:r>
                    <w:rPr>
                      <w:rFonts w:cs="Times New Roman"/>
                      <w:b/>
                      <w:bCs/>
                      <w:color w:val="auto"/>
                      <w:highlight w:val="none"/>
                    </w:rPr>
                    <w:t>序号</w:t>
                  </w:r>
                </w:p>
              </w:tc>
              <w:tc>
                <w:tcPr>
                  <w:tcW w:w="724" w:type="pct"/>
                  <w:gridSpan w:val="2"/>
                  <w:vAlign w:val="center"/>
                </w:tcPr>
                <w:p w14:paraId="749B9824">
                  <w:pPr>
                    <w:pStyle w:val="13"/>
                    <w:rPr>
                      <w:rFonts w:cs="Times New Roman"/>
                      <w:b/>
                      <w:bCs/>
                      <w:color w:val="auto"/>
                      <w:highlight w:val="none"/>
                    </w:rPr>
                  </w:pPr>
                  <w:r>
                    <w:rPr>
                      <w:rFonts w:cs="Times New Roman"/>
                      <w:b/>
                      <w:bCs/>
                      <w:color w:val="auto"/>
                      <w:highlight w:val="none"/>
                    </w:rPr>
                    <w:t>产品名称</w:t>
                  </w:r>
                </w:p>
              </w:tc>
              <w:tc>
                <w:tcPr>
                  <w:tcW w:w="530" w:type="pct"/>
                  <w:vAlign w:val="center"/>
                </w:tcPr>
                <w:p w14:paraId="10288096">
                  <w:pPr>
                    <w:pStyle w:val="13"/>
                    <w:rPr>
                      <w:rFonts w:cs="Times New Roman"/>
                      <w:b/>
                      <w:bCs/>
                      <w:color w:val="auto"/>
                      <w:highlight w:val="none"/>
                    </w:rPr>
                  </w:pPr>
                  <w:r>
                    <w:rPr>
                      <w:rFonts w:cs="Times New Roman"/>
                      <w:b/>
                      <w:bCs/>
                      <w:color w:val="auto"/>
                      <w:highlight w:val="none"/>
                    </w:rPr>
                    <w:t>产量</w:t>
                  </w:r>
                </w:p>
              </w:tc>
              <w:tc>
                <w:tcPr>
                  <w:tcW w:w="3361" w:type="pct"/>
                  <w:gridSpan w:val="4"/>
                  <w:vAlign w:val="center"/>
                </w:tcPr>
                <w:p w14:paraId="7CD9B65B">
                  <w:pPr>
                    <w:pStyle w:val="13"/>
                    <w:rPr>
                      <w:rFonts w:cs="Times New Roman"/>
                      <w:b/>
                      <w:bCs/>
                      <w:color w:val="auto"/>
                      <w:highlight w:val="none"/>
                    </w:rPr>
                  </w:pPr>
                  <w:r>
                    <w:rPr>
                      <w:rFonts w:cs="Times New Roman"/>
                      <w:b/>
                      <w:bCs/>
                      <w:color w:val="auto"/>
                      <w:highlight w:val="none"/>
                    </w:rPr>
                    <w:t>备注</w:t>
                  </w:r>
                </w:p>
              </w:tc>
            </w:tr>
            <w:tr w14:paraId="7F291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83" w:type="pct"/>
                  <w:vAlign w:val="center"/>
                </w:tcPr>
                <w:p w14:paraId="7504907E">
                  <w:pPr>
                    <w:pStyle w:val="13"/>
                    <w:rPr>
                      <w:rFonts w:cs="Times New Roman"/>
                      <w:color w:val="auto"/>
                      <w:highlight w:val="none"/>
                    </w:rPr>
                  </w:pPr>
                  <w:r>
                    <w:rPr>
                      <w:rFonts w:cs="Times New Roman"/>
                      <w:color w:val="auto"/>
                      <w:highlight w:val="none"/>
                    </w:rPr>
                    <w:t>1</w:t>
                  </w:r>
                </w:p>
              </w:tc>
              <w:tc>
                <w:tcPr>
                  <w:tcW w:w="724" w:type="pct"/>
                  <w:gridSpan w:val="2"/>
                  <w:vAlign w:val="center"/>
                </w:tcPr>
                <w:p w14:paraId="4B2837E5">
                  <w:pPr>
                    <w:pStyle w:val="13"/>
                    <w:rPr>
                      <w:rFonts w:cs="Times New Roman"/>
                      <w:color w:val="auto"/>
                      <w:highlight w:val="none"/>
                    </w:rPr>
                  </w:pPr>
                  <w:r>
                    <w:rPr>
                      <w:rFonts w:cs="Times New Roman"/>
                      <w:color w:val="auto"/>
                      <w:highlight w:val="none"/>
                    </w:rPr>
                    <w:t>秸秆饲料</w:t>
                  </w:r>
                </w:p>
              </w:tc>
              <w:tc>
                <w:tcPr>
                  <w:tcW w:w="530" w:type="pct"/>
                  <w:vAlign w:val="center"/>
                </w:tcPr>
                <w:p w14:paraId="60F52B6C">
                  <w:pPr>
                    <w:pStyle w:val="13"/>
                    <w:rPr>
                      <w:rFonts w:cs="Times New Roman"/>
                      <w:color w:val="auto"/>
                      <w:highlight w:val="none"/>
                    </w:rPr>
                  </w:pPr>
                  <w:r>
                    <w:rPr>
                      <w:rFonts w:cs="Times New Roman"/>
                      <w:color w:val="auto"/>
                      <w:highlight w:val="none"/>
                    </w:rPr>
                    <w:t>10000</w:t>
                  </w:r>
                </w:p>
              </w:tc>
              <w:tc>
                <w:tcPr>
                  <w:tcW w:w="3361" w:type="pct"/>
                  <w:gridSpan w:val="4"/>
                  <w:vAlign w:val="center"/>
                </w:tcPr>
                <w:p w14:paraId="388FC944">
                  <w:pPr>
                    <w:pStyle w:val="13"/>
                    <w:rPr>
                      <w:rFonts w:cs="Times New Roman"/>
                      <w:color w:val="auto"/>
                      <w:highlight w:val="none"/>
                    </w:rPr>
                  </w:pPr>
                  <w:r>
                    <w:rPr>
                      <w:rFonts w:cs="Times New Roman"/>
                      <w:color w:val="auto"/>
                      <w:highlight w:val="none"/>
                    </w:rPr>
                    <w:t>一期生产</w:t>
                  </w:r>
                </w:p>
              </w:tc>
            </w:tr>
            <w:tr w14:paraId="5D316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83" w:type="pct"/>
                  <w:vAlign w:val="center"/>
                </w:tcPr>
                <w:p w14:paraId="66BBC85B">
                  <w:pPr>
                    <w:pStyle w:val="13"/>
                    <w:rPr>
                      <w:rFonts w:cs="Times New Roman"/>
                      <w:color w:val="auto"/>
                      <w:highlight w:val="none"/>
                    </w:rPr>
                  </w:pPr>
                  <w:r>
                    <w:rPr>
                      <w:rFonts w:cs="Times New Roman"/>
                      <w:color w:val="auto"/>
                      <w:highlight w:val="none"/>
                    </w:rPr>
                    <w:t>2</w:t>
                  </w:r>
                </w:p>
              </w:tc>
              <w:tc>
                <w:tcPr>
                  <w:tcW w:w="724" w:type="pct"/>
                  <w:gridSpan w:val="2"/>
                  <w:vAlign w:val="center"/>
                </w:tcPr>
                <w:p w14:paraId="4D0225CC">
                  <w:pPr>
                    <w:pStyle w:val="13"/>
                    <w:rPr>
                      <w:rFonts w:cs="Times New Roman"/>
                      <w:color w:val="auto"/>
                      <w:highlight w:val="none"/>
                    </w:rPr>
                  </w:pPr>
                  <w:r>
                    <w:rPr>
                      <w:rFonts w:cs="Times New Roman"/>
                      <w:color w:val="auto"/>
                      <w:highlight w:val="none"/>
                    </w:rPr>
                    <w:t>饲料颗粒</w:t>
                  </w:r>
                </w:p>
              </w:tc>
              <w:tc>
                <w:tcPr>
                  <w:tcW w:w="530" w:type="pct"/>
                  <w:vAlign w:val="center"/>
                </w:tcPr>
                <w:p w14:paraId="6670DBAC">
                  <w:pPr>
                    <w:pStyle w:val="13"/>
                    <w:rPr>
                      <w:rFonts w:cs="Times New Roman"/>
                      <w:color w:val="auto"/>
                      <w:highlight w:val="none"/>
                    </w:rPr>
                  </w:pPr>
                  <w:r>
                    <w:rPr>
                      <w:rFonts w:cs="Times New Roman"/>
                      <w:color w:val="auto"/>
                      <w:highlight w:val="none"/>
                    </w:rPr>
                    <w:t>5000</w:t>
                  </w:r>
                </w:p>
              </w:tc>
              <w:tc>
                <w:tcPr>
                  <w:tcW w:w="3361" w:type="pct"/>
                  <w:gridSpan w:val="4"/>
                  <w:vAlign w:val="center"/>
                </w:tcPr>
                <w:p w14:paraId="12A84A27">
                  <w:pPr>
                    <w:pStyle w:val="13"/>
                    <w:rPr>
                      <w:rFonts w:cs="Times New Roman"/>
                      <w:color w:val="auto"/>
                      <w:highlight w:val="none"/>
                    </w:rPr>
                  </w:pPr>
                  <w:r>
                    <w:rPr>
                      <w:rFonts w:cs="Times New Roman"/>
                      <w:color w:val="auto"/>
                      <w:highlight w:val="none"/>
                    </w:rPr>
                    <w:t>二期生产</w:t>
                  </w:r>
                </w:p>
              </w:tc>
            </w:tr>
            <w:tr w14:paraId="223C4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07" w:type="pct"/>
                  <w:gridSpan w:val="3"/>
                  <w:vAlign w:val="center"/>
                </w:tcPr>
                <w:p w14:paraId="4B3710E6">
                  <w:pPr>
                    <w:pStyle w:val="13"/>
                    <w:rPr>
                      <w:rFonts w:cs="Times New Roman"/>
                      <w:color w:val="auto"/>
                      <w:highlight w:val="none"/>
                    </w:rPr>
                  </w:pPr>
                  <w:r>
                    <w:rPr>
                      <w:rFonts w:cs="Times New Roman"/>
                      <w:color w:val="auto"/>
                      <w:highlight w:val="none"/>
                    </w:rPr>
                    <w:t>合计</w:t>
                  </w:r>
                </w:p>
              </w:tc>
              <w:tc>
                <w:tcPr>
                  <w:tcW w:w="530" w:type="pct"/>
                  <w:vAlign w:val="center"/>
                </w:tcPr>
                <w:p w14:paraId="1A9028D0">
                  <w:pPr>
                    <w:pStyle w:val="13"/>
                    <w:rPr>
                      <w:rFonts w:cs="Times New Roman"/>
                      <w:color w:val="auto"/>
                      <w:highlight w:val="none"/>
                    </w:rPr>
                  </w:pPr>
                  <w:r>
                    <w:rPr>
                      <w:rFonts w:cs="Times New Roman"/>
                      <w:color w:val="auto"/>
                      <w:highlight w:val="none"/>
                    </w:rPr>
                    <w:t>15000</w:t>
                  </w:r>
                </w:p>
              </w:tc>
              <w:tc>
                <w:tcPr>
                  <w:tcW w:w="3361" w:type="pct"/>
                  <w:gridSpan w:val="4"/>
                  <w:vAlign w:val="center"/>
                </w:tcPr>
                <w:p w14:paraId="277A8490">
                  <w:pPr>
                    <w:pStyle w:val="13"/>
                    <w:rPr>
                      <w:rFonts w:cs="Times New Roman"/>
                      <w:color w:val="auto"/>
                      <w:highlight w:val="none"/>
                    </w:rPr>
                  </w:pPr>
                  <w:r>
                    <w:rPr>
                      <w:rFonts w:cs="Times New Roman"/>
                      <w:color w:val="auto"/>
                      <w:highlight w:val="none"/>
                    </w:rPr>
                    <w:t>/</w:t>
                  </w:r>
                </w:p>
              </w:tc>
            </w:tr>
            <w:tr w14:paraId="2482E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6" w:type="pct"/>
                  <w:gridSpan w:val="6"/>
                  <w:vAlign w:val="center"/>
                </w:tcPr>
                <w:p w14:paraId="7DD6CEA5">
                  <w:pPr>
                    <w:pStyle w:val="13"/>
                    <w:rPr>
                      <w:rFonts w:cs="Times New Roman"/>
                      <w:color w:val="auto"/>
                      <w:highlight w:val="none"/>
                    </w:rPr>
                  </w:pPr>
                  <w:r>
                    <w:rPr>
                      <w:rFonts w:cs="Times New Roman"/>
                      <w:color w:val="auto"/>
                      <w:highlight w:val="none"/>
                    </w:rPr>
                    <w:drawing>
                      <wp:inline distT="0" distB="0" distL="114300" distR="114300">
                        <wp:extent cx="2520315" cy="2520315"/>
                        <wp:effectExtent l="0" t="0" r="13335" b="13335"/>
                        <wp:docPr id="4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
                                <pic:cNvPicPr>
                                  <a:picLocks noChangeAspect="1"/>
                                </pic:cNvPicPr>
                              </pic:nvPicPr>
                              <pic:blipFill>
                                <a:blip r:embed="rId22"/>
                                <a:stretch>
                                  <a:fillRect/>
                                </a:stretch>
                              </pic:blipFill>
                              <pic:spPr>
                                <a:xfrm>
                                  <a:off x="0" y="0"/>
                                  <a:ext cx="2520315" cy="2520315"/>
                                </a:xfrm>
                                <a:prstGeom prst="rect">
                                  <a:avLst/>
                                </a:prstGeom>
                                <a:noFill/>
                                <a:ln>
                                  <a:noFill/>
                                </a:ln>
                              </pic:spPr>
                            </pic:pic>
                          </a:graphicData>
                        </a:graphic>
                      </wp:inline>
                    </w:drawing>
                  </w:r>
                </w:p>
              </w:tc>
              <w:tc>
                <w:tcPr>
                  <w:tcW w:w="2503" w:type="pct"/>
                  <w:gridSpan w:val="2"/>
                  <w:vAlign w:val="center"/>
                </w:tcPr>
                <w:p w14:paraId="34C27EB0">
                  <w:pPr>
                    <w:pStyle w:val="13"/>
                    <w:rPr>
                      <w:rFonts w:cs="Times New Roman"/>
                      <w:color w:val="auto"/>
                      <w:highlight w:val="none"/>
                    </w:rPr>
                  </w:pPr>
                  <w:r>
                    <w:rPr>
                      <w:rFonts w:cs="Times New Roman"/>
                      <w:color w:val="auto"/>
                      <w:highlight w:val="none"/>
                    </w:rPr>
                    <w:drawing>
                      <wp:inline distT="0" distB="0" distL="114300" distR="114300">
                        <wp:extent cx="2520315" cy="2520315"/>
                        <wp:effectExtent l="0" t="0" r="13335" b="13335"/>
                        <wp:docPr id="4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
                                <pic:cNvPicPr>
                                  <a:picLocks noChangeAspect="1"/>
                                </pic:cNvPicPr>
                              </pic:nvPicPr>
                              <pic:blipFill>
                                <a:blip r:embed="rId23"/>
                                <a:stretch>
                                  <a:fillRect/>
                                </a:stretch>
                              </pic:blipFill>
                              <pic:spPr>
                                <a:xfrm>
                                  <a:off x="0" y="0"/>
                                  <a:ext cx="2520315" cy="2520315"/>
                                </a:xfrm>
                                <a:prstGeom prst="rect">
                                  <a:avLst/>
                                </a:prstGeom>
                                <a:noFill/>
                                <a:ln>
                                  <a:noFill/>
                                </a:ln>
                              </pic:spPr>
                            </pic:pic>
                          </a:graphicData>
                        </a:graphic>
                      </wp:inline>
                    </w:drawing>
                  </w:r>
                </w:p>
              </w:tc>
            </w:tr>
            <w:tr w14:paraId="087F7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496" w:type="pct"/>
                  <w:gridSpan w:val="6"/>
                  <w:vAlign w:val="center"/>
                </w:tcPr>
                <w:p w14:paraId="4D8D6A24">
                  <w:pPr>
                    <w:pStyle w:val="13"/>
                    <w:rPr>
                      <w:rFonts w:cs="Times New Roman"/>
                      <w:b/>
                      <w:bCs/>
                      <w:color w:val="auto"/>
                      <w:highlight w:val="none"/>
                    </w:rPr>
                  </w:pPr>
                  <w:r>
                    <w:rPr>
                      <w:rFonts w:cs="Times New Roman"/>
                      <w:b/>
                      <w:bCs/>
                      <w:color w:val="auto"/>
                      <w:highlight w:val="none"/>
                    </w:rPr>
                    <w:t>秸秆饲料产品示例图</w:t>
                  </w:r>
                </w:p>
              </w:tc>
              <w:tc>
                <w:tcPr>
                  <w:tcW w:w="2503" w:type="pct"/>
                  <w:gridSpan w:val="2"/>
                  <w:vAlign w:val="center"/>
                </w:tcPr>
                <w:p w14:paraId="452DC8DC">
                  <w:pPr>
                    <w:pStyle w:val="13"/>
                    <w:rPr>
                      <w:rFonts w:cs="Times New Roman"/>
                      <w:b/>
                      <w:bCs/>
                      <w:color w:val="auto"/>
                      <w:highlight w:val="none"/>
                    </w:rPr>
                  </w:pPr>
                  <w:r>
                    <w:rPr>
                      <w:rFonts w:cs="Times New Roman"/>
                      <w:b/>
                      <w:bCs/>
                      <w:color w:val="auto"/>
                      <w:highlight w:val="none"/>
                    </w:rPr>
                    <w:t>饲料颗粒产品示例图</w:t>
                  </w:r>
                </w:p>
              </w:tc>
            </w:tr>
            <w:tr w14:paraId="49C91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8"/>
                  <w:vAlign w:val="center"/>
                </w:tcPr>
                <w:p w14:paraId="6DE60FAF">
                  <w:pPr>
                    <w:pStyle w:val="13"/>
                    <w:rPr>
                      <w:rFonts w:cs="Times New Roman"/>
                      <w:b/>
                      <w:bCs/>
                      <w:color w:val="auto"/>
                      <w:sz w:val="18"/>
                      <w:szCs w:val="18"/>
                      <w:highlight w:val="none"/>
                    </w:rPr>
                  </w:pPr>
                  <w:r>
                    <w:rPr>
                      <w:rFonts w:hint="eastAsia" w:cs="Times New Roman"/>
                      <w:b/>
                      <w:bCs/>
                      <w:color w:val="auto"/>
                      <w:sz w:val="18"/>
                      <w:szCs w:val="18"/>
                      <w:highlight w:val="none"/>
                    </w:rPr>
                    <w:t>饲料产品质量标准</w:t>
                  </w:r>
                </w:p>
              </w:tc>
            </w:tr>
            <w:tr w14:paraId="7B11E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182" w:type="pct"/>
                  <w:gridSpan w:val="5"/>
                  <w:vAlign w:val="center"/>
                </w:tcPr>
                <w:p w14:paraId="0ABFC379">
                  <w:pPr>
                    <w:pStyle w:val="13"/>
                    <w:rPr>
                      <w:rFonts w:cs="Times New Roman"/>
                      <w:b/>
                      <w:bCs/>
                      <w:color w:val="auto"/>
                      <w:sz w:val="18"/>
                      <w:szCs w:val="18"/>
                      <w:highlight w:val="none"/>
                    </w:rPr>
                  </w:pPr>
                  <w:r>
                    <w:rPr>
                      <w:rFonts w:hint="eastAsia" w:cs="Times New Roman"/>
                      <w:b/>
                      <w:bCs/>
                      <w:color w:val="auto"/>
                      <w:sz w:val="18"/>
                      <w:szCs w:val="18"/>
                      <w:highlight w:val="none"/>
                    </w:rPr>
                    <w:t>指标</w:t>
                  </w:r>
                </w:p>
              </w:tc>
              <w:tc>
                <w:tcPr>
                  <w:tcW w:w="1556" w:type="pct"/>
                  <w:gridSpan w:val="2"/>
                  <w:vAlign w:val="center"/>
                </w:tcPr>
                <w:p w14:paraId="5B2EEDC9">
                  <w:pPr>
                    <w:pStyle w:val="13"/>
                    <w:rPr>
                      <w:rFonts w:cs="Times New Roman"/>
                      <w:b/>
                      <w:bCs/>
                      <w:color w:val="auto"/>
                      <w:sz w:val="18"/>
                      <w:szCs w:val="18"/>
                      <w:highlight w:val="none"/>
                    </w:rPr>
                  </w:pPr>
                  <w:r>
                    <w:rPr>
                      <w:rFonts w:hint="eastAsia" w:cs="Times New Roman"/>
                      <w:b/>
                      <w:bCs/>
                      <w:color w:val="auto"/>
                      <w:sz w:val="18"/>
                      <w:szCs w:val="18"/>
                      <w:highlight w:val="none"/>
                    </w:rPr>
                    <w:t>秸秆饲料（粗饲）</w:t>
                  </w:r>
                </w:p>
              </w:tc>
              <w:tc>
                <w:tcPr>
                  <w:tcW w:w="1260" w:type="pct"/>
                  <w:vAlign w:val="center"/>
                </w:tcPr>
                <w:p w14:paraId="2F1C9EAA">
                  <w:pPr>
                    <w:pStyle w:val="13"/>
                    <w:rPr>
                      <w:rFonts w:cs="Times New Roman"/>
                      <w:b/>
                      <w:bCs/>
                      <w:color w:val="auto"/>
                      <w:sz w:val="18"/>
                      <w:szCs w:val="18"/>
                      <w:highlight w:val="none"/>
                    </w:rPr>
                  </w:pPr>
                  <w:r>
                    <w:rPr>
                      <w:rFonts w:hint="eastAsia" w:cs="Times New Roman"/>
                      <w:b/>
                      <w:bCs/>
                      <w:color w:val="auto"/>
                      <w:sz w:val="18"/>
                      <w:szCs w:val="18"/>
                      <w:highlight w:val="none"/>
                    </w:rPr>
                    <w:t>饲料颗粒（育肥）</w:t>
                  </w:r>
                </w:p>
              </w:tc>
            </w:tr>
            <w:tr w14:paraId="0124F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2" w:type="pct"/>
                  <w:gridSpan w:val="2"/>
                  <w:vMerge w:val="restart"/>
                  <w:vAlign w:val="center"/>
                </w:tcPr>
                <w:p w14:paraId="50F9864D">
                  <w:pPr>
                    <w:pStyle w:val="13"/>
                    <w:rPr>
                      <w:rFonts w:cs="Times New Roman"/>
                      <w:b/>
                      <w:bCs/>
                      <w:color w:val="auto"/>
                      <w:sz w:val="18"/>
                      <w:szCs w:val="18"/>
                      <w:highlight w:val="none"/>
                    </w:rPr>
                  </w:pPr>
                  <w:r>
                    <w:rPr>
                      <w:rFonts w:hint="eastAsia" w:cs="Times New Roman"/>
                      <w:b/>
                      <w:bCs/>
                      <w:color w:val="auto"/>
                      <w:sz w:val="18"/>
                      <w:szCs w:val="18"/>
                      <w:highlight w:val="none"/>
                    </w:rPr>
                    <w:t>质量标准</w:t>
                  </w:r>
                </w:p>
              </w:tc>
              <w:tc>
                <w:tcPr>
                  <w:tcW w:w="1560" w:type="pct"/>
                  <w:gridSpan w:val="3"/>
                  <w:vAlign w:val="center"/>
                </w:tcPr>
                <w:p w14:paraId="4BAF4C84">
                  <w:pPr>
                    <w:pStyle w:val="13"/>
                    <w:rPr>
                      <w:rFonts w:cs="Times New Roman"/>
                      <w:b/>
                      <w:bCs/>
                      <w:color w:val="auto"/>
                      <w:sz w:val="18"/>
                      <w:szCs w:val="18"/>
                      <w:highlight w:val="none"/>
                    </w:rPr>
                  </w:pPr>
                  <w:r>
                    <w:rPr>
                      <w:rFonts w:hint="eastAsia" w:cs="Times New Roman"/>
                      <w:b/>
                      <w:bCs/>
                      <w:color w:val="auto"/>
                      <w:sz w:val="18"/>
                      <w:szCs w:val="18"/>
                      <w:highlight w:val="none"/>
                    </w:rPr>
                    <w:t>水分</w:t>
                  </w:r>
                </w:p>
              </w:tc>
              <w:tc>
                <w:tcPr>
                  <w:tcW w:w="2817" w:type="pct"/>
                  <w:gridSpan w:val="3"/>
                  <w:vAlign w:val="center"/>
                </w:tcPr>
                <w:p w14:paraId="5E990672">
                  <w:pPr>
                    <w:pStyle w:val="13"/>
                    <w:rPr>
                      <w:rFonts w:cs="Times New Roman"/>
                      <w:color w:val="auto"/>
                      <w:sz w:val="18"/>
                      <w:szCs w:val="18"/>
                      <w:highlight w:val="none"/>
                    </w:rPr>
                  </w:pPr>
                  <w:r>
                    <w:rPr>
                      <w:rFonts w:cs="Times New Roman"/>
                      <w:color w:val="auto"/>
                      <w:sz w:val="18"/>
                      <w:szCs w:val="18"/>
                      <w:highlight w:val="none"/>
                    </w:rPr>
                    <w:t>≤14%</w:t>
                  </w:r>
                </w:p>
              </w:tc>
            </w:tr>
            <w:tr w14:paraId="45F30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2" w:type="pct"/>
                  <w:gridSpan w:val="2"/>
                  <w:vMerge w:val="continue"/>
                  <w:vAlign w:val="center"/>
                </w:tcPr>
                <w:p w14:paraId="5729E9A7">
                  <w:pPr>
                    <w:pStyle w:val="13"/>
                    <w:rPr>
                      <w:rFonts w:cs="Times New Roman"/>
                      <w:b/>
                      <w:bCs/>
                      <w:color w:val="auto"/>
                      <w:sz w:val="18"/>
                      <w:szCs w:val="18"/>
                      <w:highlight w:val="none"/>
                    </w:rPr>
                  </w:pPr>
                </w:p>
              </w:tc>
              <w:tc>
                <w:tcPr>
                  <w:tcW w:w="1560" w:type="pct"/>
                  <w:gridSpan w:val="3"/>
                  <w:vAlign w:val="center"/>
                </w:tcPr>
                <w:p w14:paraId="1C98E25F">
                  <w:pPr>
                    <w:pStyle w:val="13"/>
                    <w:rPr>
                      <w:rFonts w:cs="Times New Roman"/>
                      <w:b/>
                      <w:bCs/>
                      <w:color w:val="auto"/>
                      <w:sz w:val="18"/>
                      <w:szCs w:val="18"/>
                      <w:highlight w:val="none"/>
                    </w:rPr>
                  </w:pPr>
                  <w:r>
                    <w:rPr>
                      <w:rFonts w:hint="eastAsia" w:cs="Times New Roman"/>
                      <w:b/>
                      <w:bCs/>
                      <w:color w:val="auto"/>
                      <w:sz w:val="18"/>
                      <w:szCs w:val="18"/>
                      <w:highlight w:val="none"/>
                    </w:rPr>
                    <w:t>成型率</w:t>
                  </w:r>
                </w:p>
              </w:tc>
              <w:tc>
                <w:tcPr>
                  <w:tcW w:w="2817" w:type="pct"/>
                  <w:gridSpan w:val="3"/>
                  <w:vAlign w:val="center"/>
                </w:tcPr>
                <w:p w14:paraId="19393AB4">
                  <w:pPr>
                    <w:pStyle w:val="13"/>
                    <w:rPr>
                      <w:rFonts w:cs="Times New Roman"/>
                      <w:color w:val="auto"/>
                      <w:sz w:val="18"/>
                      <w:szCs w:val="18"/>
                      <w:highlight w:val="none"/>
                    </w:rPr>
                  </w:pPr>
                  <w:r>
                    <w:rPr>
                      <w:rFonts w:cs="Times New Roman"/>
                      <w:color w:val="auto"/>
                      <w:sz w:val="18"/>
                      <w:szCs w:val="18"/>
                      <w:highlight w:val="none"/>
                    </w:rPr>
                    <w:t>≥90%</w:t>
                  </w:r>
                </w:p>
              </w:tc>
            </w:tr>
            <w:tr w14:paraId="634E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2" w:type="pct"/>
                  <w:gridSpan w:val="2"/>
                  <w:vMerge w:val="continue"/>
                  <w:vAlign w:val="center"/>
                </w:tcPr>
                <w:p w14:paraId="548611DC">
                  <w:pPr>
                    <w:pStyle w:val="13"/>
                    <w:rPr>
                      <w:rFonts w:cs="Times New Roman"/>
                      <w:b/>
                      <w:bCs/>
                      <w:color w:val="auto"/>
                      <w:sz w:val="18"/>
                      <w:szCs w:val="18"/>
                      <w:highlight w:val="none"/>
                    </w:rPr>
                  </w:pPr>
                </w:p>
              </w:tc>
              <w:tc>
                <w:tcPr>
                  <w:tcW w:w="1560" w:type="pct"/>
                  <w:gridSpan w:val="3"/>
                  <w:vAlign w:val="center"/>
                </w:tcPr>
                <w:p w14:paraId="09A5F96D">
                  <w:pPr>
                    <w:pStyle w:val="13"/>
                    <w:rPr>
                      <w:rFonts w:cs="Times New Roman"/>
                      <w:b/>
                      <w:bCs/>
                      <w:color w:val="auto"/>
                      <w:sz w:val="18"/>
                      <w:szCs w:val="18"/>
                      <w:highlight w:val="none"/>
                    </w:rPr>
                  </w:pPr>
                  <w:r>
                    <w:rPr>
                      <w:rFonts w:hint="eastAsia" w:cs="Times New Roman"/>
                      <w:b/>
                      <w:bCs/>
                      <w:color w:val="auto"/>
                      <w:sz w:val="18"/>
                      <w:szCs w:val="18"/>
                      <w:highlight w:val="none"/>
                    </w:rPr>
                    <w:t>硬度</w:t>
                  </w:r>
                </w:p>
              </w:tc>
              <w:tc>
                <w:tcPr>
                  <w:tcW w:w="2817" w:type="pct"/>
                  <w:gridSpan w:val="3"/>
                  <w:vAlign w:val="center"/>
                </w:tcPr>
                <w:p w14:paraId="089F467E">
                  <w:pPr>
                    <w:pStyle w:val="13"/>
                    <w:rPr>
                      <w:rFonts w:cs="Times New Roman"/>
                      <w:color w:val="auto"/>
                      <w:sz w:val="18"/>
                      <w:szCs w:val="18"/>
                      <w:highlight w:val="none"/>
                    </w:rPr>
                  </w:pPr>
                  <w:r>
                    <w:rPr>
                      <w:rFonts w:cs="Times New Roman"/>
                      <w:color w:val="auto"/>
                      <w:sz w:val="18"/>
                      <w:szCs w:val="18"/>
                      <w:highlight w:val="none"/>
                    </w:rPr>
                    <w:t>80–120N</w:t>
                  </w:r>
                </w:p>
              </w:tc>
            </w:tr>
            <w:tr w14:paraId="33E9D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2" w:type="pct"/>
                  <w:gridSpan w:val="2"/>
                  <w:vMerge w:val="continue"/>
                  <w:vAlign w:val="center"/>
                </w:tcPr>
                <w:p w14:paraId="0F63FF23">
                  <w:pPr>
                    <w:pStyle w:val="13"/>
                    <w:rPr>
                      <w:rFonts w:cs="Times New Roman"/>
                      <w:b/>
                      <w:bCs/>
                      <w:color w:val="auto"/>
                      <w:sz w:val="18"/>
                      <w:szCs w:val="18"/>
                      <w:highlight w:val="none"/>
                    </w:rPr>
                  </w:pPr>
                </w:p>
              </w:tc>
              <w:tc>
                <w:tcPr>
                  <w:tcW w:w="1560" w:type="pct"/>
                  <w:gridSpan w:val="3"/>
                  <w:vAlign w:val="center"/>
                </w:tcPr>
                <w:p w14:paraId="11FDF8F1">
                  <w:pPr>
                    <w:pStyle w:val="13"/>
                    <w:rPr>
                      <w:rFonts w:cs="Times New Roman"/>
                      <w:b/>
                      <w:bCs/>
                      <w:color w:val="auto"/>
                      <w:sz w:val="18"/>
                      <w:szCs w:val="18"/>
                      <w:highlight w:val="none"/>
                    </w:rPr>
                  </w:pPr>
                  <w:r>
                    <w:rPr>
                      <w:rFonts w:hint="eastAsia" w:cs="Times New Roman"/>
                      <w:b/>
                      <w:bCs/>
                      <w:color w:val="auto"/>
                      <w:sz w:val="18"/>
                      <w:szCs w:val="18"/>
                      <w:highlight w:val="none"/>
                    </w:rPr>
                    <w:t>粉化率</w:t>
                  </w:r>
                </w:p>
              </w:tc>
              <w:tc>
                <w:tcPr>
                  <w:tcW w:w="2817" w:type="pct"/>
                  <w:gridSpan w:val="3"/>
                  <w:vAlign w:val="center"/>
                </w:tcPr>
                <w:p w14:paraId="3EE39EB9">
                  <w:pPr>
                    <w:pStyle w:val="13"/>
                    <w:rPr>
                      <w:rFonts w:cs="Times New Roman"/>
                      <w:color w:val="auto"/>
                      <w:sz w:val="18"/>
                      <w:szCs w:val="18"/>
                      <w:highlight w:val="none"/>
                    </w:rPr>
                  </w:pPr>
                  <w:r>
                    <w:rPr>
                      <w:rFonts w:cs="Times New Roman"/>
                      <w:color w:val="auto"/>
                      <w:sz w:val="18"/>
                      <w:szCs w:val="18"/>
                      <w:highlight w:val="none"/>
                    </w:rPr>
                    <w:t>≤12%</w:t>
                  </w:r>
                </w:p>
              </w:tc>
            </w:tr>
            <w:tr w14:paraId="6DAD4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2" w:type="pct"/>
                  <w:gridSpan w:val="2"/>
                  <w:vMerge w:val="continue"/>
                  <w:vAlign w:val="center"/>
                </w:tcPr>
                <w:p w14:paraId="796F5226">
                  <w:pPr>
                    <w:pStyle w:val="13"/>
                    <w:rPr>
                      <w:rFonts w:cs="Times New Roman"/>
                      <w:b/>
                      <w:bCs/>
                      <w:color w:val="auto"/>
                      <w:sz w:val="18"/>
                      <w:szCs w:val="18"/>
                      <w:highlight w:val="none"/>
                    </w:rPr>
                  </w:pPr>
                </w:p>
              </w:tc>
              <w:tc>
                <w:tcPr>
                  <w:tcW w:w="1560" w:type="pct"/>
                  <w:gridSpan w:val="3"/>
                  <w:vAlign w:val="center"/>
                </w:tcPr>
                <w:p w14:paraId="64F18B57">
                  <w:pPr>
                    <w:pStyle w:val="13"/>
                    <w:rPr>
                      <w:rFonts w:cs="Times New Roman"/>
                      <w:b/>
                      <w:bCs/>
                      <w:color w:val="auto"/>
                      <w:sz w:val="18"/>
                      <w:szCs w:val="18"/>
                      <w:highlight w:val="none"/>
                    </w:rPr>
                  </w:pPr>
                  <w:r>
                    <w:rPr>
                      <w:rFonts w:hint="eastAsia" w:cs="Times New Roman"/>
                      <w:b/>
                      <w:bCs/>
                      <w:color w:val="auto"/>
                      <w:sz w:val="18"/>
                      <w:szCs w:val="18"/>
                      <w:highlight w:val="none"/>
                    </w:rPr>
                    <w:t>颗粒密度</w:t>
                  </w:r>
                </w:p>
              </w:tc>
              <w:tc>
                <w:tcPr>
                  <w:tcW w:w="2817" w:type="pct"/>
                  <w:gridSpan w:val="3"/>
                  <w:vAlign w:val="center"/>
                </w:tcPr>
                <w:p w14:paraId="1785A755">
                  <w:pPr>
                    <w:pStyle w:val="13"/>
                    <w:rPr>
                      <w:rFonts w:cs="Times New Roman"/>
                      <w:color w:val="auto"/>
                      <w:sz w:val="18"/>
                      <w:szCs w:val="18"/>
                      <w:highlight w:val="none"/>
                    </w:rPr>
                  </w:pPr>
                  <w:r>
                    <w:rPr>
                      <w:rFonts w:cs="Times New Roman"/>
                      <w:color w:val="auto"/>
                      <w:sz w:val="18"/>
                      <w:szCs w:val="18"/>
                      <w:highlight w:val="none"/>
                    </w:rPr>
                    <w:t>0.4–0.6g/cm³</w:t>
                  </w:r>
                </w:p>
              </w:tc>
            </w:tr>
            <w:tr w14:paraId="73E80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2" w:type="pct"/>
                  <w:gridSpan w:val="2"/>
                  <w:vMerge w:val="continue"/>
                  <w:vAlign w:val="center"/>
                </w:tcPr>
                <w:p w14:paraId="498ED26D">
                  <w:pPr>
                    <w:pStyle w:val="13"/>
                    <w:rPr>
                      <w:rFonts w:cs="Times New Roman"/>
                      <w:b/>
                      <w:bCs/>
                      <w:color w:val="auto"/>
                      <w:sz w:val="18"/>
                      <w:szCs w:val="18"/>
                      <w:highlight w:val="none"/>
                    </w:rPr>
                  </w:pPr>
                </w:p>
              </w:tc>
              <w:tc>
                <w:tcPr>
                  <w:tcW w:w="1560" w:type="pct"/>
                  <w:gridSpan w:val="3"/>
                  <w:vAlign w:val="center"/>
                </w:tcPr>
                <w:p w14:paraId="54A76EA6">
                  <w:pPr>
                    <w:pStyle w:val="13"/>
                    <w:rPr>
                      <w:rFonts w:cs="Times New Roman"/>
                      <w:b/>
                      <w:bCs/>
                      <w:color w:val="auto"/>
                      <w:sz w:val="18"/>
                      <w:szCs w:val="18"/>
                      <w:highlight w:val="none"/>
                    </w:rPr>
                  </w:pPr>
                  <w:r>
                    <w:rPr>
                      <w:rFonts w:hint="eastAsia" w:cs="Times New Roman"/>
                      <w:b/>
                      <w:bCs/>
                      <w:color w:val="auto"/>
                      <w:sz w:val="18"/>
                      <w:szCs w:val="18"/>
                      <w:highlight w:val="none"/>
                    </w:rPr>
                    <w:t>黄曲霉毒素B₁</w:t>
                  </w:r>
                </w:p>
              </w:tc>
              <w:tc>
                <w:tcPr>
                  <w:tcW w:w="2817" w:type="pct"/>
                  <w:gridSpan w:val="3"/>
                  <w:vAlign w:val="center"/>
                </w:tcPr>
                <w:p w14:paraId="39416F38">
                  <w:pPr>
                    <w:pStyle w:val="13"/>
                    <w:rPr>
                      <w:rFonts w:cs="Times New Roman"/>
                      <w:color w:val="auto"/>
                      <w:sz w:val="18"/>
                      <w:szCs w:val="18"/>
                      <w:highlight w:val="none"/>
                    </w:rPr>
                  </w:pPr>
                  <w:r>
                    <w:rPr>
                      <w:rFonts w:cs="Times New Roman"/>
                      <w:color w:val="auto"/>
                      <w:sz w:val="18"/>
                      <w:szCs w:val="18"/>
                      <w:highlight w:val="none"/>
                    </w:rPr>
                    <w:t>≤20μg/kg</w:t>
                  </w:r>
                </w:p>
              </w:tc>
            </w:tr>
            <w:tr w14:paraId="64213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2" w:type="pct"/>
                  <w:gridSpan w:val="2"/>
                  <w:vMerge w:val="continue"/>
                  <w:vAlign w:val="center"/>
                </w:tcPr>
                <w:p w14:paraId="21FC3B16">
                  <w:pPr>
                    <w:pStyle w:val="13"/>
                    <w:rPr>
                      <w:rFonts w:cs="Times New Roman"/>
                      <w:b/>
                      <w:bCs/>
                      <w:color w:val="auto"/>
                      <w:sz w:val="18"/>
                      <w:szCs w:val="18"/>
                      <w:highlight w:val="none"/>
                    </w:rPr>
                  </w:pPr>
                </w:p>
              </w:tc>
              <w:tc>
                <w:tcPr>
                  <w:tcW w:w="1560" w:type="pct"/>
                  <w:gridSpan w:val="3"/>
                  <w:vAlign w:val="center"/>
                </w:tcPr>
                <w:p w14:paraId="22E1D1AB">
                  <w:pPr>
                    <w:pStyle w:val="13"/>
                    <w:rPr>
                      <w:rFonts w:cs="Times New Roman"/>
                      <w:b/>
                      <w:bCs/>
                      <w:color w:val="auto"/>
                      <w:sz w:val="18"/>
                      <w:szCs w:val="18"/>
                      <w:highlight w:val="none"/>
                    </w:rPr>
                  </w:pPr>
                  <w:r>
                    <w:rPr>
                      <w:rFonts w:hint="eastAsia" w:cs="Times New Roman"/>
                      <w:b/>
                      <w:bCs/>
                      <w:color w:val="auto"/>
                      <w:sz w:val="18"/>
                      <w:szCs w:val="18"/>
                      <w:highlight w:val="none"/>
                    </w:rPr>
                    <w:t>铅（Pb）</w:t>
                  </w:r>
                </w:p>
              </w:tc>
              <w:tc>
                <w:tcPr>
                  <w:tcW w:w="2817" w:type="pct"/>
                  <w:gridSpan w:val="3"/>
                  <w:vAlign w:val="center"/>
                </w:tcPr>
                <w:p w14:paraId="6233FCF2">
                  <w:pPr>
                    <w:pStyle w:val="13"/>
                    <w:rPr>
                      <w:rFonts w:cs="Times New Roman"/>
                      <w:color w:val="auto"/>
                      <w:sz w:val="18"/>
                      <w:szCs w:val="18"/>
                      <w:highlight w:val="none"/>
                    </w:rPr>
                  </w:pPr>
                  <w:r>
                    <w:rPr>
                      <w:rFonts w:cs="Times New Roman"/>
                      <w:color w:val="auto"/>
                      <w:sz w:val="18"/>
                      <w:szCs w:val="18"/>
                      <w:highlight w:val="none"/>
                    </w:rPr>
                    <w:t>≤5mg/kg</w:t>
                  </w:r>
                </w:p>
              </w:tc>
            </w:tr>
            <w:tr w14:paraId="5BB54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2" w:type="pct"/>
                  <w:gridSpan w:val="2"/>
                  <w:vMerge w:val="continue"/>
                  <w:vAlign w:val="center"/>
                </w:tcPr>
                <w:p w14:paraId="3509B2BA">
                  <w:pPr>
                    <w:pStyle w:val="13"/>
                    <w:rPr>
                      <w:rFonts w:cs="Times New Roman"/>
                      <w:b/>
                      <w:bCs/>
                      <w:color w:val="auto"/>
                      <w:sz w:val="18"/>
                      <w:szCs w:val="18"/>
                      <w:highlight w:val="none"/>
                    </w:rPr>
                  </w:pPr>
                </w:p>
              </w:tc>
              <w:tc>
                <w:tcPr>
                  <w:tcW w:w="1560" w:type="pct"/>
                  <w:gridSpan w:val="3"/>
                  <w:vAlign w:val="center"/>
                </w:tcPr>
                <w:p w14:paraId="38FC7A96">
                  <w:pPr>
                    <w:pStyle w:val="13"/>
                    <w:rPr>
                      <w:rFonts w:cs="Times New Roman"/>
                      <w:b/>
                      <w:bCs/>
                      <w:color w:val="auto"/>
                      <w:sz w:val="18"/>
                      <w:szCs w:val="18"/>
                      <w:highlight w:val="none"/>
                    </w:rPr>
                  </w:pPr>
                  <w:r>
                    <w:rPr>
                      <w:rFonts w:hint="eastAsia" w:cs="Times New Roman"/>
                      <w:b/>
                      <w:bCs/>
                      <w:color w:val="auto"/>
                      <w:sz w:val="18"/>
                      <w:szCs w:val="18"/>
                      <w:highlight w:val="none"/>
                    </w:rPr>
                    <w:t>镉（Cd）</w:t>
                  </w:r>
                </w:p>
              </w:tc>
              <w:tc>
                <w:tcPr>
                  <w:tcW w:w="2817" w:type="pct"/>
                  <w:gridSpan w:val="3"/>
                  <w:vAlign w:val="center"/>
                </w:tcPr>
                <w:p w14:paraId="0EE474AB">
                  <w:pPr>
                    <w:pStyle w:val="13"/>
                    <w:rPr>
                      <w:rFonts w:cs="Times New Roman"/>
                      <w:color w:val="auto"/>
                      <w:sz w:val="18"/>
                      <w:szCs w:val="18"/>
                      <w:highlight w:val="none"/>
                    </w:rPr>
                  </w:pPr>
                  <w:r>
                    <w:rPr>
                      <w:rFonts w:cs="Times New Roman"/>
                      <w:color w:val="auto"/>
                      <w:sz w:val="18"/>
                      <w:szCs w:val="18"/>
                      <w:highlight w:val="none"/>
                    </w:rPr>
                    <w:t>≤0.5mg/kg</w:t>
                  </w:r>
                </w:p>
              </w:tc>
            </w:tr>
            <w:tr w14:paraId="6E114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2" w:type="pct"/>
                  <w:gridSpan w:val="2"/>
                  <w:vMerge w:val="continue"/>
                  <w:vAlign w:val="center"/>
                </w:tcPr>
                <w:p w14:paraId="03E03D16">
                  <w:pPr>
                    <w:pStyle w:val="13"/>
                    <w:rPr>
                      <w:rFonts w:cs="Times New Roman"/>
                      <w:b/>
                      <w:bCs/>
                      <w:color w:val="auto"/>
                      <w:sz w:val="18"/>
                      <w:szCs w:val="18"/>
                      <w:highlight w:val="none"/>
                    </w:rPr>
                  </w:pPr>
                </w:p>
              </w:tc>
              <w:tc>
                <w:tcPr>
                  <w:tcW w:w="1560" w:type="pct"/>
                  <w:gridSpan w:val="3"/>
                  <w:vAlign w:val="center"/>
                </w:tcPr>
                <w:p w14:paraId="2AEF5906">
                  <w:pPr>
                    <w:pStyle w:val="13"/>
                    <w:rPr>
                      <w:rFonts w:cs="Times New Roman"/>
                      <w:b/>
                      <w:bCs/>
                      <w:color w:val="auto"/>
                      <w:sz w:val="18"/>
                      <w:szCs w:val="18"/>
                      <w:highlight w:val="none"/>
                    </w:rPr>
                  </w:pPr>
                  <w:r>
                    <w:rPr>
                      <w:rFonts w:hint="eastAsia" w:cs="Times New Roman"/>
                      <w:b/>
                      <w:bCs/>
                      <w:color w:val="auto"/>
                      <w:sz w:val="18"/>
                      <w:szCs w:val="18"/>
                      <w:highlight w:val="none"/>
                    </w:rPr>
                    <w:t>沙门氏菌</w:t>
                  </w:r>
                </w:p>
              </w:tc>
              <w:tc>
                <w:tcPr>
                  <w:tcW w:w="2817" w:type="pct"/>
                  <w:gridSpan w:val="3"/>
                  <w:vAlign w:val="center"/>
                </w:tcPr>
                <w:p w14:paraId="64112028">
                  <w:pPr>
                    <w:pStyle w:val="13"/>
                    <w:rPr>
                      <w:rFonts w:cs="Times New Roman"/>
                      <w:color w:val="auto"/>
                      <w:sz w:val="18"/>
                      <w:szCs w:val="18"/>
                      <w:highlight w:val="none"/>
                    </w:rPr>
                  </w:pPr>
                  <w:r>
                    <w:rPr>
                      <w:rFonts w:cs="Times New Roman"/>
                      <w:color w:val="auto"/>
                      <w:sz w:val="18"/>
                      <w:szCs w:val="18"/>
                      <w:highlight w:val="none"/>
                    </w:rPr>
                    <w:t>不得检出</w:t>
                  </w:r>
                </w:p>
              </w:tc>
            </w:tr>
            <w:tr w14:paraId="3C648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2" w:type="pct"/>
                  <w:gridSpan w:val="2"/>
                  <w:vMerge w:val="continue"/>
                  <w:vAlign w:val="center"/>
                </w:tcPr>
                <w:p w14:paraId="548AC0F1">
                  <w:pPr>
                    <w:pStyle w:val="13"/>
                    <w:rPr>
                      <w:rFonts w:cs="Times New Roman"/>
                      <w:b/>
                      <w:bCs/>
                      <w:color w:val="auto"/>
                      <w:sz w:val="18"/>
                      <w:szCs w:val="18"/>
                      <w:highlight w:val="none"/>
                    </w:rPr>
                  </w:pPr>
                </w:p>
              </w:tc>
              <w:tc>
                <w:tcPr>
                  <w:tcW w:w="1560" w:type="pct"/>
                  <w:gridSpan w:val="3"/>
                  <w:vAlign w:val="center"/>
                </w:tcPr>
                <w:p w14:paraId="71E1BE99">
                  <w:pPr>
                    <w:pStyle w:val="13"/>
                    <w:rPr>
                      <w:rFonts w:cs="Times New Roman"/>
                      <w:b/>
                      <w:bCs/>
                      <w:color w:val="auto"/>
                      <w:sz w:val="18"/>
                      <w:szCs w:val="18"/>
                      <w:highlight w:val="none"/>
                    </w:rPr>
                  </w:pPr>
                  <w:r>
                    <w:rPr>
                      <w:rFonts w:hint="eastAsia" w:cs="Times New Roman"/>
                      <w:b/>
                      <w:bCs/>
                      <w:color w:val="auto"/>
                      <w:sz w:val="18"/>
                      <w:szCs w:val="18"/>
                      <w:highlight w:val="none"/>
                    </w:rPr>
                    <w:t>大肠杆菌</w:t>
                  </w:r>
                </w:p>
              </w:tc>
              <w:tc>
                <w:tcPr>
                  <w:tcW w:w="2817" w:type="pct"/>
                  <w:gridSpan w:val="3"/>
                  <w:vAlign w:val="center"/>
                </w:tcPr>
                <w:p w14:paraId="772E2E6D">
                  <w:pPr>
                    <w:pStyle w:val="13"/>
                    <w:rPr>
                      <w:rFonts w:cs="Times New Roman"/>
                      <w:color w:val="auto"/>
                      <w:sz w:val="18"/>
                      <w:szCs w:val="18"/>
                      <w:highlight w:val="none"/>
                    </w:rPr>
                  </w:pPr>
                  <w:r>
                    <w:rPr>
                      <w:rFonts w:cs="Times New Roman"/>
                      <w:color w:val="auto"/>
                      <w:sz w:val="18"/>
                      <w:szCs w:val="18"/>
                      <w:highlight w:val="none"/>
                    </w:rPr>
                    <w:t>≤10CFU/g</w:t>
                  </w:r>
                </w:p>
              </w:tc>
            </w:tr>
            <w:tr w14:paraId="3EFC7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2" w:type="pct"/>
                  <w:gridSpan w:val="2"/>
                  <w:vMerge w:val="restart"/>
                  <w:vAlign w:val="center"/>
                </w:tcPr>
                <w:p w14:paraId="799F68EB">
                  <w:pPr>
                    <w:pStyle w:val="13"/>
                    <w:rPr>
                      <w:rFonts w:cs="Times New Roman"/>
                      <w:b/>
                      <w:bCs/>
                      <w:color w:val="auto"/>
                      <w:sz w:val="18"/>
                      <w:szCs w:val="18"/>
                      <w:highlight w:val="none"/>
                    </w:rPr>
                  </w:pPr>
                  <w:r>
                    <w:rPr>
                      <w:rFonts w:hint="eastAsia" w:cs="Times New Roman"/>
                      <w:b/>
                      <w:bCs/>
                      <w:color w:val="auto"/>
                      <w:sz w:val="18"/>
                      <w:szCs w:val="18"/>
                      <w:highlight w:val="none"/>
                    </w:rPr>
                    <w:t>营养标准</w:t>
                  </w:r>
                </w:p>
              </w:tc>
              <w:tc>
                <w:tcPr>
                  <w:tcW w:w="1560" w:type="pct"/>
                  <w:gridSpan w:val="3"/>
                  <w:vAlign w:val="center"/>
                </w:tcPr>
                <w:p w14:paraId="5EB84754">
                  <w:pPr>
                    <w:pStyle w:val="13"/>
                    <w:rPr>
                      <w:rFonts w:cs="Times New Roman"/>
                      <w:b/>
                      <w:bCs/>
                      <w:color w:val="auto"/>
                      <w:sz w:val="18"/>
                      <w:szCs w:val="18"/>
                      <w:highlight w:val="none"/>
                    </w:rPr>
                  </w:pPr>
                  <w:r>
                    <w:rPr>
                      <w:rFonts w:hint="eastAsia" w:cs="Times New Roman"/>
                      <w:b/>
                      <w:bCs/>
                      <w:color w:val="auto"/>
                      <w:sz w:val="18"/>
                      <w:szCs w:val="18"/>
                      <w:highlight w:val="none"/>
                    </w:rPr>
                    <w:t>粗蛋白（CP）</w:t>
                  </w:r>
                </w:p>
              </w:tc>
              <w:tc>
                <w:tcPr>
                  <w:tcW w:w="1559" w:type="pct"/>
                  <w:gridSpan w:val="2"/>
                  <w:vAlign w:val="center"/>
                </w:tcPr>
                <w:p w14:paraId="1FA8A67D">
                  <w:pPr>
                    <w:pStyle w:val="13"/>
                    <w:rPr>
                      <w:rFonts w:cs="Times New Roman"/>
                      <w:color w:val="auto"/>
                      <w:sz w:val="18"/>
                      <w:szCs w:val="18"/>
                      <w:highlight w:val="none"/>
                    </w:rPr>
                  </w:pPr>
                  <w:r>
                    <w:rPr>
                      <w:rFonts w:hint="eastAsia" w:cs="Times New Roman"/>
                      <w:color w:val="auto"/>
                      <w:sz w:val="18"/>
                      <w:szCs w:val="18"/>
                      <w:highlight w:val="none"/>
                    </w:rPr>
                    <w:t>≥5%</w:t>
                  </w:r>
                </w:p>
              </w:tc>
              <w:tc>
                <w:tcPr>
                  <w:tcW w:w="1258" w:type="pct"/>
                  <w:vAlign w:val="center"/>
                </w:tcPr>
                <w:p w14:paraId="18AE70CA">
                  <w:pPr>
                    <w:pStyle w:val="13"/>
                    <w:rPr>
                      <w:rFonts w:cs="Times New Roman"/>
                      <w:color w:val="auto"/>
                      <w:sz w:val="18"/>
                      <w:szCs w:val="18"/>
                      <w:highlight w:val="none"/>
                    </w:rPr>
                  </w:pPr>
                  <w:r>
                    <w:rPr>
                      <w:rFonts w:hint="eastAsia" w:cs="Times New Roman"/>
                      <w:color w:val="auto"/>
                      <w:sz w:val="18"/>
                      <w:szCs w:val="18"/>
                      <w:highlight w:val="none"/>
                    </w:rPr>
                    <w:t>≥8%</w:t>
                  </w:r>
                </w:p>
              </w:tc>
            </w:tr>
            <w:tr w14:paraId="1AACE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2" w:type="pct"/>
                  <w:gridSpan w:val="2"/>
                  <w:vMerge w:val="continue"/>
                  <w:vAlign w:val="center"/>
                </w:tcPr>
                <w:p w14:paraId="17A045FD">
                  <w:pPr>
                    <w:pStyle w:val="13"/>
                    <w:rPr>
                      <w:rFonts w:cs="Times New Roman"/>
                      <w:b/>
                      <w:bCs/>
                      <w:color w:val="auto"/>
                      <w:sz w:val="18"/>
                      <w:szCs w:val="18"/>
                      <w:highlight w:val="none"/>
                    </w:rPr>
                  </w:pPr>
                </w:p>
              </w:tc>
              <w:tc>
                <w:tcPr>
                  <w:tcW w:w="1560" w:type="pct"/>
                  <w:gridSpan w:val="3"/>
                  <w:vAlign w:val="center"/>
                </w:tcPr>
                <w:p w14:paraId="5A33E14F">
                  <w:pPr>
                    <w:pStyle w:val="13"/>
                    <w:rPr>
                      <w:rFonts w:cs="Times New Roman"/>
                      <w:b/>
                      <w:bCs/>
                      <w:color w:val="auto"/>
                      <w:sz w:val="18"/>
                      <w:szCs w:val="18"/>
                      <w:highlight w:val="none"/>
                    </w:rPr>
                  </w:pPr>
                  <w:r>
                    <w:rPr>
                      <w:rFonts w:hint="eastAsia" w:cs="Times New Roman"/>
                      <w:b/>
                      <w:bCs/>
                      <w:color w:val="auto"/>
                      <w:sz w:val="18"/>
                      <w:szCs w:val="18"/>
                      <w:highlight w:val="none"/>
                    </w:rPr>
                    <w:t>粗纤维（CF）</w:t>
                  </w:r>
                </w:p>
              </w:tc>
              <w:tc>
                <w:tcPr>
                  <w:tcW w:w="1559" w:type="pct"/>
                  <w:gridSpan w:val="2"/>
                  <w:vAlign w:val="center"/>
                </w:tcPr>
                <w:p w14:paraId="34B12942">
                  <w:pPr>
                    <w:pStyle w:val="13"/>
                    <w:rPr>
                      <w:rFonts w:cs="Times New Roman"/>
                      <w:color w:val="auto"/>
                      <w:sz w:val="18"/>
                      <w:szCs w:val="18"/>
                      <w:highlight w:val="none"/>
                    </w:rPr>
                  </w:pPr>
                  <w:r>
                    <w:rPr>
                      <w:rFonts w:hint="eastAsia" w:cs="Times New Roman"/>
                      <w:color w:val="auto"/>
                      <w:sz w:val="18"/>
                      <w:szCs w:val="18"/>
                      <w:highlight w:val="none"/>
                    </w:rPr>
                    <w:t>≤38%</w:t>
                  </w:r>
                </w:p>
              </w:tc>
              <w:tc>
                <w:tcPr>
                  <w:tcW w:w="1258" w:type="pct"/>
                  <w:vAlign w:val="center"/>
                </w:tcPr>
                <w:p w14:paraId="5690220F">
                  <w:pPr>
                    <w:pStyle w:val="13"/>
                    <w:rPr>
                      <w:rFonts w:cs="Times New Roman"/>
                      <w:color w:val="auto"/>
                      <w:sz w:val="18"/>
                      <w:szCs w:val="18"/>
                      <w:highlight w:val="none"/>
                    </w:rPr>
                  </w:pPr>
                  <w:r>
                    <w:rPr>
                      <w:rFonts w:hint="eastAsia" w:cs="Times New Roman"/>
                      <w:color w:val="auto"/>
                      <w:sz w:val="18"/>
                      <w:szCs w:val="18"/>
                      <w:highlight w:val="none"/>
                    </w:rPr>
                    <w:t>≤35%</w:t>
                  </w:r>
                </w:p>
              </w:tc>
            </w:tr>
            <w:tr w14:paraId="31051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2" w:type="pct"/>
                  <w:gridSpan w:val="2"/>
                  <w:vMerge w:val="continue"/>
                  <w:vAlign w:val="center"/>
                </w:tcPr>
                <w:p w14:paraId="3E2ADE77">
                  <w:pPr>
                    <w:pStyle w:val="13"/>
                    <w:rPr>
                      <w:rFonts w:cs="Times New Roman"/>
                      <w:b/>
                      <w:bCs/>
                      <w:color w:val="auto"/>
                      <w:sz w:val="18"/>
                      <w:szCs w:val="18"/>
                      <w:highlight w:val="none"/>
                    </w:rPr>
                  </w:pPr>
                </w:p>
              </w:tc>
              <w:tc>
                <w:tcPr>
                  <w:tcW w:w="1560" w:type="pct"/>
                  <w:gridSpan w:val="3"/>
                  <w:vAlign w:val="center"/>
                </w:tcPr>
                <w:p w14:paraId="3874CC0E">
                  <w:pPr>
                    <w:pStyle w:val="13"/>
                    <w:rPr>
                      <w:rFonts w:cs="Times New Roman"/>
                      <w:b/>
                      <w:bCs/>
                      <w:color w:val="auto"/>
                      <w:sz w:val="18"/>
                      <w:szCs w:val="18"/>
                      <w:highlight w:val="none"/>
                    </w:rPr>
                  </w:pPr>
                  <w:r>
                    <w:rPr>
                      <w:rFonts w:hint="eastAsia" w:cs="Times New Roman"/>
                      <w:b/>
                      <w:bCs/>
                      <w:color w:val="auto"/>
                      <w:sz w:val="18"/>
                      <w:szCs w:val="18"/>
                      <w:highlight w:val="none"/>
                    </w:rPr>
                    <w:t>中性洗涤纤维（NDF）</w:t>
                  </w:r>
                </w:p>
              </w:tc>
              <w:tc>
                <w:tcPr>
                  <w:tcW w:w="1559" w:type="pct"/>
                  <w:gridSpan w:val="2"/>
                  <w:vAlign w:val="center"/>
                </w:tcPr>
                <w:p w14:paraId="02330497">
                  <w:pPr>
                    <w:pStyle w:val="13"/>
                    <w:rPr>
                      <w:rFonts w:cs="Times New Roman"/>
                      <w:color w:val="auto"/>
                      <w:sz w:val="18"/>
                      <w:szCs w:val="18"/>
                      <w:highlight w:val="none"/>
                    </w:rPr>
                  </w:pPr>
                  <w:r>
                    <w:rPr>
                      <w:rFonts w:hint="eastAsia" w:cs="Times New Roman"/>
                      <w:color w:val="auto"/>
                      <w:sz w:val="18"/>
                      <w:szCs w:val="18"/>
                      <w:highlight w:val="none"/>
                    </w:rPr>
                    <w:t>≤65%</w:t>
                  </w:r>
                </w:p>
              </w:tc>
              <w:tc>
                <w:tcPr>
                  <w:tcW w:w="1258" w:type="pct"/>
                  <w:vAlign w:val="center"/>
                </w:tcPr>
                <w:p w14:paraId="458AE24B">
                  <w:pPr>
                    <w:pStyle w:val="13"/>
                    <w:rPr>
                      <w:rFonts w:cs="Times New Roman"/>
                      <w:color w:val="auto"/>
                      <w:sz w:val="18"/>
                      <w:szCs w:val="18"/>
                      <w:highlight w:val="none"/>
                    </w:rPr>
                  </w:pPr>
                  <w:r>
                    <w:rPr>
                      <w:rFonts w:hint="eastAsia" w:cs="Times New Roman"/>
                      <w:color w:val="auto"/>
                      <w:sz w:val="18"/>
                      <w:szCs w:val="18"/>
                      <w:highlight w:val="none"/>
                    </w:rPr>
                    <w:t>≤60%</w:t>
                  </w:r>
                </w:p>
              </w:tc>
            </w:tr>
            <w:tr w14:paraId="37A93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2" w:type="pct"/>
                  <w:gridSpan w:val="2"/>
                  <w:vMerge w:val="continue"/>
                  <w:vAlign w:val="center"/>
                </w:tcPr>
                <w:p w14:paraId="3034E65F">
                  <w:pPr>
                    <w:pStyle w:val="13"/>
                    <w:rPr>
                      <w:rFonts w:cs="Times New Roman"/>
                      <w:b/>
                      <w:bCs/>
                      <w:color w:val="auto"/>
                      <w:sz w:val="18"/>
                      <w:szCs w:val="18"/>
                      <w:highlight w:val="none"/>
                    </w:rPr>
                  </w:pPr>
                </w:p>
              </w:tc>
              <w:tc>
                <w:tcPr>
                  <w:tcW w:w="1560" w:type="pct"/>
                  <w:gridSpan w:val="3"/>
                  <w:vAlign w:val="center"/>
                </w:tcPr>
                <w:p w14:paraId="4B3D98B6">
                  <w:pPr>
                    <w:pStyle w:val="13"/>
                    <w:rPr>
                      <w:rFonts w:cs="Times New Roman"/>
                      <w:b/>
                      <w:bCs/>
                      <w:color w:val="auto"/>
                      <w:sz w:val="18"/>
                      <w:szCs w:val="18"/>
                      <w:highlight w:val="none"/>
                    </w:rPr>
                  </w:pPr>
                  <w:r>
                    <w:rPr>
                      <w:rFonts w:hint="eastAsia" w:cs="Times New Roman"/>
                      <w:b/>
                      <w:bCs/>
                      <w:color w:val="auto"/>
                      <w:sz w:val="18"/>
                      <w:szCs w:val="18"/>
                      <w:highlight w:val="none"/>
                    </w:rPr>
                    <w:t>粗灰分</w:t>
                  </w:r>
                </w:p>
              </w:tc>
              <w:tc>
                <w:tcPr>
                  <w:tcW w:w="1559" w:type="pct"/>
                  <w:gridSpan w:val="2"/>
                  <w:vAlign w:val="center"/>
                </w:tcPr>
                <w:p w14:paraId="2EC2DABF">
                  <w:pPr>
                    <w:pStyle w:val="13"/>
                    <w:rPr>
                      <w:rFonts w:cs="Times New Roman"/>
                      <w:color w:val="auto"/>
                      <w:sz w:val="18"/>
                      <w:szCs w:val="18"/>
                      <w:highlight w:val="none"/>
                    </w:rPr>
                  </w:pPr>
                  <w:r>
                    <w:rPr>
                      <w:rFonts w:hint="eastAsia" w:cs="Times New Roman"/>
                      <w:color w:val="auto"/>
                      <w:sz w:val="18"/>
                      <w:szCs w:val="18"/>
                      <w:highlight w:val="none"/>
                    </w:rPr>
                    <w:t>≤11%</w:t>
                  </w:r>
                </w:p>
              </w:tc>
              <w:tc>
                <w:tcPr>
                  <w:tcW w:w="1258" w:type="pct"/>
                  <w:vAlign w:val="center"/>
                </w:tcPr>
                <w:p w14:paraId="0FC4C89D">
                  <w:pPr>
                    <w:pStyle w:val="13"/>
                    <w:rPr>
                      <w:rFonts w:cs="Times New Roman"/>
                      <w:color w:val="auto"/>
                      <w:sz w:val="18"/>
                      <w:szCs w:val="18"/>
                      <w:highlight w:val="none"/>
                    </w:rPr>
                  </w:pPr>
                  <w:r>
                    <w:rPr>
                      <w:rFonts w:hint="eastAsia" w:cs="Times New Roman"/>
                      <w:color w:val="auto"/>
                      <w:sz w:val="18"/>
                      <w:szCs w:val="18"/>
                      <w:highlight w:val="none"/>
                    </w:rPr>
                    <w:t>≤8%</w:t>
                  </w:r>
                </w:p>
              </w:tc>
            </w:tr>
            <w:tr w14:paraId="101E8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2" w:type="pct"/>
                  <w:gridSpan w:val="2"/>
                  <w:vMerge w:val="continue"/>
                  <w:vAlign w:val="center"/>
                </w:tcPr>
                <w:p w14:paraId="43389D91">
                  <w:pPr>
                    <w:pStyle w:val="13"/>
                    <w:rPr>
                      <w:rFonts w:cs="Times New Roman"/>
                      <w:b/>
                      <w:bCs/>
                      <w:color w:val="auto"/>
                      <w:sz w:val="18"/>
                      <w:szCs w:val="18"/>
                      <w:highlight w:val="none"/>
                    </w:rPr>
                  </w:pPr>
                </w:p>
              </w:tc>
              <w:tc>
                <w:tcPr>
                  <w:tcW w:w="1560" w:type="pct"/>
                  <w:gridSpan w:val="3"/>
                  <w:vAlign w:val="center"/>
                </w:tcPr>
                <w:p w14:paraId="201E3F02">
                  <w:pPr>
                    <w:pStyle w:val="13"/>
                    <w:rPr>
                      <w:rFonts w:cs="Times New Roman"/>
                      <w:b/>
                      <w:bCs/>
                      <w:color w:val="auto"/>
                      <w:sz w:val="18"/>
                      <w:szCs w:val="18"/>
                      <w:highlight w:val="none"/>
                    </w:rPr>
                  </w:pPr>
                  <w:r>
                    <w:rPr>
                      <w:rFonts w:hint="eastAsia" w:cs="Times New Roman"/>
                      <w:b/>
                      <w:bCs/>
                      <w:color w:val="auto"/>
                      <w:sz w:val="18"/>
                      <w:szCs w:val="18"/>
                      <w:highlight w:val="none"/>
                    </w:rPr>
                    <w:t>钙（Ca）</w:t>
                  </w:r>
                </w:p>
              </w:tc>
              <w:tc>
                <w:tcPr>
                  <w:tcW w:w="1559" w:type="pct"/>
                  <w:gridSpan w:val="2"/>
                  <w:vAlign w:val="center"/>
                </w:tcPr>
                <w:p w14:paraId="05DE0586">
                  <w:pPr>
                    <w:pStyle w:val="13"/>
                    <w:rPr>
                      <w:rFonts w:cs="Times New Roman"/>
                      <w:color w:val="auto"/>
                      <w:sz w:val="18"/>
                      <w:szCs w:val="18"/>
                      <w:highlight w:val="none"/>
                    </w:rPr>
                  </w:pPr>
                  <w:r>
                    <w:rPr>
                      <w:rFonts w:hint="eastAsia" w:cs="Times New Roman"/>
                      <w:color w:val="auto"/>
                      <w:sz w:val="18"/>
                      <w:szCs w:val="18"/>
                      <w:highlight w:val="none"/>
                    </w:rPr>
                    <w:t>≥0.3%</w:t>
                  </w:r>
                </w:p>
              </w:tc>
              <w:tc>
                <w:tcPr>
                  <w:tcW w:w="1258" w:type="pct"/>
                  <w:vAlign w:val="center"/>
                </w:tcPr>
                <w:p w14:paraId="058FD57B">
                  <w:pPr>
                    <w:pStyle w:val="13"/>
                    <w:rPr>
                      <w:rFonts w:cs="Times New Roman"/>
                      <w:color w:val="auto"/>
                      <w:sz w:val="18"/>
                      <w:szCs w:val="18"/>
                      <w:highlight w:val="none"/>
                    </w:rPr>
                  </w:pPr>
                  <w:r>
                    <w:rPr>
                      <w:rFonts w:hint="eastAsia" w:cs="Times New Roman"/>
                      <w:color w:val="auto"/>
                      <w:sz w:val="18"/>
                      <w:szCs w:val="18"/>
                      <w:highlight w:val="none"/>
                    </w:rPr>
                    <w:t>≥0.5%</w:t>
                  </w:r>
                </w:p>
              </w:tc>
            </w:tr>
            <w:tr w14:paraId="4F965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2" w:type="pct"/>
                  <w:gridSpan w:val="2"/>
                  <w:vMerge w:val="continue"/>
                  <w:vAlign w:val="center"/>
                </w:tcPr>
                <w:p w14:paraId="098E8919">
                  <w:pPr>
                    <w:pStyle w:val="13"/>
                    <w:rPr>
                      <w:rFonts w:cs="Times New Roman"/>
                      <w:b/>
                      <w:bCs/>
                      <w:color w:val="auto"/>
                      <w:sz w:val="18"/>
                      <w:szCs w:val="18"/>
                      <w:highlight w:val="none"/>
                    </w:rPr>
                  </w:pPr>
                </w:p>
              </w:tc>
              <w:tc>
                <w:tcPr>
                  <w:tcW w:w="1560" w:type="pct"/>
                  <w:gridSpan w:val="3"/>
                  <w:vAlign w:val="center"/>
                </w:tcPr>
                <w:p w14:paraId="6197721A">
                  <w:pPr>
                    <w:pStyle w:val="13"/>
                    <w:rPr>
                      <w:rFonts w:cs="Times New Roman"/>
                      <w:b/>
                      <w:bCs/>
                      <w:color w:val="auto"/>
                      <w:sz w:val="18"/>
                      <w:szCs w:val="18"/>
                      <w:highlight w:val="none"/>
                    </w:rPr>
                  </w:pPr>
                  <w:r>
                    <w:rPr>
                      <w:rFonts w:hint="eastAsia" w:cs="Times New Roman"/>
                      <w:b/>
                      <w:bCs/>
                      <w:color w:val="auto"/>
                      <w:sz w:val="18"/>
                      <w:szCs w:val="18"/>
                      <w:highlight w:val="none"/>
                    </w:rPr>
                    <w:t>总磷（P）</w:t>
                  </w:r>
                </w:p>
              </w:tc>
              <w:tc>
                <w:tcPr>
                  <w:tcW w:w="1559" w:type="pct"/>
                  <w:gridSpan w:val="2"/>
                  <w:vAlign w:val="center"/>
                </w:tcPr>
                <w:p w14:paraId="2AA3BEDA">
                  <w:pPr>
                    <w:pStyle w:val="13"/>
                    <w:rPr>
                      <w:rFonts w:cs="Times New Roman"/>
                      <w:color w:val="auto"/>
                      <w:sz w:val="18"/>
                      <w:szCs w:val="18"/>
                      <w:highlight w:val="none"/>
                    </w:rPr>
                  </w:pPr>
                  <w:r>
                    <w:rPr>
                      <w:rFonts w:hint="eastAsia" w:cs="Times New Roman"/>
                      <w:color w:val="auto"/>
                      <w:sz w:val="18"/>
                      <w:szCs w:val="18"/>
                      <w:highlight w:val="none"/>
                    </w:rPr>
                    <w:t>≥0.1%</w:t>
                  </w:r>
                </w:p>
              </w:tc>
              <w:tc>
                <w:tcPr>
                  <w:tcW w:w="1258" w:type="pct"/>
                  <w:vAlign w:val="center"/>
                </w:tcPr>
                <w:p w14:paraId="741CA9B1">
                  <w:pPr>
                    <w:pStyle w:val="13"/>
                    <w:rPr>
                      <w:rFonts w:cs="Times New Roman"/>
                      <w:color w:val="auto"/>
                      <w:sz w:val="18"/>
                      <w:szCs w:val="18"/>
                      <w:highlight w:val="none"/>
                    </w:rPr>
                  </w:pPr>
                  <w:r>
                    <w:rPr>
                      <w:rFonts w:hint="eastAsia" w:cs="Times New Roman"/>
                      <w:color w:val="auto"/>
                      <w:sz w:val="18"/>
                      <w:szCs w:val="18"/>
                      <w:highlight w:val="none"/>
                    </w:rPr>
                    <w:t>≥0.2%</w:t>
                  </w:r>
                </w:p>
              </w:tc>
            </w:tr>
            <w:tr w14:paraId="56D73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8"/>
                  <w:vAlign w:val="center"/>
                </w:tcPr>
                <w:p w14:paraId="5988D823">
                  <w:pPr>
                    <w:pStyle w:val="13"/>
                    <w:jc w:val="left"/>
                    <w:rPr>
                      <w:rFonts w:cs="Times New Roman"/>
                      <w:b/>
                      <w:bCs/>
                      <w:color w:val="auto"/>
                      <w:sz w:val="18"/>
                      <w:szCs w:val="18"/>
                      <w:highlight w:val="none"/>
                    </w:rPr>
                  </w:pPr>
                  <w:r>
                    <w:rPr>
                      <w:rFonts w:cs="Times New Roman"/>
                      <w:color w:val="auto"/>
                      <w:sz w:val="18"/>
                      <w:szCs w:val="18"/>
                      <w:highlight w:val="none"/>
                    </w:rPr>
                    <w:t>饲料质量标准主要参照《饲料卫生标准》（GB 13078-2017）</w:t>
                  </w:r>
                  <w:r>
                    <w:rPr>
                      <w:rFonts w:hint="eastAsia" w:cs="Times New Roman"/>
                      <w:color w:val="auto"/>
                      <w:sz w:val="18"/>
                      <w:szCs w:val="18"/>
                      <w:highlight w:val="none"/>
                    </w:rPr>
                    <w:t>、《玉米秸秆颗粒》（GB/T 35835-2018）；营养标准主要参照《玉米秸秆颗粒》（GB/T 35835-2018）、《棉秸秆配合颗粒饲料》（DB65/T 4759-2023）、《肉牛饲养标准》（NY/T 815）</w:t>
                  </w:r>
                  <w:r>
                    <w:rPr>
                      <w:rFonts w:cs="Times New Roman"/>
                      <w:color w:val="auto"/>
                      <w:sz w:val="18"/>
                      <w:szCs w:val="18"/>
                      <w:highlight w:val="none"/>
                    </w:rPr>
                    <w:t>等。</w:t>
                  </w:r>
                </w:p>
              </w:tc>
            </w:tr>
          </w:tbl>
          <w:p w14:paraId="1DAB5CCC">
            <w:pPr>
              <w:pStyle w:val="2"/>
              <w:ind w:firstLine="482"/>
              <w:rPr>
                <w:rFonts w:cs="Times New Roman"/>
                <w:color w:val="auto"/>
                <w:highlight w:val="none"/>
              </w:rPr>
            </w:pPr>
            <w:r>
              <w:rPr>
                <w:rFonts w:cs="Times New Roman"/>
                <w:color w:val="auto"/>
                <w:highlight w:val="none"/>
              </w:rPr>
              <w:t>设备产能匹配性分析：</w:t>
            </w:r>
          </w:p>
          <w:p w14:paraId="5213CDAF">
            <w:pPr>
              <w:pStyle w:val="14"/>
              <w:spacing w:before="156"/>
              <w:rPr>
                <w:rFonts w:cs="Times New Roman"/>
                <w:color w:val="auto"/>
                <w:highlight w:val="none"/>
              </w:rPr>
            </w:pPr>
            <w:r>
              <w:rPr>
                <w:rFonts w:cs="Times New Roman"/>
                <w:color w:val="auto"/>
                <w:highlight w:val="none"/>
              </w:rPr>
              <w:t>表2-4  设备产能匹配性分析一览表</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1"/>
              <w:gridCol w:w="1155"/>
              <w:gridCol w:w="1500"/>
              <w:gridCol w:w="1309"/>
              <w:gridCol w:w="1104"/>
              <w:gridCol w:w="1078"/>
              <w:gridCol w:w="871"/>
              <w:gridCol w:w="884"/>
            </w:tblGrid>
            <w:tr w14:paraId="3217A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51" w:type="dxa"/>
                  <w:vAlign w:val="center"/>
                </w:tcPr>
                <w:p w14:paraId="5CC688AA">
                  <w:pPr>
                    <w:pStyle w:val="13"/>
                    <w:rPr>
                      <w:rFonts w:cs="Times New Roman"/>
                      <w:b/>
                      <w:bCs/>
                      <w:color w:val="auto"/>
                      <w:highlight w:val="none"/>
                    </w:rPr>
                  </w:pPr>
                  <w:r>
                    <w:rPr>
                      <w:rFonts w:cs="Times New Roman"/>
                      <w:b/>
                      <w:bCs/>
                      <w:color w:val="auto"/>
                      <w:highlight w:val="none"/>
                    </w:rPr>
                    <w:t>产品</w:t>
                  </w:r>
                </w:p>
              </w:tc>
              <w:tc>
                <w:tcPr>
                  <w:tcW w:w="1155" w:type="dxa"/>
                  <w:vAlign w:val="center"/>
                </w:tcPr>
                <w:p w14:paraId="4775D6A5">
                  <w:pPr>
                    <w:pStyle w:val="13"/>
                    <w:rPr>
                      <w:rFonts w:cs="Times New Roman"/>
                      <w:b/>
                      <w:bCs/>
                      <w:color w:val="auto"/>
                      <w:highlight w:val="none"/>
                    </w:rPr>
                  </w:pPr>
                  <w:r>
                    <w:rPr>
                      <w:rFonts w:cs="Times New Roman"/>
                      <w:b/>
                      <w:bCs/>
                      <w:color w:val="auto"/>
                      <w:highlight w:val="none"/>
                    </w:rPr>
                    <w:t>产量（t/a）</w:t>
                  </w:r>
                </w:p>
              </w:tc>
              <w:tc>
                <w:tcPr>
                  <w:tcW w:w="1500" w:type="dxa"/>
                  <w:vAlign w:val="center"/>
                </w:tcPr>
                <w:p w14:paraId="0EB85F92">
                  <w:pPr>
                    <w:pStyle w:val="13"/>
                    <w:rPr>
                      <w:rFonts w:cs="Times New Roman"/>
                      <w:b/>
                      <w:bCs/>
                      <w:color w:val="auto"/>
                      <w:highlight w:val="none"/>
                    </w:rPr>
                  </w:pPr>
                  <w:r>
                    <w:rPr>
                      <w:rFonts w:cs="Times New Roman"/>
                      <w:b/>
                      <w:bCs/>
                      <w:color w:val="auto"/>
                      <w:highlight w:val="none"/>
                    </w:rPr>
                    <w:t>主要生产设备</w:t>
                  </w:r>
                </w:p>
              </w:tc>
              <w:tc>
                <w:tcPr>
                  <w:tcW w:w="1309" w:type="dxa"/>
                  <w:vAlign w:val="center"/>
                </w:tcPr>
                <w:p w14:paraId="52371F88">
                  <w:pPr>
                    <w:pStyle w:val="13"/>
                    <w:rPr>
                      <w:rFonts w:cs="Times New Roman"/>
                      <w:b/>
                      <w:bCs/>
                      <w:color w:val="auto"/>
                      <w:highlight w:val="none"/>
                    </w:rPr>
                  </w:pPr>
                  <w:r>
                    <w:rPr>
                      <w:rFonts w:cs="Times New Roman"/>
                      <w:b/>
                      <w:bCs/>
                      <w:color w:val="auto"/>
                      <w:highlight w:val="none"/>
                    </w:rPr>
                    <w:t>设备数量（台）</w:t>
                  </w:r>
                </w:p>
              </w:tc>
              <w:tc>
                <w:tcPr>
                  <w:tcW w:w="1104" w:type="dxa"/>
                  <w:vAlign w:val="center"/>
                </w:tcPr>
                <w:p w14:paraId="27C186CA">
                  <w:pPr>
                    <w:pStyle w:val="13"/>
                    <w:rPr>
                      <w:rFonts w:cs="Times New Roman"/>
                      <w:b/>
                      <w:bCs/>
                      <w:color w:val="auto"/>
                      <w:highlight w:val="none"/>
                    </w:rPr>
                  </w:pPr>
                  <w:r>
                    <w:rPr>
                      <w:rFonts w:cs="Times New Roman"/>
                      <w:b/>
                      <w:bCs/>
                      <w:color w:val="auto"/>
                      <w:highlight w:val="none"/>
                    </w:rPr>
                    <w:t>设备产能（t/h/台）</w:t>
                  </w:r>
                </w:p>
              </w:tc>
              <w:tc>
                <w:tcPr>
                  <w:tcW w:w="1078" w:type="dxa"/>
                  <w:vAlign w:val="center"/>
                </w:tcPr>
                <w:p w14:paraId="465CB9D1">
                  <w:pPr>
                    <w:pStyle w:val="13"/>
                    <w:rPr>
                      <w:rFonts w:cs="Times New Roman"/>
                      <w:b/>
                      <w:bCs/>
                      <w:color w:val="auto"/>
                      <w:highlight w:val="none"/>
                    </w:rPr>
                  </w:pPr>
                  <w:r>
                    <w:rPr>
                      <w:rFonts w:cs="Times New Roman"/>
                      <w:b/>
                      <w:bCs/>
                      <w:color w:val="auto"/>
                      <w:highlight w:val="none"/>
                    </w:rPr>
                    <w:t>生产时间（h/a）</w:t>
                  </w:r>
                </w:p>
              </w:tc>
              <w:tc>
                <w:tcPr>
                  <w:tcW w:w="871" w:type="dxa"/>
                  <w:vAlign w:val="center"/>
                </w:tcPr>
                <w:p w14:paraId="6E5156DF">
                  <w:pPr>
                    <w:pStyle w:val="13"/>
                    <w:rPr>
                      <w:rFonts w:cs="Times New Roman"/>
                      <w:b/>
                      <w:bCs/>
                      <w:color w:val="auto"/>
                      <w:highlight w:val="none"/>
                    </w:rPr>
                  </w:pPr>
                  <w:r>
                    <w:rPr>
                      <w:rFonts w:cs="Times New Roman"/>
                      <w:b/>
                      <w:bCs/>
                      <w:color w:val="auto"/>
                      <w:highlight w:val="none"/>
                    </w:rPr>
                    <w:t>年产能（t/a）</w:t>
                  </w:r>
                </w:p>
              </w:tc>
              <w:tc>
                <w:tcPr>
                  <w:tcW w:w="884" w:type="dxa"/>
                  <w:vAlign w:val="center"/>
                </w:tcPr>
                <w:p w14:paraId="417EA1F2">
                  <w:pPr>
                    <w:pStyle w:val="13"/>
                    <w:rPr>
                      <w:rFonts w:cs="Times New Roman"/>
                      <w:b/>
                      <w:bCs/>
                      <w:color w:val="auto"/>
                      <w:highlight w:val="none"/>
                    </w:rPr>
                  </w:pPr>
                  <w:r>
                    <w:rPr>
                      <w:rFonts w:cs="Times New Roman"/>
                      <w:b/>
                      <w:bCs/>
                      <w:color w:val="auto"/>
                      <w:highlight w:val="none"/>
                    </w:rPr>
                    <w:t>产能是否匹配</w:t>
                  </w:r>
                </w:p>
              </w:tc>
            </w:tr>
            <w:tr w14:paraId="31C19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51" w:type="dxa"/>
                  <w:vAlign w:val="center"/>
                </w:tcPr>
                <w:p w14:paraId="4F95A467">
                  <w:pPr>
                    <w:pStyle w:val="13"/>
                    <w:rPr>
                      <w:rFonts w:cs="Times New Roman"/>
                      <w:color w:val="auto"/>
                      <w:highlight w:val="none"/>
                    </w:rPr>
                  </w:pPr>
                  <w:r>
                    <w:rPr>
                      <w:rFonts w:hint="eastAsia" w:cs="Times New Roman"/>
                      <w:color w:val="auto"/>
                      <w:highlight w:val="none"/>
                    </w:rPr>
                    <w:t>秸秆饲料</w:t>
                  </w:r>
                </w:p>
              </w:tc>
              <w:tc>
                <w:tcPr>
                  <w:tcW w:w="1155" w:type="dxa"/>
                  <w:vAlign w:val="center"/>
                </w:tcPr>
                <w:p w14:paraId="3AD0F1CA">
                  <w:pPr>
                    <w:pStyle w:val="13"/>
                    <w:rPr>
                      <w:rFonts w:cs="Times New Roman"/>
                      <w:color w:val="auto"/>
                      <w:highlight w:val="none"/>
                    </w:rPr>
                  </w:pPr>
                  <w:r>
                    <w:rPr>
                      <w:rFonts w:hint="eastAsia" w:cs="Times New Roman"/>
                      <w:color w:val="auto"/>
                      <w:highlight w:val="none"/>
                    </w:rPr>
                    <w:t>15000</w:t>
                  </w:r>
                </w:p>
              </w:tc>
              <w:tc>
                <w:tcPr>
                  <w:tcW w:w="1500" w:type="dxa"/>
                  <w:vAlign w:val="center"/>
                </w:tcPr>
                <w:p w14:paraId="7CD89B36">
                  <w:pPr>
                    <w:pStyle w:val="13"/>
                    <w:rPr>
                      <w:rFonts w:cs="Times New Roman"/>
                      <w:color w:val="auto"/>
                      <w:highlight w:val="none"/>
                    </w:rPr>
                  </w:pPr>
                  <w:r>
                    <w:rPr>
                      <w:rFonts w:cs="Times New Roman"/>
                      <w:color w:val="auto"/>
                      <w:highlight w:val="none"/>
                    </w:rPr>
                    <w:t>破碎机</w:t>
                  </w:r>
                </w:p>
              </w:tc>
              <w:tc>
                <w:tcPr>
                  <w:tcW w:w="1309" w:type="dxa"/>
                  <w:vAlign w:val="center"/>
                </w:tcPr>
                <w:p w14:paraId="1CC755BD">
                  <w:pPr>
                    <w:pStyle w:val="13"/>
                    <w:rPr>
                      <w:rFonts w:cs="Times New Roman"/>
                      <w:color w:val="auto"/>
                      <w:highlight w:val="none"/>
                    </w:rPr>
                  </w:pPr>
                  <w:r>
                    <w:rPr>
                      <w:rFonts w:hint="eastAsia" w:cs="Times New Roman"/>
                      <w:color w:val="auto"/>
                      <w:highlight w:val="none"/>
                    </w:rPr>
                    <w:t>1</w:t>
                  </w:r>
                </w:p>
              </w:tc>
              <w:tc>
                <w:tcPr>
                  <w:tcW w:w="1104" w:type="dxa"/>
                  <w:vAlign w:val="center"/>
                </w:tcPr>
                <w:p w14:paraId="2630F586">
                  <w:pPr>
                    <w:pStyle w:val="13"/>
                    <w:rPr>
                      <w:rFonts w:cs="Times New Roman"/>
                      <w:color w:val="auto"/>
                      <w:highlight w:val="none"/>
                    </w:rPr>
                  </w:pPr>
                  <w:r>
                    <w:rPr>
                      <w:rFonts w:hint="eastAsia" w:cs="Times New Roman"/>
                      <w:color w:val="auto"/>
                      <w:highlight w:val="none"/>
                    </w:rPr>
                    <w:t>8</w:t>
                  </w:r>
                </w:p>
              </w:tc>
              <w:tc>
                <w:tcPr>
                  <w:tcW w:w="1078" w:type="dxa"/>
                  <w:vAlign w:val="center"/>
                </w:tcPr>
                <w:p w14:paraId="3F47E28E">
                  <w:pPr>
                    <w:pStyle w:val="13"/>
                    <w:rPr>
                      <w:rFonts w:cs="Times New Roman"/>
                      <w:color w:val="auto"/>
                      <w:highlight w:val="none"/>
                    </w:rPr>
                  </w:pPr>
                  <w:r>
                    <w:rPr>
                      <w:rFonts w:hint="eastAsia" w:cs="Times New Roman"/>
                      <w:color w:val="auto"/>
                      <w:highlight w:val="none"/>
                    </w:rPr>
                    <w:t>2400</w:t>
                  </w:r>
                </w:p>
              </w:tc>
              <w:tc>
                <w:tcPr>
                  <w:tcW w:w="871" w:type="dxa"/>
                  <w:vAlign w:val="center"/>
                </w:tcPr>
                <w:p w14:paraId="43CB495D">
                  <w:pPr>
                    <w:pStyle w:val="13"/>
                    <w:rPr>
                      <w:rFonts w:cs="Times New Roman"/>
                      <w:color w:val="auto"/>
                      <w:highlight w:val="none"/>
                    </w:rPr>
                  </w:pPr>
                  <w:r>
                    <w:rPr>
                      <w:rFonts w:hint="eastAsia" w:cs="Times New Roman"/>
                      <w:color w:val="auto"/>
                      <w:highlight w:val="none"/>
                    </w:rPr>
                    <w:t>19200</w:t>
                  </w:r>
                </w:p>
              </w:tc>
              <w:tc>
                <w:tcPr>
                  <w:tcW w:w="884" w:type="dxa"/>
                  <w:vAlign w:val="center"/>
                </w:tcPr>
                <w:p w14:paraId="68CA3E36">
                  <w:pPr>
                    <w:pStyle w:val="13"/>
                    <w:rPr>
                      <w:rFonts w:cs="Times New Roman"/>
                      <w:color w:val="auto"/>
                      <w:highlight w:val="none"/>
                    </w:rPr>
                  </w:pPr>
                  <w:r>
                    <w:rPr>
                      <w:rFonts w:cs="Times New Roman"/>
                      <w:color w:val="auto"/>
                      <w:highlight w:val="none"/>
                    </w:rPr>
                    <w:t>是</w:t>
                  </w:r>
                </w:p>
              </w:tc>
            </w:tr>
            <w:tr w14:paraId="4F671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51" w:type="dxa"/>
                  <w:vMerge w:val="restart"/>
                  <w:vAlign w:val="center"/>
                </w:tcPr>
                <w:p w14:paraId="0931FD6C">
                  <w:pPr>
                    <w:pStyle w:val="13"/>
                    <w:rPr>
                      <w:rFonts w:cs="Times New Roman"/>
                      <w:color w:val="auto"/>
                      <w:highlight w:val="none"/>
                    </w:rPr>
                  </w:pPr>
                  <w:r>
                    <w:rPr>
                      <w:rFonts w:hint="eastAsia" w:cs="Times New Roman"/>
                      <w:color w:val="auto"/>
                      <w:highlight w:val="none"/>
                    </w:rPr>
                    <w:t>饲料颗粒</w:t>
                  </w:r>
                </w:p>
              </w:tc>
              <w:tc>
                <w:tcPr>
                  <w:tcW w:w="1155" w:type="dxa"/>
                  <w:vMerge w:val="restart"/>
                  <w:vAlign w:val="center"/>
                </w:tcPr>
                <w:p w14:paraId="7412C183">
                  <w:pPr>
                    <w:pStyle w:val="13"/>
                    <w:rPr>
                      <w:rFonts w:cs="Times New Roman"/>
                      <w:color w:val="auto"/>
                      <w:highlight w:val="none"/>
                    </w:rPr>
                  </w:pPr>
                  <w:r>
                    <w:rPr>
                      <w:rFonts w:hint="eastAsia" w:cs="Times New Roman"/>
                      <w:color w:val="auto"/>
                      <w:highlight w:val="none"/>
                    </w:rPr>
                    <w:t>5000</w:t>
                  </w:r>
                </w:p>
              </w:tc>
              <w:tc>
                <w:tcPr>
                  <w:tcW w:w="1500" w:type="dxa"/>
                  <w:vAlign w:val="center"/>
                </w:tcPr>
                <w:p w14:paraId="1FA11B93">
                  <w:pPr>
                    <w:pStyle w:val="13"/>
                    <w:rPr>
                      <w:rFonts w:cs="Times New Roman"/>
                      <w:color w:val="auto"/>
                      <w:highlight w:val="none"/>
                    </w:rPr>
                  </w:pPr>
                  <w:r>
                    <w:rPr>
                      <w:rFonts w:hint="eastAsia" w:cs="Times New Roman"/>
                      <w:color w:val="auto"/>
                      <w:highlight w:val="none"/>
                    </w:rPr>
                    <w:t>调质机</w:t>
                  </w:r>
                </w:p>
              </w:tc>
              <w:tc>
                <w:tcPr>
                  <w:tcW w:w="1309" w:type="dxa"/>
                  <w:vAlign w:val="center"/>
                </w:tcPr>
                <w:p w14:paraId="3C95885C">
                  <w:pPr>
                    <w:pStyle w:val="13"/>
                    <w:rPr>
                      <w:rFonts w:cs="Times New Roman"/>
                      <w:color w:val="auto"/>
                      <w:highlight w:val="none"/>
                    </w:rPr>
                  </w:pPr>
                  <w:r>
                    <w:rPr>
                      <w:rFonts w:hint="eastAsia" w:cs="Times New Roman"/>
                      <w:color w:val="auto"/>
                      <w:highlight w:val="none"/>
                    </w:rPr>
                    <w:t>2</w:t>
                  </w:r>
                </w:p>
              </w:tc>
              <w:tc>
                <w:tcPr>
                  <w:tcW w:w="1104" w:type="dxa"/>
                  <w:vAlign w:val="center"/>
                </w:tcPr>
                <w:p w14:paraId="6C8CD8D5">
                  <w:pPr>
                    <w:pStyle w:val="13"/>
                    <w:rPr>
                      <w:rFonts w:cs="Times New Roman"/>
                      <w:color w:val="auto"/>
                      <w:highlight w:val="none"/>
                    </w:rPr>
                  </w:pPr>
                  <w:r>
                    <w:rPr>
                      <w:rFonts w:hint="eastAsia" w:cs="Times New Roman"/>
                      <w:color w:val="auto"/>
                      <w:highlight w:val="none"/>
                    </w:rPr>
                    <w:t>25</w:t>
                  </w:r>
                </w:p>
              </w:tc>
              <w:tc>
                <w:tcPr>
                  <w:tcW w:w="1078" w:type="dxa"/>
                  <w:vAlign w:val="center"/>
                </w:tcPr>
                <w:p w14:paraId="4AD3DB85">
                  <w:pPr>
                    <w:pStyle w:val="13"/>
                    <w:rPr>
                      <w:rFonts w:cs="Times New Roman"/>
                      <w:color w:val="auto"/>
                      <w:highlight w:val="none"/>
                    </w:rPr>
                  </w:pPr>
                  <w:r>
                    <w:rPr>
                      <w:rFonts w:hint="eastAsia" w:cs="Times New Roman"/>
                      <w:color w:val="auto"/>
                      <w:highlight w:val="none"/>
                    </w:rPr>
                    <w:t>135</w:t>
                  </w:r>
                </w:p>
              </w:tc>
              <w:tc>
                <w:tcPr>
                  <w:tcW w:w="871" w:type="dxa"/>
                  <w:vAlign w:val="center"/>
                </w:tcPr>
                <w:p w14:paraId="4CF7B10F">
                  <w:pPr>
                    <w:pStyle w:val="13"/>
                    <w:rPr>
                      <w:rFonts w:cs="Times New Roman"/>
                      <w:color w:val="auto"/>
                      <w:highlight w:val="none"/>
                    </w:rPr>
                  </w:pPr>
                  <w:r>
                    <w:rPr>
                      <w:rFonts w:hint="eastAsia" w:cs="Times New Roman"/>
                      <w:color w:val="auto"/>
                      <w:highlight w:val="none"/>
                    </w:rPr>
                    <w:t>6750</w:t>
                  </w:r>
                </w:p>
              </w:tc>
              <w:tc>
                <w:tcPr>
                  <w:tcW w:w="884" w:type="dxa"/>
                  <w:vAlign w:val="center"/>
                </w:tcPr>
                <w:p w14:paraId="062EB050">
                  <w:pPr>
                    <w:pStyle w:val="13"/>
                    <w:rPr>
                      <w:rFonts w:cs="Times New Roman"/>
                      <w:color w:val="auto"/>
                      <w:highlight w:val="none"/>
                    </w:rPr>
                  </w:pPr>
                  <w:r>
                    <w:rPr>
                      <w:rFonts w:cs="Times New Roman"/>
                      <w:color w:val="auto"/>
                      <w:highlight w:val="none"/>
                    </w:rPr>
                    <w:t>是</w:t>
                  </w:r>
                </w:p>
              </w:tc>
            </w:tr>
            <w:tr w14:paraId="29CD4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51" w:type="dxa"/>
                  <w:vMerge w:val="continue"/>
                  <w:vAlign w:val="center"/>
                </w:tcPr>
                <w:p w14:paraId="6BDBD271">
                  <w:pPr>
                    <w:pStyle w:val="13"/>
                    <w:rPr>
                      <w:rFonts w:cs="Times New Roman"/>
                      <w:color w:val="auto"/>
                      <w:highlight w:val="none"/>
                    </w:rPr>
                  </w:pPr>
                </w:p>
              </w:tc>
              <w:tc>
                <w:tcPr>
                  <w:tcW w:w="1155" w:type="dxa"/>
                  <w:vMerge w:val="continue"/>
                  <w:vAlign w:val="center"/>
                </w:tcPr>
                <w:p w14:paraId="6B252851">
                  <w:pPr>
                    <w:pStyle w:val="13"/>
                    <w:rPr>
                      <w:rFonts w:cs="Times New Roman"/>
                      <w:color w:val="auto"/>
                      <w:highlight w:val="none"/>
                    </w:rPr>
                  </w:pPr>
                </w:p>
              </w:tc>
              <w:tc>
                <w:tcPr>
                  <w:tcW w:w="1500" w:type="dxa"/>
                  <w:vAlign w:val="center"/>
                </w:tcPr>
                <w:p w14:paraId="0B88A197">
                  <w:pPr>
                    <w:pStyle w:val="13"/>
                    <w:rPr>
                      <w:rFonts w:cs="Times New Roman"/>
                      <w:color w:val="auto"/>
                      <w:highlight w:val="none"/>
                    </w:rPr>
                  </w:pPr>
                  <w:r>
                    <w:rPr>
                      <w:rFonts w:hint="eastAsia" w:cs="Times New Roman"/>
                      <w:color w:val="auto"/>
                      <w:highlight w:val="none"/>
                    </w:rPr>
                    <w:t>制粒机</w:t>
                  </w:r>
                </w:p>
              </w:tc>
              <w:tc>
                <w:tcPr>
                  <w:tcW w:w="1309" w:type="dxa"/>
                  <w:vAlign w:val="center"/>
                </w:tcPr>
                <w:p w14:paraId="13ABE291">
                  <w:pPr>
                    <w:pStyle w:val="13"/>
                    <w:rPr>
                      <w:rFonts w:cs="Times New Roman"/>
                      <w:color w:val="auto"/>
                      <w:highlight w:val="none"/>
                    </w:rPr>
                  </w:pPr>
                  <w:r>
                    <w:rPr>
                      <w:rFonts w:hint="eastAsia" w:cs="Times New Roman"/>
                      <w:color w:val="auto"/>
                      <w:highlight w:val="none"/>
                    </w:rPr>
                    <w:t>2</w:t>
                  </w:r>
                </w:p>
              </w:tc>
              <w:tc>
                <w:tcPr>
                  <w:tcW w:w="1104" w:type="dxa"/>
                  <w:vAlign w:val="center"/>
                </w:tcPr>
                <w:p w14:paraId="441F9DCE">
                  <w:pPr>
                    <w:pStyle w:val="13"/>
                    <w:rPr>
                      <w:rFonts w:cs="Times New Roman"/>
                      <w:color w:val="auto"/>
                      <w:highlight w:val="none"/>
                    </w:rPr>
                  </w:pPr>
                  <w:r>
                    <w:rPr>
                      <w:rFonts w:hint="eastAsia" w:cs="Times New Roman"/>
                      <w:color w:val="auto"/>
                      <w:highlight w:val="none"/>
                    </w:rPr>
                    <w:t>1.5</w:t>
                  </w:r>
                </w:p>
              </w:tc>
              <w:tc>
                <w:tcPr>
                  <w:tcW w:w="1078" w:type="dxa"/>
                  <w:vAlign w:val="center"/>
                </w:tcPr>
                <w:p w14:paraId="0BF5CC78">
                  <w:pPr>
                    <w:pStyle w:val="13"/>
                    <w:rPr>
                      <w:rFonts w:cs="Times New Roman"/>
                      <w:color w:val="auto"/>
                      <w:highlight w:val="none"/>
                    </w:rPr>
                  </w:pPr>
                  <w:r>
                    <w:rPr>
                      <w:rFonts w:hint="eastAsia" w:cs="Times New Roman"/>
                      <w:color w:val="auto"/>
                      <w:highlight w:val="none"/>
                    </w:rPr>
                    <w:t>2400</w:t>
                  </w:r>
                </w:p>
              </w:tc>
              <w:tc>
                <w:tcPr>
                  <w:tcW w:w="871" w:type="dxa"/>
                  <w:vAlign w:val="center"/>
                </w:tcPr>
                <w:p w14:paraId="6FB1C8E5">
                  <w:pPr>
                    <w:pStyle w:val="13"/>
                    <w:rPr>
                      <w:rFonts w:cs="Times New Roman"/>
                      <w:color w:val="auto"/>
                      <w:highlight w:val="none"/>
                    </w:rPr>
                  </w:pPr>
                  <w:r>
                    <w:rPr>
                      <w:rFonts w:hint="eastAsia" w:cs="Times New Roman"/>
                      <w:color w:val="auto"/>
                      <w:highlight w:val="none"/>
                    </w:rPr>
                    <w:t>7200</w:t>
                  </w:r>
                </w:p>
              </w:tc>
              <w:tc>
                <w:tcPr>
                  <w:tcW w:w="884" w:type="dxa"/>
                  <w:vAlign w:val="center"/>
                </w:tcPr>
                <w:p w14:paraId="1274E6F7">
                  <w:pPr>
                    <w:pStyle w:val="13"/>
                    <w:rPr>
                      <w:rFonts w:cs="Times New Roman"/>
                      <w:color w:val="auto"/>
                      <w:highlight w:val="none"/>
                    </w:rPr>
                  </w:pPr>
                  <w:r>
                    <w:rPr>
                      <w:rFonts w:cs="Times New Roman"/>
                      <w:color w:val="auto"/>
                      <w:highlight w:val="none"/>
                    </w:rPr>
                    <w:t>是</w:t>
                  </w:r>
                </w:p>
              </w:tc>
            </w:tr>
          </w:tbl>
          <w:p w14:paraId="43800CF1">
            <w:pPr>
              <w:pStyle w:val="2"/>
              <w:ind w:firstLine="482"/>
              <w:rPr>
                <w:rFonts w:cs="Times New Roman"/>
                <w:color w:val="auto"/>
                <w:highlight w:val="none"/>
              </w:rPr>
            </w:pPr>
            <w:r>
              <w:rPr>
                <w:rFonts w:cs="Times New Roman"/>
                <w:color w:val="auto"/>
                <w:highlight w:val="none"/>
              </w:rPr>
              <w:t>4、</w:t>
            </w:r>
            <w:r>
              <w:rPr>
                <w:rFonts w:hint="eastAsia" w:cs="Times New Roman"/>
                <w:color w:val="auto"/>
                <w:highlight w:val="none"/>
              </w:rPr>
              <w:t>主要原辅料及燃料的种类和用量</w:t>
            </w:r>
          </w:p>
          <w:p w14:paraId="644B8E5C">
            <w:pPr>
              <w:pStyle w:val="3"/>
              <w:ind w:firstLine="482"/>
              <w:rPr>
                <w:color w:val="auto"/>
                <w:highlight w:val="none"/>
              </w:rPr>
            </w:pPr>
            <w:r>
              <w:rPr>
                <w:rFonts w:hint="eastAsia"/>
                <w:color w:val="auto"/>
                <w:highlight w:val="none"/>
              </w:rPr>
              <w:t>（1）原辅料及燃料的种类和用量</w:t>
            </w:r>
          </w:p>
          <w:p w14:paraId="227D5A96">
            <w:pPr>
              <w:ind w:firstLine="480"/>
              <w:rPr>
                <w:rFonts w:cs="Times New Roman"/>
                <w:color w:val="auto"/>
                <w:highlight w:val="none"/>
              </w:rPr>
            </w:pPr>
            <w:r>
              <w:rPr>
                <w:rFonts w:cs="Times New Roman"/>
                <w:color w:val="auto"/>
                <w:highlight w:val="none"/>
              </w:rPr>
              <w:t>项目运营期间所需的主要原材料秸杆从酉华镇当地种植户收购，</w:t>
            </w:r>
            <w:r>
              <w:rPr>
                <w:rFonts w:hint="eastAsia" w:cs="Times New Roman"/>
                <w:color w:val="auto"/>
                <w:highlight w:val="none"/>
                <w:lang w:val="en-US" w:eastAsia="zh-CN"/>
              </w:rPr>
              <w:t>主要为玉米秸秆（9-10月份收购）、水稻秸秆（7-11月份收购）、小麦秸秆（5-6月份收购）等，收购后的秸秆暂存于原料仓库待后续生产加工。</w:t>
            </w:r>
            <w:r>
              <w:rPr>
                <w:rFonts w:cs="Times New Roman"/>
                <w:color w:val="auto"/>
                <w:highlight w:val="none"/>
              </w:rPr>
              <w:t>其他辅助材料以及生产过程中必需的低值易耗品，在当地及周边市场就近采购</w:t>
            </w:r>
            <w:r>
              <w:rPr>
                <w:rFonts w:hint="eastAsia" w:cs="Times New Roman"/>
                <w:color w:val="auto"/>
                <w:highlight w:val="none"/>
              </w:rPr>
              <w:t>；</w:t>
            </w:r>
            <w:r>
              <w:rPr>
                <w:rFonts w:hint="eastAsia" w:cs="Times New Roman"/>
                <w:color w:val="auto"/>
                <w:highlight w:val="none"/>
              </w:rPr>
              <w:t>项目</w:t>
            </w:r>
            <w:r>
              <w:rPr>
                <w:rFonts w:hint="eastAsia" w:cs="Times New Roman"/>
                <w:color w:val="auto"/>
                <w:highlight w:val="none"/>
                <w:lang w:val="en-US" w:eastAsia="zh-CN"/>
              </w:rPr>
              <w:t>周边无天然气管道，采用生物质蒸汽锅炉，</w:t>
            </w:r>
            <w:r>
              <w:rPr>
                <w:rFonts w:hint="eastAsia" w:cs="Times New Roman"/>
                <w:color w:val="auto"/>
                <w:highlight w:val="none"/>
              </w:rPr>
              <w:t>所用生物质燃料就近采购。</w:t>
            </w:r>
            <w:r>
              <w:rPr>
                <w:rFonts w:cs="Times New Roman"/>
                <w:color w:val="auto"/>
                <w:highlight w:val="none"/>
              </w:rPr>
              <w:t>项目主要</w:t>
            </w:r>
            <w:r>
              <w:rPr>
                <w:rFonts w:hint="eastAsia" w:cs="Times New Roman"/>
                <w:color w:val="auto"/>
                <w:highlight w:val="none"/>
              </w:rPr>
              <w:t>原辅料</w:t>
            </w:r>
            <w:r>
              <w:rPr>
                <w:rFonts w:cs="Times New Roman"/>
                <w:color w:val="auto"/>
                <w:highlight w:val="none"/>
              </w:rPr>
              <w:t>、能源、动力消耗及用水情况见下表：</w:t>
            </w:r>
          </w:p>
          <w:p w14:paraId="3E08E896">
            <w:pPr>
              <w:pStyle w:val="14"/>
              <w:spacing w:before="156"/>
              <w:rPr>
                <w:rFonts w:cs="Times New Roman"/>
                <w:color w:val="auto"/>
                <w:highlight w:val="none"/>
              </w:rPr>
            </w:pPr>
            <w:r>
              <w:rPr>
                <w:rFonts w:cs="Times New Roman"/>
                <w:color w:val="auto"/>
                <w:highlight w:val="none"/>
              </w:rPr>
              <w:t>表2-5  主要</w:t>
            </w:r>
            <w:r>
              <w:rPr>
                <w:rFonts w:hint="eastAsia" w:cs="Times New Roman"/>
                <w:color w:val="auto"/>
                <w:highlight w:val="none"/>
              </w:rPr>
              <w:t>原辅料</w:t>
            </w:r>
            <w:r>
              <w:rPr>
                <w:rFonts w:cs="Times New Roman"/>
                <w:color w:val="auto"/>
                <w:highlight w:val="none"/>
              </w:rPr>
              <w:t>、能源、动力消耗及用水情况一览表  单位t/a</w:t>
            </w:r>
          </w:p>
          <w:tbl>
            <w:tblPr>
              <w:tblStyle w:val="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279"/>
              <w:gridCol w:w="998"/>
              <w:gridCol w:w="1246"/>
              <w:gridCol w:w="732"/>
              <w:gridCol w:w="2408"/>
              <w:gridCol w:w="1531"/>
            </w:tblGrid>
            <w:tr w14:paraId="458C1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vAlign w:val="center"/>
                </w:tcPr>
                <w:p w14:paraId="76CF8FE4">
                  <w:pPr>
                    <w:pStyle w:val="13"/>
                    <w:rPr>
                      <w:rFonts w:cs="Times New Roman"/>
                      <w:b/>
                      <w:bCs/>
                      <w:color w:val="auto"/>
                      <w:highlight w:val="none"/>
                    </w:rPr>
                  </w:pPr>
                  <w:r>
                    <w:rPr>
                      <w:rFonts w:cs="Times New Roman"/>
                      <w:b/>
                      <w:bCs/>
                      <w:color w:val="auto"/>
                      <w:highlight w:val="none"/>
                    </w:rPr>
                    <w:t>序号</w:t>
                  </w:r>
                </w:p>
              </w:tc>
              <w:tc>
                <w:tcPr>
                  <w:tcW w:w="721" w:type="pct"/>
                  <w:vAlign w:val="center"/>
                </w:tcPr>
                <w:p w14:paraId="13D01006">
                  <w:pPr>
                    <w:pStyle w:val="13"/>
                    <w:rPr>
                      <w:rFonts w:cs="Times New Roman"/>
                      <w:b/>
                      <w:bCs/>
                      <w:color w:val="auto"/>
                      <w:highlight w:val="none"/>
                    </w:rPr>
                  </w:pPr>
                  <w:r>
                    <w:rPr>
                      <w:rFonts w:cs="Times New Roman"/>
                      <w:b/>
                      <w:bCs/>
                      <w:color w:val="auto"/>
                      <w:highlight w:val="none"/>
                    </w:rPr>
                    <w:t>名称</w:t>
                  </w:r>
                </w:p>
              </w:tc>
              <w:tc>
                <w:tcPr>
                  <w:tcW w:w="562" w:type="pct"/>
                  <w:vAlign w:val="center"/>
                </w:tcPr>
                <w:p w14:paraId="300362C3">
                  <w:pPr>
                    <w:pStyle w:val="13"/>
                    <w:rPr>
                      <w:rFonts w:cs="Times New Roman"/>
                      <w:b/>
                      <w:bCs/>
                      <w:color w:val="auto"/>
                      <w:highlight w:val="none"/>
                    </w:rPr>
                  </w:pPr>
                  <w:r>
                    <w:rPr>
                      <w:rFonts w:cs="Times New Roman"/>
                      <w:b/>
                      <w:bCs/>
                      <w:color w:val="auto"/>
                      <w:highlight w:val="none"/>
                    </w:rPr>
                    <w:t>年用量</w:t>
                  </w:r>
                </w:p>
              </w:tc>
              <w:tc>
                <w:tcPr>
                  <w:tcW w:w="703" w:type="pct"/>
                  <w:vAlign w:val="center"/>
                </w:tcPr>
                <w:p w14:paraId="0CF0AF9B">
                  <w:pPr>
                    <w:pStyle w:val="13"/>
                    <w:rPr>
                      <w:rFonts w:cs="Times New Roman"/>
                      <w:b/>
                      <w:bCs/>
                      <w:color w:val="auto"/>
                      <w:highlight w:val="none"/>
                    </w:rPr>
                  </w:pPr>
                  <w:r>
                    <w:rPr>
                      <w:rFonts w:cs="Times New Roman"/>
                      <w:b/>
                      <w:bCs/>
                      <w:color w:val="auto"/>
                      <w:highlight w:val="none"/>
                    </w:rPr>
                    <w:t>最大贮存量</w:t>
                  </w:r>
                </w:p>
              </w:tc>
              <w:tc>
                <w:tcPr>
                  <w:tcW w:w="412" w:type="pct"/>
                  <w:vAlign w:val="center"/>
                </w:tcPr>
                <w:p w14:paraId="088D7BD8">
                  <w:pPr>
                    <w:pStyle w:val="13"/>
                    <w:rPr>
                      <w:rFonts w:cs="Times New Roman"/>
                      <w:b/>
                      <w:bCs/>
                      <w:color w:val="auto"/>
                      <w:highlight w:val="none"/>
                    </w:rPr>
                  </w:pPr>
                  <w:r>
                    <w:rPr>
                      <w:rFonts w:cs="Times New Roman"/>
                      <w:b/>
                      <w:bCs/>
                      <w:color w:val="auto"/>
                      <w:highlight w:val="none"/>
                    </w:rPr>
                    <w:t>状态</w:t>
                  </w:r>
                </w:p>
              </w:tc>
              <w:tc>
                <w:tcPr>
                  <w:tcW w:w="1358" w:type="pct"/>
                  <w:vAlign w:val="center"/>
                </w:tcPr>
                <w:p w14:paraId="36D4B93A">
                  <w:pPr>
                    <w:pStyle w:val="13"/>
                    <w:rPr>
                      <w:rFonts w:cs="Times New Roman"/>
                      <w:b/>
                      <w:bCs/>
                      <w:color w:val="auto"/>
                      <w:highlight w:val="none"/>
                    </w:rPr>
                  </w:pPr>
                  <w:r>
                    <w:rPr>
                      <w:rFonts w:cs="Times New Roman"/>
                      <w:b/>
                      <w:bCs/>
                      <w:color w:val="auto"/>
                      <w:highlight w:val="none"/>
                    </w:rPr>
                    <w:t>储存位置/规格</w:t>
                  </w:r>
                </w:p>
              </w:tc>
              <w:tc>
                <w:tcPr>
                  <w:tcW w:w="863" w:type="pct"/>
                  <w:vAlign w:val="center"/>
                </w:tcPr>
                <w:p w14:paraId="19D2C2E9">
                  <w:pPr>
                    <w:pStyle w:val="13"/>
                    <w:rPr>
                      <w:rFonts w:cs="Times New Roman"/>
                      <w:b/>
                      <w:bCs/>
                      <w:color w:val="auto"/>
                      <w:highlight w:val="none"/>
                    </w:rPr>
                  </w:pPr>
                  <w:r>
                    <w:rPr>
                      <w:rFonts w:cs="Times New Roman"/>
                      <w:b/>
                      <w:bCs/>
                      <w:color w:val="auto"/>
                      <w:highlight w:val="none"/>
                    </w:rPr>
                    <w:t>备注</w:t>
                  </w:r>
                </w:p>
              </w:tc>
            </w:tr>
            <w:tr w14:paraId="0359B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vAlign w:val="center"/>
                </w:tcPr>
                <w:p w14:paraId="2AD3CB72">
                  <w:pPr>
                    <w:pStyle w:val="13"/>
                    <w:rPr>
                      <w:rFonts w:hint="eastAsia" w:eastAsia="宋体" w:cs="Times New Roman"/>
                      <w:color w:val="auto"/>
                      <w:highlight w:val="none"/>
                      <w:lang w:eastAsia="zh-CN"/>
                    </w:rPr>
                  </w:pPr>
                  <w:r>
                    <w:rPr>
                      <w:rFonts w:hint="eastAsia" w:cs="Times New Roman"/>
                      <w:color w:val="auto"/>
                      <w:highlight w:val="none"/>
                      <w:lang w:val="en-US" w:eastAsia="zh-CN"/>
                    </w:rPr>
                    <w:t>一期</w:t>
                  </w:r>
                </w:p>
              </w:tc>
              <w:tc>
                <w:tcPr>
                  <w:tcW w:w="721" w:type="pct"/>
                  <w:vAlign w:val="center"/>
                </w:tcPr>
                <w:p w14:paraId="1A308B44">
                  <w:pPr>
                    <w:pStyle w:val="13"/>
                    <w:rPr>
                      <w:rFonts w:cs="Times New Roman"/>
                      <w:color w:val="auto"/>
                      <w:highlight w:val="none"/>
                    </w:rPr>
                  </w:pPr>
                  <w:r>
                    <w:rPr>
                      <w:rFonts w:cs="Times New Roman"/>
                      <w:color w:val="auto"/>
                      <w:highlight w:val="none"/>
                    </w:rPr>
                    <w:t>秸秆</w:t>
                  </w:r>
                </w:p>
              </w:tc>
              <w:tc>
                <w:tcPr>
                  <w:tcW w:w="562" w:type="pct"/>
                  <w:vAlign w:val="center"/>
                </w:tcPr>
                <w:p w14:paraId="535B61AE">
                  <w:pPr>
                    <w:pStyle w:val="13"/>
                    <w:rPr>
                      <w:rFonts w:cs="Times New Roman"/>
                      <w:color w:val="auto"/>
                      <w:highlight w:val="none"/>
                    </w:rPr>
                  </w:pPr>
                  <w:r>
                    <w:rPr>
                      <w:rFonts w:cs="Times New Roman"/>
                      <w:color w:val="auto"/>
                      <w:highlight w:val="none"/>
                    </w:rPr>
                    <w:t>1</w:t>
                  </w:r>
                  <w:r>
                    <w:rPr>
                      <w:rFonts w:hint="eastAsia" w:cs="Times New Roman"/>
                      <w:color w:val="auto"/>
                      <w:highlight w:val="none"/>
                      <w:lang w:val="en-US" w:eastAsia="zh-CN"/>
                    </w:rPr>
                    <w:t>0</w:t>
                  </w:r>
                  <w:r>
                    <w:rPr>
                      <w:rFonts w:cs="Times New Roman"/>
                      <w:color w:val="auto"/>
                      <w:highlight w:val="none"/>
                    </w:rPr>
                    <w:t>000</w:t>
                  </w:r>
                </w:p>
              </w:tc>
              <w:tc>
                <w:tcPr>
                  <w:tcW w:w="703" w:type="pct"/>
                  <w:vAlign w:val="center"/>
                </w:tcPr>
                <w:p w14:paraId="73BF2FF7">
                  <w:pPr>
                    <w:pStyle w:val="13"/>
                    <w:rPr>
                      <w:rFonts w:cs="Times New Roman"/>
                      <w:color w:val="auto"/>
                      <w:highlight w:val="none"/>
                    </w:rPr>
                  </w:pPr>
                  <w:r>
                    <w:rPr>
                      <w:rFonts w:hint="eastAsia" w:cs="Times New Roman"/>
                      <w:color w:val="auto"/>
                      <w:highlight w:val="none"/>
                      <w:lang w:val="en-US" w:eastAsia="zh-CN"/>
                    </w:rPr>
                    <w:t>10</w:t>
                  </w:r>
                  <w:r>
                    <w:rPr>
                      <w:rFonts w:cs="Times New Roman"/>
                      <w:color w:val="auto"/>
                      <w:highlight w:val="none"/>
                    </w:rPr>
                    <w:t>000</w:t>
                  </w:r>
                </w:p>
              </w:tc>
              <w:tc>
                <w:tcPr>
                  <w:tcW w:w="412" w:type="pct"/>
                  <w:vAlign w:val="center"/>
                </w:tcPr>
                <w:p w14:paraId="08A01C2E">
                  <w:pPr>
                    <w:pStyle w:val="13"/>
                    <w:rPr>
                      <w:rFonts w:cs="Times New Roman"/>
                      <w:color w:val="auto"/>
                      <w:highlight w:val="none"/>
                    </w:rPr>
                  </w:pPr>
                  <w:r>
                    <w:rPr>
                      <w:rFonts w:cs="Times New Roman"/>
                      <w:color w:val="auto"/>
                      <w:highlight w:val="none"/>
                    </w:rPr>
                    <w:t>固态</w:t>
                  </w:r>
                </w:p>
              </w:tc>
              <w:tc>
                <w:tcPr>
                  <w:tcW w:w="1358" w:type="pct"/>
                  <w:vAlign w:val="center"/>
                </w:tcPr>
                <w:p w14:paraId="0165D786">
                  <w:pPr>
                    <w:pStyle w:val="13"/>
                    <w:rPr>
                      <w:rFonts w:cs="Times New Roman"/>
                      <w:color w:val="auto"/>
                      <w:highlight w:val="none"/>
                    </w:rPr>
                  </w:pPr>
                  <w:r>
                    <w:rPr>
                      <w:rFonts w:cs="Times New Roman"/>
                      <w:color w:val="auto"/>
                      <w:highlight w:val="none"/>
                    </w:rPr>
                    <w:t>30kg/捆装-</w:t>
                  </w:r>
                  <w:r>
                    <w:rPr>
                      <w:rFonts w:hint="eastAsia" w:cs="Times New Roman"/>
                      <w:color w:val="auto"/>
                      <w:highlight w:val="none"/>
                    </w:rPr>
                    <w:t>原料仓库</w:t>
                  </w:r>
                </w:p>
              </w:tc>
              <w:tc>
                <w:tcPr>
                  <w:tcW w:w="863" w:type="pct"/>
                  <w:vMerge w:val="restart"/>
                  <w:vAlign w:val="center"/>
                </w:tcPr>
                <w:p w14:paraId="0ACA5BA9">
                  <w:pPr>
                    <w:pStyle w:val="13"/>
                    <w:rPr>
                      <w:rFonts w:hint="eastAsia" w:cs="Times New Roman"/>
                      <w:color w:val="auto"/>
                      <w:highlight w:val="none"/>
                    </w:rPr>
                  </w:pPr>
                  <w:r>
                    <w:rPr>
                      <w:rFonts w:hint="eastAsia" w:cs="Times New Roman"/>
                      <w:color w:val="auto"/>
                      <w:highlight w:val="none"/>
                    </w:rPr>
                    <w:t>就近</w:t>
                  </w:r>
                  <w:r>
                    <w:rPr>
                      <w:rFonts w:cs="Times New Roman"/>
                      <w:color w:val="auto"/>
                      <w:highlight w:val="none"/>
                    </w:rPr>
                    <w:t>收购</w:t>
                  </w:r>
                  <w:r>
                    <w:rPr>
                      <w:rStyle w:val="12"/>
                      <w:rFonts w:hint="eastAsia"/>
                      <w:color w:val="auto"/>
                      <w:highlight w:val="none"/>
                      <w:lang w:eastAsia="zh-CN"/>
                    </w:rPr>
                    <w:t>，</w:t>
                  </w:r>
                  <w:r>
                    <w:rPr>
                      <w:rStyle w:val="12"/>
                      <w:rFonts w:hint="eastAsia"/>
                      <w:color w:val="auto"/>
                      <w:highlight w:val="none"/>
                      <w:lang w:val="en-US" w:eastAsia="zh-CN"/>
                    </w:rPr>
                    <w:t>含水率</w:t>
                  </w:r>
                  <w:r>
                    <w:rPr>
                      <w:rStyle w:val="12"/>
                      <w:rFonts w:hint="eastAsia"/>
                      <w:color w:val="auto"/>
                      <w:highlight w:val="none"/>
                      <w:lang w:eastAsia="zh-CN"/>
                    </w:rPr>
                    <w:t>15-20%</w:t>
                  </w:r>
                  <w:r>
                    <w:rPr>
                      <w:rFonts w:cs="Times New Roman"/>
                      <w:color w:val="auto"/>
                      <w:highlight w:val="none"/>
                    </w:rPr>
                    <w:t>/</w:t>
                  </w:r>
                </w:p>
              </w:tc>
            </w:tr>
            <w:tr w14:paraId="1C0AB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vMerge w:val="restart"/>
                  <w:vAlign w:val="center"/>
                </w:tcPr>
                <w:p w14:paraId="4D89BC4A">
                  <w:pPr>
                    <w:pStyle w:val="13"/>
                    <w:rPr>
                      <w:rFonts w:hint="eastAsia" w:eastAsia="宋体" w:cs="Times New Roman"/>
                      <w:color w:val="auto"/>
                      <w:highlight w:val="none"/>
                      <w:lang w:eastAsia="zh-CN"/>
                    </w:rPr>
                  </w:pPr>
                  <w:r>
                    <w:rPr>
                      <w:rFonts w:hint="eastAsia" w:cs="Times New Roman"/>
                      <w:color w:val="auto"/>
                      <w:highlight w:val="none"/>
                      <w:lang w:val="en-US" w:eastAsia="zh-CN"/>
                    </w:rPr>
                    <w:t>二期</w:t>
                  </w:r>
                </w:p>
              </w:tc>
              <w:tc>
                <w:tcPr>
                  <w:tcW w:w="721" w:type="pct"/>
                  <w:vAlign w:val="center"/>
                </w:tcPr>
                <w:p w14:paraId="69150EED">
                  <w:pPr>
                    <w:pStyle w:val="13"/>
                    <w:rPr>
                      <w:rFonts w:cs="Times New Roman"/>
                      <w:color w:val="auto"/>
                      <w:highlight w:val="none"/>
                    </w:rPr>
                  </w:pPr>
                  <w:r>
                    <w:rPr>
                      <w:rFonts w:cs="Times New Roman"/>
                      <w:color w:val="auto"/>
                      <w:highlight w:val="none"/>
                    </w:rPr>
                    <w:t>秸秆</w:t>
                  </w:r>
                </w:p>
              </w:tc>
              <w:tc>
                <w:tcPr>
                  <w:tcW w:w="562" w:type="pct"/>
                  <w:vAlign w:val="center"/>
                </w:tcPr>
                <w:p w14:paraId="44653DA1">
                  <w:pPr>
                    <w:pStyle w:val="13"/>
                    <w:rPr>
                      <w:rFonts w:hint="default" w:eastAsia="宋体" w:cs="Times New Roman"/>
                      <w:color w:val="auto"/>
                      <w:highlight w:val="none"/>
                      <w:lang w:val="en-US" w:eastAsia="zh-CN"/>
                    </w:rPr>
                  </w:pPr>
                  <w:r>
                    <w:rPr>
                      <w:rFonts w:hint="eastAsia" w:cs="Times New Roman"/>
                      <w:color w:val="auto"/>
                      <w:highlight w:val="none"/>
                      <w:lang w:val="en-US" w:eastAsia="zh-CN"/>
                    </w:rPr>
                    <w:t>5000</w:t>
                  </w:r>
                </w:p>
              </w:tc>
              <w:tc>
                <w:tcPr>
                  <w:tcW w:w="703" w:type="pct"/>
                  <w:vAlign w:val="center"/>
                </w:tcPr>
                <w:p w14:paraId="57FA4F9C">
                  <w:pPr>
                    <w:pStyle w:val="13"/>
                    <w:rPr>
                      <w:rFonts w:hint="default" w:eastAsia="宋体" w:cs="Times New Roman"/>
                      <w:color w:val="auto"/>
                      <w:highlight w:val="none"/>
                      <w:lang w:val="en-US" w:eastAsia="zh-CN"/>
                    </w:rPr>
                  </w:pPr>
                  <w:r>
                    <w:rPr>
                      <w:rFonts w:hint="eastAsia" w:cs="Times New Roman"/>
                      <w:color w:val="auto"/>
                      <w:highlight w:val="none"/>
                      <w:lang w:val="en-US" w:eastAsia="zh-CN"/>
                    </w:rPr>
                    <w:t>5000</w:t>
                  </w:r>
                </w:p>
              </w:tc>
              <w:tc>
                <w:tcPr>
                  <w:tcW w:w="412" w:type="pct"/>
                  <w:vAlign w:val="center"/>
                </w:tcPr>
                <w:p w14:paraId="5DCA405B">
                  <w:pPr>
                    <w:pStyle w:val="13"/>
                    <w:rPr>
                      <w:rFonts w:cs="Times New Roman"/>
                      <w:color w:val="auto"/>
                      <w:highlight w:val="none"/>
                    </w:rPr>
                  </w:pPr>
                  <w:r>
                    <w:rPr>
                      <w:rFonts w:cs="Times New Roman"/>
                      <w:color w:val="auto"/>
                      <w:highlight w:val="none"/>
                    </w:rPr>
                    <w:t>固态</w:t>
                  </w:r>
                </w:p>
              </w:tc>
              <w:tc>
                <w:tcPr>
                  <w:tcW w:w="1358" w:type="pct"/>
                  <w:vAlign w:val="center"/>
                </w:tcPr>
                <w:p w14:paraId="360DDE48">
                  <w:pPr>
                    <w:pStyle w:val="13"/>
                    <w:rPr>
                      <w:rFonts w:cs="Times New Roman"/>
                      <w:color w:val="auto"/>
                      <w:highlight w:val="none"/>
                    </w:rPr>
                  </w:pPr>
                  <w:r>
                    <w:rPr>
                      <w:rFonts w:cs="Times New Roman"/>
                      <w:color w:val="auto"/>
                      <w:highlight w:val="none"/>
                    </w:rPr>
                    <w:t>30kg/捆装-</w:t>
                  </w:r>
                  <w:r>
                    <w:rPr>
                      <w:rFonts w:hint="eastAsia" w:cs="Times New Roman"/>
                      <w:color w:val="auto"/>
                      <w:highlight w:val="none"/>
                    </w:rPr>
                    <w:t>原料仓库</w:t>
                  </w:r>
                </w:p>
              </w:tc>
              <w:tc>
                <w:tcPr>
                  <w:tcW w:w="863" w:type="pct"/>
                  <w:vMerge w:val="continue"/>
                  <w:vAlign w:val="center"/>
                </w:tcPr>
                <w:p w14:paraId="1540B7AC">
                  <w:pPr>
                    <w:pStyle w:val="13"/>
                    <w:ind w:firstLine="0" w:firstLineChars="0"/>
                    <w:rPr>
                      <w:rFonts w:hint="eastAsia" w:cs="Times New Roman"/>
                      <w:color w:val="auto"/>
                      <w:highlight w:val="none"/>
                    </w:rPr>
                  </w:pPr>
                </w:p>
              </w:tc>
            </w:tr>
            <w:tr w14:paraId="33385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vMerge w:val="continue"/>
                  <w:vAlign w:val="center"/>
                </w:tcPr>
                <w:p w14:paraId="24E87051">
                  <w:pPr>
                    <w:pStyle w:val="13"/>
                    <w:rPr>
                      <w:rFonts w:cs="Times New Roman"/>
                      <w:color w:val="auto"/>
                      <w:highlight w:val="none"/>
                    </w:rPr>
                  </w:pPr>
                </w:p>
              </w:tc>
              <w:tc>
                <w:tcPr>
                  <w:tcW w:w="721" w:type="pct"/>
                  <w:vAlign w:val="center"/>
                </w:tcPr>
                <w:p w14:paraId="0429A34E">
                  <w:pPr>
                    <w:pStyle w:val="13"/>
                    <w:rPr>
                      <w:rFonts w:cs="Times New Roman"/>
                      <w:color w:val="auto"/>
                      <w:highlight w:val="none"/>
                    </w:rPr>
                  </w:pPr>
                  <w:r>
                    <w:rPr>
                      <w:rFonts w:cs="Times New Roman"/>
                      <w:color w:val="auto"/>
                      <w:highlight w:val="none"/>
                    </w:rPr>
                    <w:t>石粉</w:t>
                  </w:r>
                </w:p>
              </w:tc>
              <w:tc>
                <w:tcPr>
                  <w:tcW w:w="562" w:type="pct"/>
                  <w:vAlign w:val="center"/>
                </w:tcPr>
                <w:p w14:paraId="4C6A8C93">
                  <w:pPr>
                    <w:pStyle w:val="13"/>
                    <w:rPr>
                      <w:rFonts w:cs="Times New Roman"/>
                      <w:color w:val="auto"/>
                      <w:highlight w:val="none"/>
                    </w:rPr>
                  </w:pPr>
                  <w:r>
                    <w:rPr>
                      <w:rFonts w:hint="eastAsia" w:cs="Times New Roman"/>
                      <w:color w:val="auto"/>
                      <w:highlight w:val="none"/>
                    </w:rPr>
                    <w:t>2</w:t>
                  </w:r>
                  <w:r>
                    <w:rPr>
                      <w:rFonts w:cs="Times New Roman"/>
                      <w:color w:val="auto"/>
                      <w:highlight w:val="none"/>
                    </w:rPr>
                    <w:t>00</w:t>
                  </w:r>
                </w:p>
              </w:tc>
              <w:tc>
                <w:tcPr>
                  <w:tcW w:w="703" w:type="pct"/>
                  <w:vAlign w:val="center"/>
                </w:tcPr>
                <w:p w14:paraId="2E9FC7CF">
                  <w:pPr>
                    <w:pStyle w:val="13"/>
                    <w:rPr>
                      <w:rFonts w:cs="Times New Roman"/>
                      <w:color w:val="auto"/>
                      <w:highlight w:val="none"/>
                    </w:rPr>
                  </w:pPr>
                  <w:r>
                    <w:rPr>
                      <w:rFonts w:hint="eastAsia" w:cs="Times New Roman"/>
                      <w:color w:val="auto"/>
                      <w:highlight w:val="none"/>
                    </w:rPr>
                    <w:t>20</w:t>
                  </w:r>
                </w:p>
              </w:tc>
              <w:tc>
                <w:tcPr>
                  <w:tcW w:w="412" w:type="pct"/>
                  <w:vAlign w:val="center"/>
                </w:tcPr>
                <w:p w14:paraId="42C112F6">
                  <w:pPr>
                    <w:pStyle w:val="13"/>
                    <w:rPr>
                      <w:rFonts w:cs="Times New Roman"/>
                      <w:color w:val="auto"/>
                      <w:highlight w:val="none"/>
                    </w:rPr>
                  </w:pPr>
                  <w:r>
                    <w:rPr>
                      <w:rFonts w:cs="Times New Roman"/>
                      <w:color w:val="auto"/>
                      <w:highlight w:val="none"/>
                    </w:rPr>
                    <w:t>固态</w:t>
                  </w:r>
                </w:p>
              </w:tc>
              <w:tc>
                <w:tcPr>
                  <w:tcW w:w="1358" w:type="pct"/>
                  <w:vAlign w:val="center"/>
                </w:tcPr>
                <w:p w14:paraId="04013B24">
                  <w:pPr>
                    <w:pStyle w:val="13"/>
                    <w:rPr>
                      <w:rFonts w:cs="Times New Roman"/>
                      <w:color w:val="auto"/>
                      <w:highlight w:val="none"/>
                    </w:rPr>
                  </w:pPr>
                  <w:r>
                    <w:rPr>
                      <w:rFonts w:cs="Times New Roman"/>
                      <w:color w:val="auto"/>
                      <w:highlight w:val="none"/>
                    </w:rPr>
                    <w:t>1t/吨袋-</w:t>
                  </w:r>
                  <w:r>
                    <w:rPr>
                      <w:rFonts w:hint="eastAsia" w:cs="Times New Roman"/>
                      <w:color w:val="auto"/>
                      <w:highlight w:val="none"/>
                    </w:rPr>
                    <w:t>原料仓库</w:t>
                  </w:r>
                </w:p>
              </w:tc>
              <w:tc>
                <w:tcPr>
                  <w:tcW w:w="863" w:type="pct"/>
                  <w:vAlign w:val="center"/>
                </w:tcPr>
                <w:p w14:paraId="3E468A67">
                  <w:pPr>
                    <w:pStyle w:val="13"/>
                    <w:ind w:firstLine="0" w:firstLineChars="0"/>
                    <w:rPr>
                      <w:rFonts w:cs="Times New Roman"/>
                      <w:color w:val="auto"/>
                      <w:highlight w:val="none"/>
                    </w:rPr>
                  </w:pPr>
                  <w:r>
                    <w:rPr>
                      <w:rFonts w:cs="Times New Roman"/>
                      <w:color w:val="auto"/>
                      <w:highlight w:val="none"/>
                    </w:rPr>
                    <w:t>/</w:t>
                  </w:r>
                </w:p>
              </w:tc>
            </w:tr>
            <w:tr w14:paraId="65452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vMerge w:val="continue"/>
                  <w:vAlign w:val="center"/>
                </w:tcPr>
                <w:p w14:paraId="14AE8937">
                  <w:pPr>
                    <w:pStyle w:val="13"/>
                    <w:rPr>
                      <w:rFonts w:cs="Times New Roman"/>
                      <w:color w:val="auto"/>
                      <w:highlight w:val="none"/>
                    </w:rPr>
                  </w:pPr>
                </w:p>
              </w:tc>
              <w:tc>
                <w:tcPr>
                  <w:tcW w:w="721" w:type="pct"/>
                  <w:vAlign w:val="center"/>
                </w:tcPr>
                <w:p w14:paraId="06D2B915">
                  <w:pPr>
                    <w:pStyle w:val="13"/>
                    <w:rPr>
                      <w:rFonts w:cs="Times New Roman"/>
                      <w:color w:val="auto"/>
                      <w:highlight w:val="none"/>
                    </w:rPr>
                  </w:pPr>
                  <w:r>
                    <w:rPr>
                      <w:rFonts w:cs="Times New Roman"/>
                      <w:color w:val="auto"/>
                      <w:highlight w:val="none"/>
                    </w:rPr>
                    <w:t>氨基酸</w:t>
                  </w:r>
                </w:p>
              </w:tc>
              <w:tc>
                <w:tcPr>
                  <w:tcW w:w="562" w:type="pct"/>
                  <w:vAlign w:val="center"/>
                </w:tcPr>
                <w:p w14:paraId="5D1313A6">
                  <w:pPr>
                    <w:pStyle w:val="13"/>
                    <w:rPr>
                      <w:rFonts w:cs="Times New Roman"/>
                      <w:color w:val="auto"/>
                      <w:highlight w:val="none"/>
                    </w:rPr>
                  </w:pPr>
                  <w:r>
                    <w:rPr>
                      <w:rFonts w:hint="eastAsia" w:cs="Times New Roman"/>
                      <w:color w:val="auto"/>
                      <w:highlight w:val="none"/>
                    </w:rPr>
                    <w:t>50</w:t>
                  </w:r>
                </w:p>
              </w:tc>
              <w:tc>
                <w:tcPr>
                  <w:tcW w:w="703" w:type="pct"/>
                  <w:vAlign w:val="center"/>
                </w:tcPr>
                <w:p w14:paraId="3FE5A9E9">
                  <w:pPr>
                    <w:pStyle w:val="13"/>
                    <w:rPr>
                      <w:rFonts w:cs="Times New Roman"/>
                      <w:color w:val="auto"/>
                      <w:highlight w:val="none"/>
                    </w:rPr>
                  </w:pPr>
                  <w:r>
                    <w:rPr>
                      <w:rFonts w:hint="eastAsia" w:cs="Times New Roman"/>
                      <w:color w:val="auto"/>
                      <w:highlight w:val="none"/>
                    </w:rPr>
                    <w:t>5</w:t>
                  </w:r>
                </w:p>
              </w:tc>
              <w:tc>
                <w:tcPr>
                  <w:tcW w:w="412" w:type="pct"/>
                  <w:vAlign w:val="center"/>
                </w:tcPr>
                <w:p w14:paraId="68B42AFB">
                  <w:pPr>
                    <w:pStyle w:val="13"/>
                    <w:rPr>
                      <w:rFonts w:cs="Times New Roman"/>
                      <w:color w:val="auto"/>
                      <w:highlight w:val="none"/>
                    </w:rPr>
                  </w:pPr>
                  <w:r>
                    <w:rPr>
                      <w:rFonts w:cs="Times New Roman"/>
                      <w:color w:val="auto"/>
                      <w:highlight w:val="none"/>
                    </w:rPr>
                    <w:t>固态</w:t>
                  </w:r>
                </w:p>
              </w:tc>
              <w:tc>
                <w:tcPr>
                  <w:tcW w:w="1358" w:type="pct"/>
                  <w:vAlign w:val="center"/>
                </w:tcPr>
                <w:p w14:paraId="62E1C921">
                  <w:pPr>
                    <w:pStyle w:val="13"/>
                    <w:rPr>
                      <w:rFonts w:cs="Times New Roman"/>
                      <w:color w:val="auto"/>
                      <w:highlight w:val="none"/>
                    </w:rPr>
                  </w:pPr>
                  <w:r>
                    <w:rPr>
                      <w:rFonts w:hint="eastAsia" w:cs="Times New Roman"/>
                      <w:color w:val="auto"/>
                      <w:highlight w:val="none"/>
                    </w:rPr>
                    <w:t>50</w:t>
                  </w:r>
                  <w:r>
                    <w:rPr>
                      <w:rFonts w:cs="Times New Roman"/>
                      <w:color w:val="auto"/>
                      <w:highlight w:val="none"/>
                    </w:rPr>
                    <w:t>kg/袋装-</w:t>
                  </w:r>
                  <w:r>
                    <w:rPr>
                      <w:rFonts w:hint="eastAsia" w:cs="Times New Roman"/>
                      <w:color w:val="auto"/>
                      <w:highlight w:val="none"/>
                    </w:rPr>
                    <w:t>原料仓库</w:t>
                  </w:r>
                </w:p>
              </w:tc>
              <w:tc>
                <w:tcPr>
                  <w:tcW w:w="863" w:type="pct"/>
                  <w:vAlign w:val="center"/>
                </w:tcPr>
                <w:p w14:paraId="0AEDF10D">
                  <w:pPr>
                    <w:pStyle w:val="13"/>
                    <w:ind w:firstLine="0" w:firstLineChars="0"/>
                    <w:rPr>
                      <w:rFonts w:cs="Times New Roman"/>
                      <w:color w:val="auto"/>
                      <w:highlight w:val="none"/>
                    </w:rPr>
                  </w:pPr>
                  <w:r>
                    <w:rPr>
                      <w:rFonts w:cs="Times New Roman"/>
                      <w:color w:val="auto"/>
                      <w:highlight w:val="none"/>
                    </w:rPr>
                    <w:t>/</w:t>
                  </w:r>
                </w:p>
              </w:tc>
            </w:tr>
            <w:tr w14:paraId="47E2B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vMerge w:val="continue"/>
                  <w:vAlign w:val="center"/>
                </w:tcPr>
                <w:p w14:paraId="2A2BE450">
                  <w:pPr>
                    <w:pStyle w:val="13"/>
                    <w:rPr>
                      <w:rFonts w:cs="Times New Roman"/>
                      <w:color w:val="auto"/>
                      <w:highlight w:val="none"/>
                    </w:rPr>
                  </w:pPr>
                </w:p>
              </w:tc>
              <w:tc>
                <w:tcPr>
                  <w:tcW w:w="721" w:type="pct"/>
                  <w:vAlign w:val="center"/>
                </w:tcPr>
                <w:p w14:paraId="70E2A6ED">
                  <w:pPr>
                    <w:pStyle w:val="13"/>
                    <w:rPr>
                      <w:rFonts w:cs="Times New Roman"/>
                      <w:color w:val="auto"/>
                      <w:highlight w:val="none"/>
                    </w:rPr>
                  </w:pPr>
                  <w:r>
                    <w:rPr>
                      <w:rFonts w:cs="Times New Roman"/>
                      <w:color w:val="auto"/>
                      <w:highlight w:val="none"/>
                    </w:rPr>
                    <w:t>乳清粉</w:t>
                  </w:r>
                </w:p>
              </w:tc>
              <w:tc>
                <w:tcPr>
                  <w:tcW w:w="562" w:type="pct"/>
                  <w:vAlign w:val="center"/>
                </w:tcPr>
                <w:p w14:paraId="422AD872">
                  <w:pPr>
                    <w:pStyle w:val="13"/>
                    <w:rPr>
                      <w:rFonts w:cs="Times New Roman"/>
                      <w:color w:val="auto"/>
                      <w:highlight w:val="none"/>
                    </w:rPr>
                  </w:pPr>
                  <w:r>
                    <w:rPr>
                      <w:rFonts w:cs="Times New Roman"/>
                      <w:color w:val="auto"/>
                      <w:highlight w:val="none"/>
                    </w:rPr>
                    <w:t>25</w:t>
                  </w:r>
                  <w:r>
                    <w:rPr>
                      <w:rFonts w:hint="eastAsia" w:cs="Times New Roman"/>
                      <w:color w:val="auto"/>
                      <w:highlight w:val="none"/>
                    </w:rPr>
                    <w:t>0</w:t>
                  </w:r>
                </w:p>
              </w:tc>
              <w:tc>
                <w:tcPr>
                  <w:tcW w:w="703" w:type="pct"/>
                  <w:vAlign w:val="center"/>
                </w:tcPr>
                <w:p w14:paraId="00BE5B1E">
                  <w:pPr>
                    <w:pStyle w:val="13"/>
                    <w:rPr>
                      <w:rFonts w:cs="Times New Roman"/>
                      <w:color w:val="auto"/>
                      <w:highlight w:val="none"/>
                    </w:rPr>
                  </w:pPr>
                  <w:r>
                    <w:rPr>
                      <w:rFonts w:hint="eastAsia" w:cs="Times New Roman"/>
                      <w:color w:val="auto"/>
                      <w:highlight w:val="none"/>
                    </w:rPr>
                    <w:t>25</w:t>
                  </w:r>
                </w:p>
              </w:tc>
              <w:tc>
                <w:tcPr>
                  <w:tcW w:w="412" w:type="pct"/>
                  <w:vAlign w:val="center"/>
                </w:tcPr>
                <w:p w14:paraId="21BA4F3D">
                  <w:pPr>
                    <w:pStyle w:val="13"/>
                    <w:rPr>
                      <w:rFonts w:cs="Times New Roman"/>
                      <w:color w:val="auto"/>
                      <w:highlight w:val="none"/>
                    </w:rPr>
                  </w:pPr>
                  <w:r>
                    <w:rPr>
                      <w:rFonts w:cs="Times New Roman"/>
                      <w:color w:val="auto"/>
                      <w:highlight w:val="none"/>
                    </w:rPr>
                    <w:t>固态</w:t>
                  </w:r>
                </w:p>
              </w:tc>
              <w:tc>
                <w:tcPr>
                  <w:tcW w:w="1358" w:type="pct"/>
                  <w:vAlign w:val="center"/>
                </w:tcPr>
                <w:p w14:paraId="037E99A0">
                  <w:pPr>
                    <w:pStyle w:val="13"/>
                    <w:rPr>
                      <w:rFonts w:cs="Times New Roman"/>
                      <w:color w:val="auto"/>
                      <w:highlight w:val="none"/>
                    </w:rPr>
                  </w:pPr>
                  <w:r>
                    <w:rPr>
                      <w:rFonts w:hint="eastAsia" w:cs="Times New Roman"/>
                      <w:color w:val="auto"/>
                      <w:highlight w:val="none"/>
                    </w:rPr>
                    <w:t>50</w:t>
                  </w:r>
                  <w:r>
                    <w:rPr>
                      <w:rFonts w:cs="Times New Roman"/>
                      <w:color w:val="auto"/>
                      <w:highlight w:val="none"/>
                    </w:rPr>
                    <w:t>kg/袋装-</w:t>
                  </w:r>
                  <w:r>
                    <w:rPr>
                      <w:rFonts w:hint="eastAsia" w:cs="Times New Roman"/>
                      <w:color w:val="auto"/>
                      <w:highlight w:val="none"/>
                    </w:rPr>
                    <w:t>原料仓库</w:t>
                  </w:r>
                </w:p>
              </w:tc>
              <w:tc>
                <w:tcPr>
                  <w:tcW w:w="863" w:type="pct"/>
                  <w:vAlign w:val="center"/>
                </w:tcPr>
                <w:p w14:paraId="2AD85286">
                  <w:pPr>
                    <w:pStyle w:val="13"/>
                    <w:ind w:firstLine="0" w:firstLineChars="0"/>
                    <w:rPr>
                      <w:rFonts w:cs="Times New Roman"/>
                      <w:color w:val="auto"/>
                      <w:highlight w:val="none"/>
                    </w:rPr>
                  </w:pPr>
                  <w:r>
                    <w:rPr>
                      <w:rFonts w:cs="Times New Roman"/>
                      <w:color w:val="auto"/>
                      <w:highlight w:val="none"/>
                    </w:rPr>
                    <w:t>/</w:t>
                  </w:r>
                </w:p>
              </w:tc>
            </w:tr>
            <w:tr w14:paraId="61C92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vMerge w:val="continue"/>
                  <w:vAlign w:val="center"/>
                </w:tcPr>
                <w:p w14:paraId="5F256F8D">
                  <w:pPr>
                    <w:pStyle w:val="13"/>
                    <w:rPr>
                      <w:rFonts w:cs="Times New Roman"/>
                      <w:color w:val="auto"/>
                      <w:highlight w:val="none"/>
                    </w:rPr>
                  </w:pPr>
                </w:p>
              </w:tc>
              <w:tc>
                <w:tcPr>
                  <w:tcW w:w="721" w:type="pct"/>
                  <w:vAlign w:val="center"/>
                </w:tcPr>
                <w:p w14:paraId="3A356BA9">
                  <w:pPr>
                    <w:pStyle w:val="13"/>
                    <w:rPr>
                      <w:rFonts w:cs="Times New Roman"/>
                      <w:color w:val="auto"/>
                      <w:highlight w:val="none"/>
                    </w:rPr>
                  </w:pPr>
                  <w:r>
                    <w:rPr>
                      <w:rFonts w:cs="Times New Roman"/>
                      <w:color w:val="auto"/>
                      <w:highlight w:val="none"/>
                    </w:rPr>
                    <w:t>多维粉</w:t>
                  </w:r>
                </w:p>
              </w:tc>
              <w:tc>
                <w:tcPr>
                  <w:tcW w:w="562" w:type="pct"/>
                  <w:vAlign w:val="center"/>
                </w:tcPr>
                <w:p w14:paraId="2E6FFA67">
                  <w:pPr>
                    <w:pStyle w:val="13"/>
                    <w:rPr>
                      <w:rFonts w:cs="Times New Roman"/>
                      <w:color w:val="auto"/>
                      <w:highlight w:val="none"/>
                    </w:rPr>
                  </w:pPr>
                  <w:r>
                    <w:rPr>
                      <w:rFonts w:hint="eastAsia" w:cs="Times New Roman"/>
                      <w:color w:val="auto"/>
                      <w:highlight w:val="none"/>
                    </w:rPr>
                    <w:t>1</w:t>
                  </w:r>
                  <w:r>
                    <w:rPr>
                      <w:rFonts w:cs="Times New Roman"/>
                      <w:color w:val="auto"/>
                      <w:highlight w:val="none"/>
                    </w:rPr>
                    <w:t>50</w:t>
                  </w:r>
                </w:p>
              </w:tc>
              <w:tc>
                <w:tcPr>
                  <w:tcW w:w="703" w:type="pct"/>
                  <w:vAlign w:val="center"/>
                </w:tcPr>
                <w:p w14:paraId="18E60A40">
                  <w:pPr>
                    <w:pStyle w:val="13"/>
                    <w:rPr>
                      <w:rFonts w:cs="Times New Roman"/>
                      <w:color w:val="auto"/>
                      <w:highlight w:val="none"/>
                    </w:rPr>
                  </w:pPr>
                  <w:r>
                    <w:rPr>
                      <w:rFonts w:hint="eastAsia" w:cs="Times New Roman"/>
                      <w:color w:val="auto"/>
                      <w:highlight w:val="none"/>
                    </w:rPr>
                    <w:t>15</w:t>
                  </w:r>
                </w:p>
              </w:tc>
              <w:tc>
                <w:tcPr>
                  <w:tcW w:w="412" w:type="pct"/>
                  <w:vAlign w:val="center"/>
                </w:tcPr>
                <w:p w14:paraId="4C240201">
                  <w:pPr>
                    <w:pStyle w:val="13"/>
                    <w:rPr>
                      <w:rFonts w:cs="Times New Roman"/>
                      <w:color w:val="auto"/>
                      <w:highlight w:val="none"/>
                    </w:rPr>
                  </w:pPr>
                  <w:r>
                    <w:rPr>
                      <w:rFonts w:cs="Times New Roman"/>
                      <w:color w:val="auto"/>
                      <w:highlight w:val="none"/>
                    </w:rPr>
                    <w:t>固态</w:t>
                  </w:r>
                </w:p>
              </w:tc>
              <w:tc>
                <w:tcPr>
                  <w:tcW w:w="1358" w:type="pct"/>
                  <w:vAlign w:val="center"/>
                </w:tcPr>
                <w:p w14:paraId="1C6DC884">
                  <w:pPr>
                    <w:pStyle w:val="13"/>
                    <w:rPr>
                      <w:rFonts w:cs="Times New Roman"/>
                      <w:color w:val="auto"/>
                      <w:highlight w:val="none"/>
                    </w:rPr>
                  </w:pPr>
                  <w:r>
                    <w:rPr>
                      <w:rFonts w:hint="eastAsia" w:cs="Times New Roman"/>
                      <w:color w:val="auto"/>
                      <w:highlight w:val="none"/>
                    </w:rPr>
                    <w:t>50</w:t>
                  </w:r>
                  <w:r>
                    <w:rPr>
                      <w:rFonts w:cs="Times New Roman"/>
                      <w:color w:val="auto"/>
                      <w:highlight w:val="none"/>
                    </w:rPr>
                    <w:t>kg/袋装-</w:t>
                  </w:r>
                  <w:r>
                    <w:rPr>
                      <w:rFonts w:hint="eastAsia" w:cs="Times New Roman"/>
                      <w:color w:val="auto"/>
                      <w:highlight w:val="none"/>
                    </w:rPr>
                    <w:t>原料仓库</w:t>
                  </w:r>
                </w:p>
              </w:tc>
              <w:tc>
                <w:tcPr>
                  <w:tcW w:w="863" w:type="pct"/>
                  <w:vAlign w:val="center"/>
                </w:tcPr>
                <w:p w14:paraId="3AB235DD">
                  <w:pPr>
                    <w:pStyle w:val="13"/>
                    <w:ind w:firstLine="0" w:firstLineChars="0"/>
                    <w:rPr>
                      <w:rFonts w:cs="Times New Roman"/>
                      <w:color w:val="auto"/>
                      <w:highlight w:val="none"/>
                    </w:rPr>
                  </w:pPr>
                  <w:r>
                    <w:rPr>
                      <w:rFonts w:cs="Times New Roman"/>
                      <w:color w:val="auto"/>
                      <w:highlight w:val="none"/>
                    </w:rPr>
                    <w:t>/</w:t>
                  </w:r>
                </w:p>
              </w:tc>
            </w:tr>
            <w:tr w14:paraId="385FF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vMerge w:val="continue"/>
                  <w:vAlign w:val="center"/>
                </w:tcPr>
                <w:p w14:paraId="7C965557">
                  <w:pPr>
                    <w:pStyle w:val="13"/>
                    <w:rPr>
                      <w:rFonts w:cs="Times New Roman"/>
                      <w:color w:val="auto"/>
                      <w:highlight w:val="none"/>
                    </w:rPr>
                  </w:pPr>
                </w:p>
              </w:tc>
              <w:tc>
                <w:tcPr>
                  <w:tcW w:w="721" w:type="pct"/>
                  <w:vAlign w:val="center"/>
                </w:tcPr>
                <w:p w14:paraId="2E54EEA1">
                  <w:pPr>
                    <w:pStyle w:val="13"/>
                    <w:rPr>
                      <w:rFonts w:cs="Times New Roman"/>
                      <w:color w:val="auto"/>
                      <w:highlight w:val="none"/>
                    </w:rPr>
                  </w:pPr>
                  <w:r>
                    <w:rPr>
                      <w:rFonts w:cs="Times New Roman"/>
                      <w:color w:val="auto"/>
                      <w:highlight w:val="none"/>
                    </w:rPr>
                    <w:t>豆油</w:t>
                  </w:r>
                </w:p>
              </w:tc>
              <w:tc>
                <w:tcPr>
                  <w:tcW w:w="562" w:type="pct"/>
                  <w:vAlign w:val="center"/>
                </w:tcPr>
                <w:p w14:paraId="0B53726E">
                  <w:pPr>
                    <w:pStyle w:val="13"/>
                    <w:rPr>
                      <w:rFonts w:cs="Times New Roman"/>
                      <w:color w:val="auto"/>
                      <w:highlight w:val="none"/>
                    </w:rPr>
                  </w:pPr>
                  <w:r>
                    <w:rPr>
                      <w:rFonts w:hint="eastAsia" w:cs="Times New Roman"/>
                      <w:color w:val="auto"/>
                      <w:highlight w:val="none"/>
                    </w:rPr>
                    <w:t>100</w:t>
                  </w:r>
                </w:p>
              </w:tc>
              <w:tc>
                <w:tcPr>
                  <w:tcW w:w="703" w:type="pct"/>
                  <w:vAlign w:val="center"/>
                </w:tcPr>
                <w:p w14:paraId="1B599492">
                  <w:pPr>
                    <w:pStyle w:val="13"/>
                    <w:rPr>
                      <w:rFonts w:cs="Times New Roman"/>
                      <w:color w:val="auto"/>
                      <w:highlight w:val="none"/>
                    </w:rPr>
                  </w:pPr>
                  <w:r>
                    <w:rPr>
                      <w:rFonts w:hint="eastAsia" w:cs="Times New Roman"/>
                      <w:color w:val="auto"/>
                      <w:highlight w:val="none"/>
                    </w:rPr>
                    <w:t>10</w:t>
                  </w:r>
                </w:p>
              </w:tc>
              <w:tc>
                <w:tcPr>
                  <w:tcW w:w="412" w:type="pct"/>
                  <w:vAlign w:val="center"/>
                </w:tcPr>
                <w:p w14:paraId="56A557C4">
                  <w:pPr>
                    <w:pStyle w:val="13"/>
                    <w:rPr>
                      <w:rFonts w:cs="Times New Roman"/>
                      <w:color w:val="auto"/>
                      <w:highlight w:val="none"/>
                    </w:rPr>
                  </w:pPr>
                  <w:r>
                    <w:rPr>
                      <w:rFonts w:cs="Times New Roman"/>
                      <w:color w:val="auto"/>
                      <w:highlight w:val="none"/>
                    </w:rPr>
                    <w:t>液态</w:t>
                  </w:r>
                </w:p>
              </w:tc>
              <w:tc>
                <w:tcPr>
                  <w:tcW w:w="1358" w:type="pct"/>
                  <w:vAlign w:val="center"/>
                </w:tcPr>
                <w:p w14:paraId="2024D2EC">
                  <w:pPr>
                    <w:pStyle w:val="13"/>
                    <w:rPr>
                      <w:rFonts w:cs="Times New Roman"/>
                      <w:color w:val="auto"/>
                      <w:highlight w:val="none"/>
                    </w:rPr>
                  </w:pPr>
                  <w:r>
                    <w:rPr>
                      <w:rFonts w:cs="Times New Roman"/>
                      <w:color w:val="auto"/>
                      <w:highlight w:val="none"/>
                    </w:rPr>
                    <w:t>200kg/铁桶装-</w:t>
                  </w:r>
                  <w:r>
                    <w:rPr>
                      <w:rFonts w:hint="eastAsia" w:cs="Times New Roman"/>
                      <w:color w:val="auto"/>
                      <w:highlight w:val="none"/>
                    </w:rPr>
                    <w:t>原料仓库</w:t>
                  </w:r>
                </w:p>
              </w:tc>
              <w:tc>
                <w:tcPr>
                  <w:tcW w:w="863" w:type="pct"/>
                  <w:vAlign w:val="center"/>
                </w:tcPr>
                <w:p w14:paraId="3FBC5D9C">
                  <w:pPr>
                    <w:pStyle w:val="13"/>
                    <w:ind w:firstLine="0" w:firstLineChars="0"/>
                    <w:rPr>
                      <w:rFonts w:cs="Times New Roman"/>
                      <w:color w:val="auto"/>
                      <w:highlight w:val="none"/>
                    </w:rPr>
                  </w:pPr>
                  <w:r>
                    <w:rPr>
                      <w:rFonts w:cs="Times New Roman"/>
                      <w:color w:val="auto"/>
                      <w:highlight w:val="none"/>
                    </w:rPr>
                    <w:t>/</w:t>
                  </w:r>
                </w:p>
              </w:tc>
            </w:tr>
            <w:tr w14:paraId="37E4B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vMerge w:val="continue"/>
                  <w:vAlign w:val="center"/>
                </w:tcPr>
                <w:p w14:paraId="29F35139">
                  <w:pPr>
                    <w:pStyle w:val="13"/>
                    <w:rPr>
                      <w:rFonts w:cs="Times New Roman"/>
                      <w:color w:val="auto"/>
                      <w:highlight w:val="none"/>
                    </w:rPr>
                  </w:pPr>
                </w:p>
              </w:tc>
              <w:tc>
                <w:tcPr>
                  <w:tcW w:w="721" w:type="pct"/>
                  <w:vAlign w:val="center"/>
                </w:tcPr>
                <w:p w14:paraId="2B4B4414">
                  <w:pPr>
                    <w:pStyle w:val="13"/>
                    <w:rPr>
                      <w:rFonts w:cs="Times New Roman"/>
                      <w:color w:val="auto"/>
                      <w:highlight w:val="none"/>
                    </w:rPr>
                  </w:pPr>
                  <w:r>
                    <w:rPr>
                      <w:rFonts w:hint="eastAsia" w:cs="Times New Roman"/>
                      <w:color w:val="auto"/>
                      <w:highlight w:val="none"/>
                    </w:rPr>
                    <w:t>酸化剂</w:t>
                  </w:r>
                </w:p>
              </w:tc>
              <w:tc>
                <w:tcPr>
                  <w:tcW w:w="562" w:type="pct"/>
                  <w:vAlign w:val="center"/>
                </w:tcPr>
                <w:p w14:paraId="13443749">
                  <w:pPr>
                    <w:pStyle w:val="13"/>
                    <w:rPr>
                      <w:rFonts w:cs="Times New Roman"/>
                      <w:color w:val="auto"/>
                      <w:highlight w:val="none"/>
                    </w:rPr>
                  </w:pPr>
                  <w:r>
                    <w:rPr>
                      <w:rFonts w:hint="eastAsia" w:cs="Times New Roman"/>
                      <w:color w:val="auto"/>
                      <w:highlight w:val="none"/>
                    </w:rPr>
                    <w:t>50</w:t>
                  </w:r>
                </w:p>
              </w:tc>
              <w:tc>
                <w:tcPr>
                  <w:tcW w:w="703" w:type="pct"/>
                  <w:vAlign w:val="center"/>
                </w:tcPr>
                <w:p w14:paraId="7C51D131">
                  <w:pPr>
                    <w:pStyle w:val="13"/>
                    <w:rPr>
                      <w:rFonts w:cs="Times New Roman"/>
                      <w:color w:val="auto"/>
                      <w:highlight w:val="none"/>
                    </w:rPr>
                  </w:pPr>
                  <w:r>
                    <w:rPr>
                      <w:rFonts w:hint="eastAsia" w:cs="Times New Roman"/>
                      <w:color w:val="auto"/>
                      <w:highlight w:val="none"/>
                    </w:rPr>
                    <w:t>5</w:t>
                  </w:r>
                </w:p>
              </w:tc>
              <w:tc>
                <w:tcPr>
                  <w:tcW w:w="412" w:type="pct"/>
                  <w:vAlign w:val="center"/>
                </w:tcPr>
                <w:p w14:paraId="0FA31C81">
                  <w:pPr>
                    <w:pStyle w:val="13"/>
                    <w:rPr>
                      <w:rFonts w:cs="Times New Roman"/>
                      <w:color w:val="auto"/>
                      <w:highlight w:val="none"/>
                    </w:rPr>
                  </w:pPr>
                  <w:r>
                    <w:rPr>
                      <w:rFonts w:cs="Times New Roman"/>
                      <w:color w:val="auto"/>
                      <w:highlight w:val="none"/>
                    </w:rPr>
                    <w:t>固态</w:t>
                  </w:r>
                </w:p>
              </w:tc>
              <w:tc>
                <w:tcPr>
                  <w:tcW w:w="1358" w:type="pct"/>
                  <w:vAlign w:val="center"/>
                </w:tcPr>
                <w:p w14:paraId="55EDB253">
                  <w:pPr>
                    <w:pStyle w:val="13"/>
                    <w:rPr>
                      <w:rFonts w:cs="Times New Roman"/>
                      <w:color w:val="auto"/>
                      <w:highlight w:val="none"/>
                    </w:rPr>
                  </w:pPr>
                  <w:r>
                    <w:rPr>
                      <w:rFonts w:hint="eastAsia" w:cs="Times New Roman"/>
                      <w:color w:val="auto"/>
                      <w:highlight w:val="none"/>
                    </w:rPr>
                    <w:t>50</w:t>
                  </w:r>
                  <w:r>
                    <w:rPr>
                      <w:rFonts w:cs="Times New Roman"/>
                      <w:color w:val="auto"/>
                      <w:highlight w:val="none"/>
                    </w:rPr>
                    <w:t>kg/袋装-</w:t>
                  </w:r>
                  <w:r>
                    <w:rPr>
                      <w:rFonts w:hint="eastAsia" w:cs="Times New Roman"/>
                      <w:color w:val="auto"/>
                      <w:highlight w:val="none"/>
                    </w:rPr>
                    <w:t>原料仓库</w:t>
                  </w:r>
                </w:p>
              </w:tc>
              <w:tc>
                <w:tcPr>
                  <w:tcW w:w="863" w:type="pct"/>
                  <w:vAlign w:val="center"/>
                </w:tcPr>
                <w:p w14:paraId="0003EAF5">
                  <w:pPr>
                    <w:pStyle w:val="13"/>
                    <w:ind w:firstLine="0" w:firstLineChars="0"/>
                    <w:rPr>
                      <w:rFonts w:cs="Times New Roman"/>
                      <w:color w:val="auto"/>
                      <w:highlight w:val="none"/>
                    </w:rPr>
                  </w:pPr>
                  <w:r>
                    <w:rPr>
                      <w:rFonts w:cs="Times New Roman"/>
                      <w:color w:val="auto"/>
                      <w:highlight w:val="none"/>
                    </w:rPr>
                    <w:t>/</w:t>
                  </w:r>
                </w:p>
              </w:tc>
            </w:tr>
            <w:tr w14:paraId="1603A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vMerge w:val="continue"/>
                  <w:vAlign w:val="center"/>
                </w:tcPr>
                <w:p w14:paraId="44CC13B5">
                  <w:pPr>
                    <w:pStyle w:val="13"/>
                    <w:rPr>
                      <w:rFonts w:cs="Times New Roman"/>
                      <w:color w:val="auto"/>
                      <w:highlight w:val="none"/>
                    </w:rPr>
                  </w:pPr>
                </w:p>
              </w:tc>
              <w:tc>
                <w:tcPr>
                  <w:tcW w:w="721" w:type="pct"/>
                  <w:vAlign w:val="center"/>
                </w:tcPr>
                <w:p w14:paraId="4F0E55F3">
                  <w:pPr>
                    <w:pStyle w:val="13"/>
                    <w:rPr>
                      <w:rFonts w:cs="Times New Roman"/>
                      <w:color w:val="auto"/>
                      <w:highlight w:val="none"/>
                    </w:rPr>
                  </w:pPr>
                  <w:r>
                    <w:rPr>
                      <w:rFonts w:hint="eastAsia" w:cs="Times New Roman"/>
                      <w:color w:val="auto"/>
                      <w:highlight w:val="none"/>
                    </w:rPr>
                    <w:t>生物质燃料</w:t>
                  </w:r>
                </w:p>
              </w:tc>
              <w:tc>
                <w:tcPr>
                  <w:tcW w:w="562" w:type="pct"/>
                  <w:vAlign w:val="center"/>
                </w:tcPr>
                <w:p w14:paraId="708A962F">
                  <w:pPr>
                    <w:pStyle w:val="13"/>
                    <w:rPr>
                      <w:rFonts w:cs="Times New Roman"/>
                      <w:color w:val="auto"/>
                      <w:highlight w:val="none"/>
                    </w:rPr>
                  </w:pPr>
                  <w:r>
                    <w:rPr>
                      <w:rFonts w:hint="eastAsia" w:cs="Times New Roman"/>
                      <w:color w:val="auto"/>
                      <w:highlight w:val="none"/>
                    </w:rPr>
                    <w:t>75</w:t>
                  </w:r>
                </w:p>
              </w:tc>
              <w:tc>
                <w:tcPr>
                  <w:tcW w:w="703" w:type="pct"/>
                  <w:vAlign w:val="center"/>
                </w:tcPr>
                <w:p w14:paraId="4FFC4CE9">
                  <w:pPr>
                    <w:pStyle w:val="13"/>
                    <w:rPr>
                      <w:rFonts w:cs="Times New Roman"/>
                      <w:color w:val="auto"/>
                      <w:highlight w:val="none"/>
                    </w:rPr>
                  </w:pPr>
                  <w:r>
                    <w:rPr>
                      <w:rFonts w:hint="eastAsia" w:cs="Times New Roman"/>
                      <w:color w:val="auto"/>
                      <w:highlight w:val="none"/>
                    </w:rPr>
                    <w:t>10</w:t>
                  </w:r>
                </w:p>
              </w:tc>
              <w:tc>
                <w:tcPr>
                  <w:tcW w:w="412" w:type="pct"/>
                  <w:vAlign w:val="center"/>
                </w:tcPr>
                <w:p w14:paraId="0FE80486">
                  <w:pPr>
                    <w:pStyle w:val="13"/>
                    <w:rPr>
                      <w:rFonts w:cs="Times New Roman"/>
                      <w:color w:val="auto"/>
                      <w:highlight w:val="none"/>
                    </w:rPr>
                  </w:pPr>
                  <w:r>
                    <w:rPr>
                      <w:rFonts w:cs="Times New Roman"/>
                      <w:color w:val="auto"/>
                      <w:highlight w:val="none"/>
                    </w:rPr>
                    <w:t>固态</w:t>
                  </w:r>
                </w:p>
              </w:tc>
              <w:tc>
                <w:tcPr>
                  <w:tcW w:w="1358" w:type="pct"/>
                  <w:vAlign w:val="center"/>
                </w:tcPr>
                <w:p w14:paraId="4686F21A">
                  <w:pPr>
                    <w:pStyle w:val="13"/>
                    <w:rPr>
                      <w:rFonts w:cs="Times New Roman"/>
                      <w:color w:val="auto"/>
                      <w:highlight w:val="none"/>
                    </w:rPr>
                  </w:pPr>
                  <w:r>
                    <w:rPr>
                      <w:rFonts w:hint="eastAsia" w:cs="Times New Roman"/>
                      <w:color w:val="auto"/>
                      <w:highlight w:val="none"/>
                    </w:rPr>
                    <w:t>50</w:t>
                  </w:r>
                  <w:r>
                    <w:rPr>
                      <w:rFonts w:cs="Times New Roman"/>
                      <w:color w:val="auto"/>
                      <w:highlight w:val="none"/>
                    </w:rPr>
                    <w:t>kg/袋装-材料库</w:t>
                  </w:r>
                </w:p>
              </w:tc>
              <w:tc>
                <w:tcPr>
                  <w:tcW w:w="863" w:type="pct"/>
                  <w:vAlign w:val="center"/>
                </w:tcPr>
                <w:p w14:paraId="4A750DB1">
                  <w:pPr>
                    <w:pStyle w:val="13"/>
                    <w:ind w:firstLine="0" w:firstLineChars="0"/>
                    <w:rPr>
                      <w:rFonts w:cs="Times New Roman"/>
                      <w:color w:val="auto"/>
                      <w:highlight w:val="none"/>
                    </w:rPr>
                  </w:pPr>
                  <w:r>
                    <w:rPr>
                      <w:rFonts w:cs="Times New Roman"/>
                      <w:color w:val="auto"/>
                      <w:highlight w:val="none"/>
                    </w:rPr>
                    <w:t>/</w:t>
                  </w:r>
                </w:p>
              </w:tc>
            </w:tr>
            <w:tr w14:paraId="38FCD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vMerge w:val="restart"/>
                  <w:vAlign w:val="center"/>
                </w:tcPr>
                <w:p w14:paraId="37F85E81">
                  <w:pPr>
                    <w:pStyle w:val="13"/>
                    <w:rPr>
                      <w:rFonts w:hint="eastAsia" w:eastAsia="宋体" w:cs="Times New Roman"/>
                      <w:color w:val="auto"/>
                      <w:highlight w:val="none"/>
                      <w:lang w:val="en-US" w:eastAsia="zh-CN"/>
                    </w:rPr>
                  </w:pPr>
                  <w:r>
                    <w:rPr>
                      <w:rFonts w:hint="eastAsia" w:cs="Times New Roman"/>
                      <w:color w:val="auto"/>
                      <w:highlight w:val="none"/>
                      <w:lang w:val="en-US" w:eastAsia="zh-CN"/>
                    </w:rPr>
                    <w:t>/</w:t>
                  </w:r>
                </w:p>
              </w:tc>
              <w:tc>
                <w:tcPr>
                  <w:tcW w:w="721" w:type="pct"/>
                  <w:vAlign w:val="center"/>
                </w:tcPr>
                <w:p w14:paraId="55380331">
                  <w:pPr>
                    <w:pStyle w:val="13"/>
                    <w:rPr>
                      <w:rFonts w:hint="eastAsia" w:eastAsia="宋体" w:cs="Times New Roman"/>
                      <w:color w:val="auto"/>
                      <w:highlight w:val="none"/>
                      <w:lang w:val="en-US" w:eastAsia="zh-CN"/>
                    </w:rPr>
                  </w:pPr>
                  <w:r>
                    <w:rPr>
                      <w:rFonts w:hint="eastAsia" w:cs="Times New Roman"/>
                      <w:color w:val="auto"/>
                      <w:highlight w:val="none"/>
                      <w:lang w:val="en-US" w:eastAsia="zh-CN"/>
                    </w:rPr>
                    <w:t>矿物油</w:t>
                  </w:r>
                </w:p>
              </w:tc>
              <w:tc>
                <w:tcPr>
                  <w:tcW w:w="562" w:type="pct"/>
                  <w:vAlign w:val="center"/>
                </w:tcPr>
                <w:p w14:paraId="4766053F">
                  <w:pPr>
                    <w:pStyle w:val="13"/>
                    <w:rPr>
                      <w:rFonts w:hint="default" w:cs="Times New Roman"/>
                      <w:color w:val="auto"/>
                      <w:highlight w:val="none"/>
                      <w:lang w:val="en-US" w:eastAsia="zh-CN"/>
                    </w:rPr>
                  </w:pPr>
                  <w:r>
                    <w:rPr>
                      <w:rFonts w:hint="eastAsia" w:cs="Times New Roman"/>
                      <w:color w:val="auto"/>
                      <w:highlight w:val="none"/>
                      <w:lang w:val="en-US" w:eastAsia="zh-CN"/>
                    </w:rPr>
                    <w:t>1.5</w:t>
                  </w:r>
                </w:p>
              </w:tc>
              <w:tc>
                <w:tcPr>
                  <w:tcW w:w="703" w:type="pct"/>
                  <w:vAlign w:val="center"/>
                </w:tcPr>
                <w:p w14:paraId="3342099D">
                  <w:pPr>
                    <w:pStyle w:val="13"/>
                    <w:rPr>
                      <w:rFonts w:hint="default" w:eastAsia="宋体" w:cs="Times New Roman"/>
                      <w:color w:val="auto"/>
                      <w:highlight w:val="none"/>
                      <w:lang w:val="en-US" w:eastAsia="zh-CN"/>
                    </w:rPr>
                  </w:pPr>
                  <w:r>
                    <w:rPr>
                      <w:rFonts w:hint="eastAsia" w:cs="Times New Roman"/>
                      <w:color w:val="auto"/>
                      <w:highlight w:val="none"/>
                      <w:lang w:val="en-US" w:eastAsia="zh-CN"/>
                    </w:rPr>
                    <w:t>0.15</w:t>
                  </w:r>
                </w:p>
              </w:tc>
              <w:tc>
                <w:tcPr>
                  <w:tcW w:w="412" w:type="pct"/>
                  <w:vAlign w:val="center"/>
                </w:tcPr>
                <w:p w14:paraId="5F430A1A">
                  <w:pPr>
                    <w:pStyle w:val="13"/>
                    <w:rPr>
                      <w:rFonts w:hint="eastAsia" w:eastAsia="宋体" w:cs="Times New Roman"/>
                      <w:color w:val="auto"/>
                      <w:highlight w:val="none"/>
                      <w:lang w:val="en-US" w:eastAsia="zh-CN"/>
                    </w:rPr>
                  </w:pPr>
                  <w:r>
                    <w:rPr>
                      <w:rFonts w:hint="eastAsia" w:cs="Times New Roman"/>
                      <w:color w:val="auto"/>
                      <w:highlight w:val="none"/>
                      <w:lang w:val="en-US" w:eastAsia="zh-CN"/>
                    </w:rPr>
                    <w:t>液体</w:t>
                  </w:r>
                </w:p>
              </w:tc>
              <w:tc>
                <w:tcPr>
                  <w:tcW w:w="1358" w:type="pct"/>
                  <w:vAlign w:val="center"/>
                </w:tcPr>
                <w:p w14:paraId="056A48ED">
                  <w:pPr>
                    <w:pStyle w:val="13"/>
                    <w:rPr>
                      <w:rFonts w:cs="Times New Roman"/>
                      <w:color w:val="auto"/>
                      <w:highlight w:val="none"/>
                    </w:rPr>
                  </w:pPr>
                  <w:r>
                    <w:rPr>
                      <w:rFonts w:hint="eastAsia" w:cs="Times New Roman"/>
                      <w:color w:val="auto"/>
                      <w:highlight w:val="none"/>
                      <w:lang w:val="en-US" w:eastAsia="zh-CN"/>
                    </w:rPr>
                    <w:t>50</w:t>
                  </w:r>
                  <w:r>
                    <w:rPr>
                      <w:rFonts w:cs="Times New Roman"/>
                      <w:color w:val="auto"/>
                      <w:highlight w:val="none"/>
                    </w:rPr>
                    <w:t>kg/铁桶装-材料库</w:t>
                  </w:r>
                </w:p>
              </w:tc>
              <w:tc>
                <w:tcPr>
                  <w:tcW w:w="863" w:type="pct"/>
                  <w:vAlign w:val="center"/>
                </w:tcPr>
                <w:p w14:paraId="404C4E33">
                  <w:pPr>
                    <w:pStyle w:val="13"/>
                    <w:rPr>
                      <w:rFonts w:hint="eastAsia" w:eastAsia="宋体" w:cs="Times New Roman"/>
                      <w:color w:val="auto"/>
                      <w:highlight w:val="none"/>
                      <w:lang w:val="en-US" w:eastAsia="zh-CN"/>
                    </w:rPr>
                  </w:pPr>
                  <w:r>
                    <w:rPr>
                      <w:rFonts w:hint="eastAsia" w:cs="Times New Roman"/>
                      <w:color w:val="auto"/>
                      <w:highlight w:val="none"/>
                      <w:lang w:val="en-US" w:eastAsia="zh-CN"/>
                    </w:rPr>
                    <w:t>/</w:t>
                  </w:r>
                </w:p>
              </w:tc>
            </w:tr>
            <w:tr w14:paraId="66D0E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vMerge w:val="continue"/>
                  <w:vAlign w:val="center"/>
                </w:tcPr>
                <w:p w14:paraId="678089A6">
                  <w:pPr>
                    <w:pStyle w:val="13"/>
                    <w:rPr>
                      <w:rFonts w:hint="eastAsia" w:eastAsia="宋体" w:cs="Times New Roman"/>
                      <w:color w:val="auto"/>
                      <w:highlight w:val="none"/>
                      <w:lang w:val="en-US" w:eastAsia="zh-CN"/>
                    </w:rPr>
                  </w:pPr>
                </w:p>
              </w:tc>
              <w:tc>
                <w:tcPr>
                  <w:tcW w:w="721" w:type="pct"/>
                  <w:vAlign w:val="center"/>
                </w:tcPr>
                <w:p w14:paraId="5B293A24">
                  <w:pPr>
                    <w:pStyle w:val="13"/>
                    <w:rPr>
                      <w:rFonts w:cs="Times New Roman"/>
                      <w:color w:val="auto"/>
                      <w:highlight w:val="none"/>
                    </w:rPr>
                  </w:pPr>
                  <w:r>
                    <w:rPr>
                      <w:rFonts w:cs="Times New Roman"/>
                      <w:color w:val="auto"/>
                      <w:highlight w:val="none"/>
                    </w:rPr>
                    <w:t>水</w:t>
                  </w:r>
                </w:p>
              </w:tc>
              <w:tc>
                <w:tcPr>
                  <w:tcW w:w="562" w:type="pct"/>
                  <w:vAlign w:val="center"/>
                </w:tcPr>
                <w:p w14:paraId="57A86B97">
                  <w:pPr>
                    <w:pStyle w:val="13"/>
                    <w:rPr>
                      <w:rFonts w:cs="Times New Roman"/>
                      <w:color w:val="auto"/>
                      <w:highlight w:val="none"/>
                    </w:rPr>
                  </w:pPr>
                  <w:r>
                    <w:rPr>
                      <w:rFonts w:hint="eastAsia" w:cs="Times New Roman"/>
                      <w:color w:val="auto"/>
                      <w:highlight w:val="none"/>
                      <w:lang w:val="en-US" w:eastAsia="zh-CN"/>
                    </w:rPr>
                    <w:t>101</w:t>
                  </w:r>
                  <w:r>
                    <w:rPr>
                      <w:rFonts w:hint="eastAsia" w:cs="Times New Roman"/>
                      <w:color w:val="auto"/>
                      <w:highlight w:val="none"/>
                    </w:rPr>
                    <w:t>0</w:t>
                  </w:r>
                </w:p>
              </w:tc>
              <w:tc>
                <w:tcPr>
                  <w:tcW w:w="703" w:type="pct"/>
                  <w:vAlign w:val="center"/>
                </w:tcPr>
                <w:p w14:paraId="73346B00">
                  <w:pPr>
                    <w:pStyle w:val="13"/>
                    <w:rPr>
                      <w:rFonts w:cs="Times New Roman"/>
                      <w:color w:val="auto"/>
                      <w:highlight w:val="none"/>
                    </w:rPr>
                  </w:pPr>
                  <w:r>
                    <w:rPr>
                      <w:rFonts w:cs="Times New Roman"/>
                      <w:color w:val="auto"/>
                      <w:highlight w:val="none"/>
                    </w:rPr>
                    <w:t>/</w:t>
                  </w:r>
                </w:p>
              </w:tc>
              <w:tc>
                <w:tcPr>
                  <w:tcW w:w="412" w:type="pct"/>
                  <w:vAlign w:val="center"/>
                </w:tcPr>
                <w:p w14:paraId="3CF9D576">
                  <w:pPr>
                    <w:pStyle w:val="13"/>
                    <w:rPr>
                      <w:rFonts w:cs="Times New Roman"/>
                      <w:color w:val="auto"/>
                      <w:highlight w:val="none"/>
                    </w:rPr>
                  </w:pPr>
                  <w:r>
                    <w:rPr>
                      <w:rFonts w:cs="Times New Roman"/>
                      <w:color w:val="auto"/>
                      <w:highlight w:val="none"/>
                    </w:rPr>
                    <w:t>/</w:t>
                  </w:r>
                </w:p>
              </w:tc>
              <w:tc>
                <w:tcPr>
                  <w:tcW w:w="1358" w:type="pct"/>
                  <w:vAlign w:val="center"/>
                </w:tcPr>
                <w:p w14:paraId="577EF073">
                  <w:pPr>
                    <w:pStyle w:val="13"/>
                    <w:rPr>
                      <w:rFonts w:cs="Times New Roman"/>
                      <w:color w:val="auto"/>
                      <w:highlight w:val="none"/>
                    </w:rPr>
                  </w:pPr>
                  <w:r>
                    <w:rPr>
                      <w:rFonts w:cs="Times New Roman"/>
                      <w:color w:val="auto"/>
                      <w:highlight w:val="none"/>
                    </w:rPr>
                    <w:t>/</w:t>
                  </w:r>
                </w:p>
              </w:tc>
              <w:tc>
                <w:tcPr>
                  <w:tcW w:w="863" w:type="pct"/>
                  <w:vAlign w:val="center"/>
                </w:tcPr>
                <w:p w14:paraId="3BDB4AC9">
                  <w:pPr>
                    <w:pStyle w:val="13"/>
                    <w:rPr>
                      <w:rFonts w:cs="Times New Roman"/>
                      <w:color w:val="auto"/>
                      <w:highlight w:val="none"/>
                    </w:rPr>
                  </w:pPr>
                  <w:r>
                    <w:rPr>
                      <w:rFonts w:cs="Times New Roman"/>
                      <w:color w:val="auto"/>
                      <w:highlight w:val="none"/>
                    </w:rPr>
                    <w:t>/</w:t>
                  </w:r>
                </w:p>
              </w:tc>
            </w:tr>
            <w:tr w14:paraId="75145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vMerge w:val="continue"/>
                  <w:vAlign w:val="center"/>
                </w:tcPr>
                <w:p w14:paraId="77406662">
                  <w:pPr>
                    <w:pStyle w:val="13"/>
                    <w:rPr>
                      <w:rFonts w:cs="Times New Roman"/>
                      <w:color w:val="auto"/>
                      <w:highlight w:val="none"/>
                    </w:rPr>
                  </w:pPr>
                </w:p>
              </w:tc>
              <w:tc>
                <w:tcPr>
                  <w:tcW w:w="721" w:type="pct"/>
                  <w:vAlign w:val="center"/>
                </w:tcPr>
                <w:p w14:paraId="7CA4A5AC">
                  <w:pPr>
                    <w:pStyle w:val="13"/>
                    <w:rPr>
                      <w:rFonts w:cs="Times New Roman"/>
                      <w:color w:val="auto"/>
                      <w:highlight w:val="none"/>
                    </w:rPr>
                  </w:pPr>
                  <w:r>
                    <w:rPr>
                      <w:rFonts w:cs="Times New Roman"/>
                      <w:color w:val="auto"/>
                      <w:highlight w:val="none"/>
                    </w:rPr>
                    <w:t>电</w:t>
                  </w:r>
                </w:p>
              </w:tc>
              <w:tc>
                <w:tcPr>
                  <w:tcW w:w="562" w:type="pct"/>
                  <w:vAlign w:val="center"/>
                </w:tcPr>
                <w:p w14:paraId="5374C33A">
                  <w:pPr>
                    <w:pStyle w:val="13"/>
                    <w:rPr>
                      <w:rFonts w:cs="Times New Roman"/>
                      <w:color w:val="auto"/>
                      <w:highlight w:val="none"/>
                    </w:rPr>
                  </w:pPr>
                  <w:r>
                    <w:rPr>
                      <w:rFonts w:hint="eastAsia" w:cs="Times New Roman"/>
                      <w:color w:val="auto"/>
                      <w:highlight w:val="none"/>
                    </w:rPr>
                    <w:t>300kWh</w:t>
                  </w:r>
                </w:p>
              </w:tc>
              <w:tc>
                <w:tcPr>
                  <w:tcW w:w="703" w:type="pct"/>
                  <w:vAlign w:val="center"/>
                </w:tcPr>
                <w:p w14:paraId="417258C5">
                  <w:pPr>
                    <w:pStyle w:val="13"/>
                    <w:rPr>
                      <w:rFonts w:cs="Times New Roman"/>
                      <w:color w:val="auto"/>
                      <w:highlight w:val="none"/>
                    </w:rPr>
                  </w:pPr>
                  <w:r>
                    <w:rPr>
                      <w:rFonts w:cs="Times New Roman"/>
                      <w:color w:val="auto"/>
                      <w:highlight w:val="none"/>
                    </w:rPr>
                    <w:t>/</w:t>
                  </w:r>
                </w:p>
              </w:tc>
              <w:tc>
                <w:tcPr>
                  <w:tcW w:w="412" w:type="pct"/>
                  <w:vAlign w:val="center"/>
                </w:tcPr>
                <w:p w14:paraId="5AC44918">
                  <w:pPr>
                    <w:pStyle w:val="13"/>
                    <w:rPr>
                      <w:rFonts w:cs="Times New Roman"/>
                      <w:color w:val="auto"/>
                      <w:highlight w:val="none"/>
                    </w:rPr>
                  </w:pPr>
                  <w:r>
                    <w:rPr>
                      <w:rFonts w:cs="Times New Roman"/>
                      <w:color w:val="auto"/>
                      <w:highlight w:val="none"/>
                    </w:rPr>
                    <w:t>/</w:t>
                  </w:r>
                </w:p>
              </w:tc>
              <w:tc>
                <w:tcPr>
                  <w:tcW w:w="1358" w:type="pct"/>
                  <w:vAlign w:val="center"/>
                </w:tcPr>
                <w:p w14:paraId="3734FB28">
                  <w:pPr>
                    <w:pStyle w:val="13"/>
                    <w:rPr>
                      <w:rFonts w:cs="Times New Roman"/>
                      <w:color w:val="auto"/>
                      <w:highlight w:val="none"/>
                    </w:rPr>
                  </w:pPr>
                  <w:r>
                    <w:rPr>
                      <w:rFonts w:cs="Times New Roman"/>
                      <w:color w:val="auto"/>
                      <w:highlight w:val="none"/>
                    </w:rPr>
                    <w:t>/</w:t>
                  </w:r>
                </w:p>
              </w:tc>
              <w:tc>
                <w:tcPr>
                  <w:tcW w:w="863" w:type="pct"/>
                  <w:vAlign w:val="center"/>
                </w:tcPr>
                <w:p w14:paraId="0693F46B">
                  <w:pPr>
                    <w:pStyle w:val="13"/>
                    <w:rPr>
                      <w:rFonts w:cs="Times New Roman"/>
                      <w:color w:val="auto"/>
                      <w:highlight w:val="none"/>
                    </w:rPr>
                  </w:pPr>
                  <w:r>
                    <w:rPr>
                      <w:rFonts w:cs="Times New Roman"/>
                      <w:color w:val="auto"/>
                      <w:highlight w:val="none"/>
                    </w:rPr>
                    <w:t>/</w:t>
                  </w:r>
                </w:p>
              </w:tc>
            </w:tr>
          </w:tbl>
          <w:p w14:paraId="28C9D321">
            <w:pPr>
              <w:pStyle w:val="3"/>
              <w:ind w:firstLine="482"/>
              <w:rPr>
                <w:color w:val="auto"/>
                <w:highlight w:val="none"/>
              </w:rPr>
            </w:pPr>
            <w:r>
              <w:rPr>
                <w:rFonts w:hint="eastAsia"/>
                <w:color w:val="auto"/>
                <w:highlight w:val="none"/>
              </w:rPr>
              <w:t>（2）主要原辅料</w:t>
            </w:r>
            <w:r>
              <w:rPr>
                <w:color w:val="auto"/>
                <w:highlight w:val="none"/>
              </w:rPr>
              <w:t>理化性质</w:t>
            </w:r>
          </w:p>
          <w:p w14:paraId="61B55527">
            <w:pPr>
              <w:pStyle w:val="14"/>
              <w:spacing w:before="156"/>
              <w:rPr>
                <w:rFonts w:cs="Times New Roman"/>
                <w:color w:val="auto"/>
                <w:highlight w:val="none"/>
              </w:rPr>
            </w:pPr>
            <w:r>
              <w:rPr>
                <w:rFonts w:cs="Times New Roman"/>
                <w:color w:val="auto"/>
                <w:highlight w:val="none"/>
              </w:rPr>
              <w:t>表2-6  项目原辅料特性一览表</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7886"/>
            </w:tblGrid>
            <w:tr w14:paraId="7B1E0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548" w:type="pct"/>
                  <w:tcBorders>
                    <w:tl2br w:val="nil"/>
                    <w:tr2bl w:val="nil"/>
                  </w:tcBorders>
                  <w:vAlign w:val="center"/>
                </w:tcPr>
                <w:p w14:paraId="0490B3E8">
                  <w:pPr>
                    <w:pStyle w:val="13"/>
                    <w:rPr>
                      <w:rFonts w:cs="Times New Roman"/>
                      <w:b/>
                      <w:bCs/>
                      <w:color w:val="auto"/>
                      <w:highlight w:val="none"/>
                    </w:rPr>
                  </w:pPr>
                  <w:r>
                    <w:rPr>
                      <w:rFonts w:cs="Times New Roman"/>
                      <w:b/>
                      <w:bCs/>
                      <w:color w:val="auto"/>
                      <w:highlight w:val="none"/>
                    </w:rPr>
                    <w:t>名称</w:t>
                  </w:r>
                </w:p>
              </w:tc>
              <w:tc>
                <w:tcPr>
                  <w:tcW w:w="4451" w:type="pct"/>
                  <w:tcBorders>
                    <w:tl2br w:val="nil"/>
                    <w:tr2bl w:val="nil"/>
                  </w:tcBorders>
                  <w:vAlign w:val="center"/>
                </w:tcPr>
                <w:p w14:paraId="3E526CA0">
                  <w:pPr>
                    <w:pStyle w:val="13"/>
                    <w:rPr>
                      <w:rFonts w:cs="Times New Roman"/>
                      <w:b/>
                      <w:bCs/>
                      <w:color w:val="auto"/>
                      <w:highlight w:val="none"/>
                    </w:rPr>
                  </w:pPr>
                  <w:r>
                    <w:rPr>
                      <w:rFonts w:cs="Times New Roman"/>
                      <w:b/>
                      <w:bCs/>
                      <w:color w:val="auto"/>
                      <w:highlight w:val="none"/>
                    </w:rPr>
                    <w:t>理化性质</w:t>
                  </w:r>
                </w:p>
              </w:tc>
            </w:tr>
            <w:tr w14:paraId="57E52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548" w:type="pct"/>
                  <w:tcBorders>
                    <w:tl2br w:val="nil"/>
                    <w:tr2bl w:val="nil"/>
                  </w:tcBorders>
                  <w:vAlign w:val="center"/>
                </w:tcPr>
                <w:p w14:paraId="4A5D33A7">
                  <w:pPr>
                    <w:pStyle w:val="13"/>
                    <w:rPr>
                      <w:rFonts w:cs="Times New Roman"/>
                      <w:color w:val="auto"/>
                      <w:highlight w:val="none"/>
                    </w:rPr>
                  </w:pPr>
                  <w:r>
                    <w:rPr>
                      <w:rFonts w:cs="Times New Roman"/>
                      <w:color w:val="auto"/>
                      <w:highlight w:val="none"/>
                    </w:rPr>
                    <w:t>石粉</w:t>
                  </w:r>
                </w:p>
              </w:tc>
              <w:tc>
                <w:tcPr>
                  <w:tcW w:w="4451" w:type="pct"/>
                  <w:tcBorders>
                    <w:tl2br w:val="nil"/>
                    <w:tr2bl w:val="nil"/>
                  </w:tcBorders>
                  <w:vAlign w:val="center"/>
                </w:tcPr>
                <w:p w14:paraId="74937464">
                  <w:pPr>
                    <w:pStyle w:val="13"/>
                    <w:ind w:firstLine="420" w:firstLineChars="200"/>
                    <w:jc w:val="left"/>
                    <w:rPr>
                      <w:rFonts w:cs="Times New Roman"/>
                      <w:color w:val="auto"/>
                      <w:highlight w:val="none"/>
                    </w:rPr>
                  </w:pPr>
                  <w:r>
                    <w:rPr>
                      <w:rFonts w:cs="Times New Roman"/>
                      <w:color w:val="auto"/>
                      <w:highlight w:val="none"/>
                    </w:rPr>
                    <w:t>白色粉末，主要成分为饲料级细碳酸钙粉末，碳酸钙含量在99%以上。添加进饲料后能补充钙，调节生理功能。</w:t>
                  </w:r>
                </w:p>
              </w:tc>
            </w:tr>
            <w:tr w14:paraId="4D2EA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548" w:type="pct"/>
                  <w:tcBorders>
                    <w:tl2br w:val="nil"/>
                    <w:tr2bl w:val="nil"/>
                  </w:tcBorders>
                  <w:vAlign w:val="center"/>
                </w:tcPr>
                <w:p w14:paraId="0C48F14B">
                  <w:pPr>
                    <w:pStyle w:val="13"/>
                    <w:rPr>
                      <w:rFonts w:cs="Times New Roman"/>
                      <w:color w:val="auto"/>
                      <w:highlight w:val="none"/>
                    </w:rPr>
                  </w:pPr>
                  <w:r>
                    <w:rPr>
                      <w:rFonts w:cs="Times New Roman"/>
                      <w:color w:val="auto"/>
                      <w:highlight w:val="none"/>
                    </w:rPr>
                    <w:t>氨基酸</w:t>
                  </w:r>
                </w:p>
              </w:tc>
              <w:tc>
                <w:tcPr>
                  <w:tcW w:w="4451" w:type="pct"/>
                  <w:tcBorders>
                    <w:tl2br w:val="nil"/>
                    <w:tr2bl w:val="nil"/>
                  </w:tcBorders>
                  <w:vAlign w:val="center"/>
                </w:tcPr>
                <w:p w14:paraId="655D73C1">
                  <w:pPr>
                    <w:pStyle w:val="13"/>
                    <w:ind w:firstLine="420" w:firstLineChars="200"/>
                    <w:jc w:val="left"/>
                    <w:rPr>
                      <w:rFonts w:cs="Times New Roman"/>
                      <w:color w:val="auto"/>
                      <w:highlight w:val="none"/>
                    </w:rPr>
                  </w:pPr>
                  <w:r>
                    <w:rPr>
                      <w:rFonts w:cs="Times New Roman"/>
                      <w:color w:val="auto"/>
                      <w:highlight w:val="none"/>
                    </w:rPr>
                    <w:t>白色粉末，主要是赖氨酸、蛋氨酸、苏氨酸、色氨酸等氨基酸，是现代饲料工业的核心添加剂。添加进饲料后能平衡饲料营养促进生长，降低粗蛋白水平节约成本，改善禽畜肉质与生理健康。</w:t>
                  </w:r>
                </w:p>
              </w:tc>
            </w:tr>
            <w:tr w14:paraId="794D7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548" w:type="pct"/>
                  <w:tcBorders>
                    <w:tl2br w:val="nil"/>
                    <w:tr2bl w:val="nil"/>
                  </w:tcBorders>
                  <w:vAlign w:val="center"/>
                </w:tcPr>
                <w:p w14:paraId="117FD4AC">
                  <w:pPr>
                    <w:pStyle w:val="13"/>
                    <w:rPr>
                      <w:rFonts w:cs="Times New Roman"/>
                      <w:color w:val="auto"/>
                      <w:highlight w:val="none"/>
                    </w:rPr>
                  </w:pPr>
                  <w:r>
                    <w:rPr>
                      <w:rFonts w:cs="Times New Roman"/>
                      <w:color w:val="auto"/>
                      <w:highlight w:val="none"/>
                    </w:rPr>
                    <w:t>乳清粉</w:t>
                  </w:r>
                </w:p>
              </w:tc>
              <w:tc>
                <w:tcPr>
                  <w:tcW w:w="4451" w:type="pct"/>
                  <w:tcBorders>
                    <w:tl2br w:val="nil"/>
                    <w:tr2bl w:val="nil"/>
                  </w:tcBorders>
                  <w:vAlign w:val="center"/>
                </w:tcPr>
                <w:p w14:paraId="700E8D3E">
                  <w:pPr>
                    <w:pStyle w:val="13"/>
                    <w:ind w:firstLine="420" w:firstLineChars="200"/>
                    <w:jc w:val="left"/>
                    <w:rPr>
                      <w:rFonts w:cs="Times New Roman"/>
                      <w:color w:val="auto"/>
                      <w:highlight w:val="none"/>
                    </w:rPr>
                  </w:pPr>
                  <w:r>
                    <w:rPr>
                      <w:rFonts w:cs="Times New Roman"/>
                      <w:color w:val="auto"/>
                      <w:highlight w:val="none"/>
                    </w:rPr>
                    <w:t>白色或淡黄色具有乳香味的粉末，主要成分是70-80%乳糖和20-30%乳清蛋白。添加后能显著改善饲料适口性，快速供能，提供优质蛋白，调节肠道健康，促进生长。</w:t>
                  </w:r>
                </w:p>
              </w:tc>
            </w:tr>
            <w:tr w14:paraId="5B142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548" w:type="pct"/>
                  <w:tcBorders>
                    <w:tl2br w:val="nil"/>
                    <w:tr2bl w:val="nil"/>
                  </w:tcBorders>
                  <w:shd w:val="clear" w:color="auto" w:fill="auto"/>
                  <w:vAlign w:val="center"/>
                </w:tcPr>
                <w:p w14:paraId="79E03FA9">
                  <w:pPr>
                    <w:pStyle w:val="13"/>
                    <w:ind w:firstLine="0" w:firstLineChars="0"/>
                    <w:rPr>
                      <w:rFonts w:ascii="Times New Roman" w:hAnsi="Times New Roman" w:eastAsia="宋体" w:cs="Times New Roman"/>
                      <w:color w:val="auto"/>
                      <w:kern w:val="2"/>
                      <w:sz w:val="21"/>
                      <w:szCs w:val="21"/>
                      <w:highlight w:val="none"/>
                      <w:lang w:val="en-US" w:eastAsia="zh-CN" w:bidi="ar-SA"/>
                    </w:rPr>
                  </w:pPr>
                  <w:r>
                    <w:rPr>
                      <w:rFonts w:cs="Times New Roman"/>
                      <w:color w:val="auto"/>
                      <w:highlight w:val="none"/>
                    </w:rPr>
                    <w:t>豆油</w:t>
                  </w:r>
                </w:p>
              </w:tc>
              <w:tc>
                <w:tcPr>
                  <w:tcW w:w="4451" w:type="pct"/>
                  <w:tcBorders>
                    <w:tl2br w:val="nil"/>
                    <w:tr2bl w:val="nil"/>
                  </w:tcBorders>
                  <w:shd w:val="clear" w:color="auto" w:fill="auto"/>
                  <w:vAlign w:val="center"/>
                </w:tcPr>
                <w:p w14:paraId="54D626F6">
                  <w:pPr>
                    <w:pStyle w:val="13"/>
                    <w:ind w:firstLine="420" w:firstLineChars="200"/>
                    <w:jc w:val="left"/>
                    <w:rPr>
                      <w:rFonts w:ascii="Times New Roman" w:hAnsi="Times New Roman" w:eastAsia="宋体" w:cs="Times New Roman"/>
                      <w:color w:val="auto"/>
                      <w:kern w:val="2"/>
                      <w:sz w:val="21"/>
                      <w:szCs w:val="21"/>
                      <w:highlight w:val="none"/>
                      <w:lang w:val="en-US" w:eastAsia="zh-CN" w:bidi="ar-SA"/>
                    </w:rPr>
                  </w:pPr>
                  <w:r>
                    <w:rPr>
                      <w:rFonts w:cs="Times New Roman"/>
                      <w:color w:val="auto"/>
                      <w:highlight w:val="none"/>
                    </w:rPr>
                    <w:t>淡黄色或深褐色有豆腥味的液体，主要成分为不饱和脂肪酸。添加进饲料后能显著增加饲料能量，提供禽畜生长必须的脂肪酸，改善饲料机能，保护禽畜肠道健康。</w:t>
                  </w:r>
                </w:p>
              </w:tc>
            </w:tr>
            <w:tr w14:paraId="5F527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548" w:type="pct"/>
                  <w:tcBorders>
                    <w:tl2br w:val="nil"/>
                    <w:tr2bl w:val="nil"/>
                  </w:tcBorders>
                  <w:vAlign w:val="center"/>
                </w:tcPr>
                <w:p w14:paraId="2CDA72DE">
                  <w:pPr>
                    <w:pStyle w:val="13"/>
                    <w:rPr>
                      <w:rFonts w:cs="Times New Roman"/>
                      <w:color w:val="auto"/>
                      <w:highlight w:val="none"/>
                    </w:rPr>
                  </w:pPr>
                  <w:r>
                    <w:rPr>
                      <w:rFonts w:cs="Times New Roman"/>
                      <w:color w:val="auto"/>
                      <w:highlight w:val="none"/>
                    </w:rPr>
                    <w:t>多维粉</w:t>
                  </w:r>
                </w:p>
              </w:tc>
              <w:tc>
                <w:tcPr>
                  <w:tcW w:w="4451" w:type="pct"/>
                  <w:tcBorders>
                    <w:tl2br w:val="nil"/>
                    <w:tr2bl w:val="nil"/>
                  </w:tcBorders>
                  <w:vAlign w:val="center"/>
                </w:tcPr>
                <w:p w14:paraId="53758A96">
                  <w:pPr>
                    <w:pStyle w:val="13"/>
                    <w:ind w:firstLine="420" w:firstLineChars="200"/>
                    <w:jc w:val="left"/>
                    <w:rPr>
                      <w:rFonts w:cs="Times New Roman"/>
                      <w:color w:val="auto"/>
                      <w:highlight w:val="none"/>
                    </w:rPr>
                  </w:pPr>
                  <w:r>
                    <w:rPr>
                      <w:rFonts w:cs="Times New Roman"/>
                      <w:color w:val="auto"/>
                      <w:highlight w:val="none"/>
                    </w:rPr>
                    <w:t>淡黄色或红褐色粉末，主要成分为多种单体维生素（如VA、VD3、VE、VK3、B族维生素等）与载体（玉米芯粉）。添加进饲料后能促进禽畜生理代谢、繁殖和生长，提高禽畜抗应激性，改善禽畜肉质与免疫力。</w:t>
                  </w:r>
                </w:p>
              </w:tc>
            </w:tr>
            <w:tr w14:paraId="04B6A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548" w:type="pct"/>
                  <w:tcBorders>
                    <w:tl2br w:val="nil"/>
                    <w:tr2bl w:val="nil"/>
                  </w:tcBorders>
                  <w:vAlign w:val="center"/>
                </w:tcPr>
                <w:p w14:paraId="569F92BF">
                  <w:pPr>
                    <w:pStyle w:val="13"/>
                    <w:rPr>
                      <w:rFonts w:cs="Times New Roman"/>
                      <w:color w:val="auto"/>
                      <w:highlight w:val="none"/>
                    </w:rPr>
                  </w:pPr>
                  <w:r>
                    <w:rPr>
                      <w:rFonts w:hint="eastAsia" w:cs="Times New Roman"/>
                      <w:color w:val="auto"/>
                      <w:highlight w:val="none"/>
                    </w:rPr>
                    <w:t>酸化剂</w:t>
                  </w:r>
                </w:p>
              </w:tc>
              <w:tc>
                <w:tcPr>
                  <w:tcW w:w="4451" w:type="pct"/>
                  <w:tcBorders>
                    <w:tl2br w:val="nil"/>
                    <w:tr2bl w:val="nil"/>
                  </w:tcBorders>
                  <w:vAlign w:val="center"/>
                </w:tcPr>
                <w:p w14:paraId="4364EB42">
                  <w:pPr>
                    <w:pStyle w:val="13"/>
                    <w:ind w:firstLine="420" w:firstLineChars="200"/>
                    <w:jc w:val="left"/>
                    <w:rPr>
                      <w:rFonts w:cs="Times New Roman"/>
                      <w:color w:val="auto"/>
                      <w:highlight w:val="none"/>
                    </w:rPr>
                  </w:pPr>
                  <w:r>
                    <w:rPr>
                      <w:rFonts w:hint="eastAsia" w:cs="Times New Roman"/>
                      <w:color w:val="auto"/>
                      <w:highlight w:val="none"/>
                    </w:rPr>
                    <w:t>白色粉末，主要成分为柠檬酸、富马酸、乳酸，是一种通过降低动物消化道pH值改善肠道环境的环保型添加剂，属于无残留、无抗药性且无毒害作用的饲料添加剂类别。能有效调节动物胃肠道酸碱平衡、抑制饲料病原菌增殖、促进动物营养吸收代谢等功能。</w:t>
                  </w:r>
                </w:p>
              </w:tc>
            </w:tr>
            <w:tr w14:paraId="0C561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548" w:type="pct"/>
                  <w:tcBorders>
                    <w:tl2br w:val="nil"/>
                    <w:tr2bl w:val="nil"/>
                  </w:tcBorders>
                  <w:vAlign w:val="center"/>
                </w:tcPr>
                <w:p w14:paraId="7A3DFF9F">
                  <w:pPr>
                    <w:pStyle w:val="13"/>
                    <w:rPr>
                      <w:rFonts w:cs="Times New Roman"/>
                      <w:color w:val="auto"/>
                      <w:highlight w:val="none"/>
                    </w:rPr>
                  </w:pPr>
                  <w:r>
                    <w:rPr>
                      <w:rFonts w:hint="eastAsia" w:cs="Times New Roman"/>
                      <w:color w:val="auto"/>
                      <w:highlight w:val="none"/>
                    </w:rPr>
                    <w:t>生物质颗粒</w:t>
                  </w:r>
                </w:p>
              </w:tc>
              <w:tc>
                <w:tcPr>
                  <w:tcW w:w="4451" w:type="pct"/>
                  <w:tcBorders>
                    <w:tl2br w:val="nil"/>
                    <w:tr2bl w:val="nil"/>
                  </w:tcBorders>
                  <w:vAlign w:val="center"/>
                </w:tcPr>
                <w:p w14:paraId="03F50BE1">
                  <w:pPr>
                    <w:pStyle w:val="13"/>
                    <w:ind w:firstLine="420" w:firstLineChars="200"/>
                    <w:jc w:val="left"/>
                    <w:rPr>
                      <w:rFonts w:cs="Times New Roman"/>
                      <w:color w:val="auto"/>
                      <w:highlight w:val="none"/>
                    </w:rPr>
                  </w:pPr>
                  <w:r>
                    <w:rPr>
                      <w:rFonts w:hint="eastAsia" w:cs="Times New Roman"/>
                      <w:color w:val="auto"/>
                      <w:highlight w:val="none"/>
                    </w:rPr>
                    <w:t>棕色颗粒，内水（Mad%）为2.98%，空干基灰分（Aad%）为0.36%，空干基挥发分（Vad%）为81.56%，全水（Mt%）为7.18%，全硫（St.ad%）为0.04%，固定碳（FCad%）为15.13%，焦渣特征（CRC）为2级，空干基高位发热量（Qgr.ad）为4801千卡/克，收到基低位发热量（Qnet.ar）为4335千卡/克。</w:t>
                  </w:r>
                </w:p>
              </w:tc>
            </w:tr>
          </w:tbl>
          <w:p w14:paraId="161D6993">
            <w:pPr>
              <w:pStyle w:val="3"/>
              <w:ind w:firstLine="482"/>
              <w:rPr>
                <w:color w:val="auto"/>
                <w:highlight w:val="none"/>
              </w:rPr>
            </w:pPr>
            <w:r>
              <w:rPr>
                <w:color w:val="auto"/>
                <w:highlight w:val="none"/>
              </w:rPr>
              <w:t>（</w:t>
            </w:r>
            <w:r>
              <w:rPr>
                <w:rFonts w:hint="eastAsia"/>
                <w:color w:val="auto"/>
                <w:highlight w:val="none"/>
              </w:rPr>
              <w:t>3</w:t>
            </w:r>
            <w:r>
              <w:rPr>
                <w:color w:val="auto"/>
                <w:highlight w:val="none"/>
              </w:rPr>
              <w:t>）</w:t>
            </w:r>
            <w:r>
              <w:rPr>
                <w:rFonts w:hint="eastAsia"/>
                <w:color w:val="auto"/>
                <w:highlight w:val="none"/>
              </w:rPr>
              <w:t>原辅料</w:t>
            </w:r>
            <w:r>
              <w:rPr>
                <w:color w:val="auto"/>
                <w:highlight w:val="none"/>
              </w:rPr>
              <w:t>用量</w:t>
            </w:r>
          </w:p>
          <w:p w14:paraId="0167F0BE">
            <w:pPr>
              <w:pStyle w:val="4"/>
              <w:ind w:firstLine="482"/>
              <w:rPr>
                <w:rFonts w:cs="Times New Roman"/>
                <w:color w:val="auto"/>
                <w:highlight w:val="none"/>
              </w:rPr>
            </w:pPr>
            <w:r>
              <w:rPr>
                <w:rFonts w:cs="Times New Roman"/>
                <w:color w:val="auto"/>
                <w:highlight w:val="none"/>
              </w:rPr>
              <w:t>①生物质燃料用量</w:t>
            </w:r>
          </w:p>
          <w:p w14:paraId="63B3432A">
            <w:pPr>
              <w:ind w:firstLine="480"/>
              <w:rPr>
                <w:color w:val="auto"/>
                <w:highlight w:val="none"/>
              </w:rPr>
            </w:pPr>
            <w:r>
              <w:rPr>
                <w:rFonts w:hint="eastAsia"/>
                <w:color w:val="auto"/>
                <w:highlight w:val="none"/>
              </w:rPr>
              <w:t>项目设置1台DZL3-0.7-M型生物质蒸汽锅炉，额定蒸发量3t/h，额定供热负荷2.1MW。本项目锅炉工作频次为</w:t>
            </w:r>
            <w:r>
              <w:rPr>
                <w:rFonts w:hint="eastAsia"/>
                <w:color w:val="auto"/>
                <w:highlight w:val="none"/>
                <w:lang w:val="en-US" w:eastAsia="zh-CN"/>
              </w:rPr>
              <w:t>每10天1次，每次运行</w:t>
            </w:r>
            <w:r>
              <w:rPr>
                <w:rFonts w:hint="eastAsia"/>
                <w:color w:val="auto"/>
                <w:highlight w:val="none"/>
              </w:rPr>
              <w:t>4.5</w:t>
            </w:r>
            <w:r>
              <w:rPr>
                <w:rFonts w:hint="eastAsia"/>
                <w:color w:val="auto"/>
                <w:highlight w:val="none"/>
                <w:lang w:val="en-US" w:eastAsia="zh-CN"/>
              </w:rPr>
              <w:t>小时</w:t>
            </w:r>
            <w:r>
              <w:rPr>
                <w:rFonts w:hint="eastAsia"/>
                <w:color w:val="auto"/>
                <w:highlight w:val="none"/>
              </w:rPr>
              <w:t>，即工作时长为135h/a，锅炉热效率按80%计，生物质燃料热量按低位发热量4335kcal/kg计。即生物质颗粒使用量为75t/a（75</w:t>
            </w:r>
            <w:r>
              <w:rPr>
                <w:color w:val="auto"/>
                <w:highlight w:val="none"/>
              </w:rPr>
              <w:t>t/a</w:t>
            </w:r>
            <w:r>
              <w:rPr>
                <w:rFonts w:cs="Times New Roman"/>
                <w:color w:val="auto"/>
                <w:highlight w:val="none"/>
              </w:rPr>
              <w:t>≈</w:t>
            </w:r>
            <w:r>
              <w:rPr>
                <w:color w:val="auto"/>
                <w:highlight w:val="none"/>
              </w:rPr>
              <w:t>2.1MW×135h×860kcal/kWh÷80%÷4335kcal/kg</w:t>
            </w:r>
            <w:r>
              <w:rPr>
                <w:rFonts w:hint="eastAsia"/>
                <w:color w:val="auto"/>
                <w:highlight w:val="none"/>
              </w:rPr>
              <w:t>）。</w:t>
            </w:r>
          </w:p>
          <w:p w14:paraId="115271FD">
            <w:pPr>
              <w:pStyle w:val="4"/>
              <w:ind w:firstLine="480"/>
              <w:rPr>
                <w:rFonts w:cs="Times New Roman"/>
                <w:color w:val="auto"/>
                <w:highlight w:val="none"/>
              </w:rPr>
            </w:pPr>
            <w:r>
              <w:rPr>
                <w:rFonts w:eastAsia="微软雅黑" w:cs="Times New Roman"/>
                <w:color w:val="auto"/>
                <w:highlight w:val="none"/>
              </w:rPr>
              <w:t>②</w:t>
            </w:r>
            <w:r>
              <w:rPr>
                <w:rFonts w:hint="eastAsia" w:eastAsia="微软雅黑" w:cs="Times New Roman"/>
                <w:color w:val="auto"/>
                <w:highlight w:val="none"/>
              </w:rPr>
              <w:t>物料</w:t>
            </w:r>
            <w:r>
              <w:rPr>
                <w:rFonts w:hint="eastAsia" w:cs="Times New Roman"/>
                <w:color w:val="auto"/>
                <w:highlight w:val="none"/>
              </w:rPr>
              <w:t>平衡</w:t>
            </w:r>
          </w:p>
          <w:p w14:paraId="5098C33D">
            <w:pPr>
              <w:ind w:firstLine="480"/>
              <w:rPr>
                <w:color w:val="auto"/>
                <w:highlight w:val="none"/>
              </w:rPr>
            </w:pPr>
            <w:r>
              <w:rPr>
                <w:rFonts w:hint="eastAsia"/>
                <w:color w:val="auto"/>
                <w:highlight w:val="none"/>
              </w:rPr>
              <w:t>项目</w:t>
            </w:r>
            <w:r>
              <w:rPr>
                <w:rFonts w:hint="eastAsia"/>
                <w:color w:val="auto"/>
                <w:highlight w:val="none"/>
                <w:lang w:val="en-US" w:eastAsia="zh-CN"/>
              </w:rPr>
              <w:t>物料</w:t>
            </w:r>
            <w:r>
              <w:rPr>
                <w:rFonts w:hint="eastAsia"/>
                <w:color w:val="auto"/>
                <w:highlight w:val="none"/>
              </w:rPr>
              <w:t>平衡分析见下表。</w:t>
            </w:r>
          </w:p>
          <w:p w14:paraId="18B61E1D">
            <w:pPr>
              <w:pStyle w:val="14"/>
              <w:spacing w:before="156"/>
              <w:rPr>
                <w:color w:val="auto"/>
                <w:highlight w:val="none"/>
              </w:rPr>
            </w:pPr>
            <w:r>
              <w:rPr>
                <w:rFonts w:hint="eastAsia"/>
                <w:color w:val="auto"/>
                <w:highlight w:val="none"/>
              </w:rPr>
              <w:t>表2-7  项目物料平衡一览表</w:t>
            </w:r>
          </w:p>
          <w:tbl>
            <w:tblPr>
              <w:tblStyle w:val="1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0"/>
              <w:gridCol w:w="1871"/>
              <w:gridCol w:w="2549"/>
              <w:gridCol w:w="2227"/>
            </w:tblGrid>
            <w:tr w14:paraId="16818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03" w:type="pct"/>
                  <w:gridSpan w:val="2"/>
                  <w:vAlign w:val="center"/>
                </w:tcPr>
                <w:p w14:paraId="6E173644">
                  <w:pPr>
                    <w:pStyle w:val="13"/>
                    <w:rPr>
                      <w:rFonts w:cs="Times New Roman"/>
                      <w:b/>
                      <w:bCs/>
                      <w:color w:val="auto"/>
                      <w:highlight w:val="none"/>
                    </w:rPr>
                  </w:pPr>
                  <w:r>
                    <w:rPr>
                      <w:rFonts w:cs="Times New Roman"/>
                      <w:b/>
                      <w:bCs/>
                      <w:color w:val="auto"/>
                      <w:highlight w:val="none"/>
                    </w:rPr>
                    <w:t>原料投入</w:t>
                  </w:r>
                </w:p>
              </w:tc>
              <w:tc>
                <w:tcPr>
                  <w:tcW w:w="2696" w:type="pct"/>
                  <w:gridSpan w:val="2"/>
                  <w:vAlign w:val="center"/>
                </w:tcPr>
                <w:p w14:paraId="6A681EC2">
                  <w:pPr>
                    <w:pStyle w:val="13"/>
                    <w:rPr>
                      <w:rFonts w:cs="Times New Roman"/>
                      <w:b/>
                      <w:bCs/>
                      <w:color w:val="auto"/>
                      <w:highlight w:val="none"/>
                    </w:rPr>
                  </w:pPr>
                  <w:r>
                    <w:rPr>
                      <w:rFonts w:cs="Times New Roman"/>
                      <w:b/>
                      <w:bCs/>
                      <w:color w:val="auto"/>
                      <w:highlight w:val="none"/>
                    </w:rPr>
                    <w:t>产品产出</w:t>
                  </w:r>
                </w:p>
              </w:tc>
            </w:tr>
            <w:tr w14:paraId="2C63B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47" w:type="pct"/>
                  <w:vAlign w:val="center"/>
                </w:tcPr>
                <w:p w14:paraId="4F55D4D5">
                  <w:pPr>
                    <w:pStyle w:val="13"/>
                    <w:rPr>
                      <w:rFonts w:cs="Times New Roman"/>
                      <w:b/>
                      <w:bCs/>
                      <w:color w:val="auto"/>
                      <w:highlight w:val="none"/>
                    </w:rPr>
                  </w:pPr>
                  <w:r>
                    <w:rPr>
                      <w:rFonts w:cs="Times New Roman"/>
                      <w:b/>
                      <w:bCs/>
                      <w:color w:val="auto"/>
                      <w:highlight w:val="none"/>
                    </w:rPr>
                    <w:t>名称</w:t>
                  </w:r>
                </w:p>
              </w:tc>
              <w:tc>
                <w:tcPr>
                  <w:tcW w:w="1056" w:type="pct"/>
                  <w:vAlign w:val="center"/>
                </w:tcPr>
                <w:p w14:paraId="2B2B6698">
                  <w:pPr>
                    <w:pStyle w:val="13"/>
                    <w:rPr>
                      <w:rFonts w:cs="Times New Roman"/>
                      <w:b/>
                      <w:bCs/>
                      <w:color w:val="auto"/>
                      <w:highlight w:val="none"/>
                    </w:rPr>
                  </w:pPr>
                  <w:r>
                    <w:rPr>
                      <w:rFonts w:cs="Times New Roman"/>
                      <w:b/>
                      <w:bCs/>
                      <w:color w:val="auto"/>
                      <w:highlight w:val="none"/>
                    </w:rPr>
                    <w:t>用量（t/a）</w:t>
                  </w:r>
                </w:p>
              </w:tc>
              <w:tc>
                <w:tcPr>
                  <w:tcW w:w="1439" w:type="pct"/>
                  <w:vAlign w:val="center"/>
                </w:tcPr>
                <w:p w14:paraId="3F42127C">
                  <w:pPr>
                    <w:pStyle w:val="13"/>
                    <w:rPr>
                      <w:rFonts w:cs="Times New Roman"/>
                      <w:b/>
                      <w:bCs/>
                      <w:color w:val="auto"/>
                      <w:highlight w:val="none"/>
                    </w:rPr>
                  </w:pPr>
                  <w:r>
                    <w:rPr>
                      <w:rFonts w:cs="Times New Roman"/>
                      <w:b/>
                      <w:bCs/>
                      <w:color w:val="auto"/>
                      <w:highlight w:val="none"/>
                    </w:rPr>
                    <w:t>名称</w:t>
                  </w:r>
                </w:p>
              </w:tc>
              <w:tc>
                <w:tcPr>
                  <w:tcW w:w="1256" w:type="pct"/>
                  <w:vAlign w:val="center"/>
                </w:tcPr>
                <w:p w14:paraId="27360D83">
                  <w:pPr>
                    <w:pStyle w:val="13"/>
                    <w:rPr>
                      <w:rFonts w:cs="Times New Roman"/>
                      <w:b/>
                      <w:bCs/>
                      <w:color w:val="auto"/>
                      <w:highlight w:val="none"/>
                    </w:rPr>
                  </w:pPr>
                  <w:r>
                    <w:rPr>
                      <w:rFonts w:cs="Times New Roman"/>
                      <w:b/>
                      <w:bCs/>
                      <w:color w:val="auto"/>
                      <w:highlight w:val="none"/>
                    </w:rPr>
                    <w:t>产量（t/a）</w:t>
                  </w:r>
                </w:p>
              </w:tc>
            </w:tr>
            <w:tr w14:paraId="0C4F2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47" w:type="pct"/>
                  <w:vMerge w:val="restart"/>
                  <w:vAlign w:val="center"/>
                </w:tcPr>
                <w:p w14:paraId="53742587">
                  <w:pPr>
                    <w:pStyle w:val="13"/>
                    <w:rPr>
                      <w:color w:val="auto"/>
                      <w:highlight w:val="none"/>
                    </w:rPr>
                  </w:pPr>
                  <w:r>
                    <w:rPr>
                      <w:rFonts w:hint="eastAsia"/>
                      <w:color w:val="auto"/>
                      <w:highlight w:val="none"/>
                    </w:rPr>
                    <w:t>秸秆</w:t>
                  </w:r>
                </w:p>
              </w:tc>
              <w:tc>
                <w:tcPr>
                  <w:tcW w:w="1056" w:type="pct"/>
                  <w:vMerge w:val="restart"/>
                  <w:vAlign w:val="center"/>
                </w:tcPr>
                <w:p w14:paraId="2DAE1345">
                  <w:pPr>
                    <w:pStyle w:val="13"/>
                    <w:rPr>
                      <w:color w:val="auto"/>
                      <w:highlight w:val="none"/>
                    </w:rPr>
                  </w:pPr>
                  <w:r>
                    <w:rPr>
                      <w:rFonts w:hint="eastAsia"/>
                      <w:color w:val="auto"/>
                      <w:highlight w:val="none"/>
                    </w:rPr>
                    <w:t>10018.8117</w:t>
                  </w:r>
                </w:p>
              </w:tc>
              <w:tc>
                <w:tcPr>
                  <w:tcW w:w="1439" w:type="pct"/>
                  <w:vAlign w:val="center"/>
                </w:tcPr>
                <w:p w14:paraId="27AC6558">
                  <w:pPr>
                    <w:pStyle w:val="13"/>
                    <w:rPr>
                      <w:color w:val="auto"/>
                      <w:highlight w:val="none"/>
                    </w:rPr>
                  </w:pPr>
                  <w:r>
                    <w:rPr>
                      <w:rFonts w:hint="eastAsia"/>
                      <w:color w:val="auto"/>
                      <w:highlight w:val="none"/>
                    </w:rPr>
                    <w:t>秸秆饲料</w:t>
                  </w:r>
                </w:p>
              </w:tc>
              <w:tc>
                <w:tcPr>
                  <w:tcW w:w="1256" w:type="pct"/>
                  <w:vAlign w:val="center"/>
                </w:tcPr>
                <w:p w14:paraId="7DB48170">
                  <w:pPr>
                    <w:pStyle w:val="13"/>
                    <w:rPr>
                      <w:color w:val="auto"/>
                      <w:highlight w:val="none"/>
                    </w:rPr>
                  </w:pPr>
                  <w:r>
                    <w:rPr>
                      <w:rFonts w:hint="eastAsia"/>
                      <w:color w:val="auto"/>
                      <w:highlight w:val="none"/>
                    </w:rPr>
                    <w:t>10000</w:t>
                  </w:r>
                </w:p>
              </w:tc>
            </w:tr>
            <w:tr w14:paraId="2728F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47" w:type="pct"/>
                  <w:vMerge w:val="continue"/>
                  <w:vAlign w:val="center"/>
                </w:tcPr>
                <w:p w14:paraId="7CD7A7A3">
                  <w:pPr>
                    <w:pStyle w:val="13"/>
                    <w:rPr>
                      <w:color w:val="auto"/>
                      <w:highlight w:val="none"/>
                    </w:rPr>
                  </w:pPr>
                </w:p>
              </w:tc>
              <w:tc>
                <w:tcPr>
                  <w:tcW w:w="1056" w:type="pct"/>
                  <w:vMerge w:val="continue"/>
                  <w:vAlign w:val="center"/>
                </w:tcPr>
                <w:p w14:paraId="6D5B8E83">
                  <w:pPr>
                    <w:pStyle w:val="13"/>
                    <w:rPr>
                      <w:color w:val="auto"/>
                      <w:highlight w:val="none"/>
                    </w:rPr>
                  </w:pPr>
                </w:p>
              </w:tc>
              <w:tc>
                <w:tcPr>
                  <w:tcW w:w="1439" w:type="pct"/>
                  <w:vAlign w:val="center"/>
                </w:tcPr>
                <w:p w14:paraId="3BB236E7">
                  <w:pPr>
                    <w:pStyle w:val="13"/>
                    <w:rPr>
                      <w:color w:val="auto"/>
                      <w:highlight w:val="none"/>
                    </w:rPr>
                  </w:pPr>
                  <w:r>
                    <w:rPr>
                      <w:rFonts w:hint="eastAsia"/>
                      <w:color w:val="auto"/>
                      <w:highlight w:val="none"/>
                    </w:rPr>
                    <w:t>有组织排放粉尘</w:t>
                  </w:r>
                </w:p>
              </w:tc>
              <w:tc>
                <w:tcPr>
                  <w:tcW w:w="1256" w:type="pct"/>
                  <w:vAlign w:val="center"/>
                </w:tcPr>
                <w:p w14:paraId="075D5FC2">
                  <w:pPr>
                    <w:pStyle w:val="13"/>
                    <w:rPr>
                      <w:color w:val="auto"/>
                      <w:highlight w:val="none"/>
                    </w:rPr>
                  </w:pPr>
                  <w:r>
                    <w:rPr>
                      <w:rFonts w:hint="eastAsia"/>
                      <w:color w:val="auto"/>
                      <w:highlight w:val="none"/>
                    </w:rPr>
                    <w:t>0.645</w:t>
                  </w:r>
                </w:p>
              </w:tc>
            </w:tr>
            <w:tr w14:paraId="62898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47" w:type="pct"/>
                  <w:vMerge w:val="continue"/>
                  <w:vAlign w:val="center"/>
                </w:tcPr>
                <w:p w14:paraId="6DD32B2E">
                  <w:pPr>
                    <w:pStyle w:val="13"/>
                    <w:rPr>
                      <w:color w:val="auto"/>
                      <w:highlight w:val="none"/>
                    </w:rPr>
                  </w:pPr>
                </w:p>
              </w:tc>
              <w:tc>
                <w:tcPr>
                  <w:tcW w:w="1056" w:type="pct"/>
                  <w:vMerge w:val="continue"/>
                  <w:vAlign w:val="center"/>
                </w:tcPr>
                <w:p w14:paraId="203B7DC5">
                  <w:pPr>
                    <w:pStyle w:val="13"/>
                    <w:rPr>
                      <w:color w:val="auto"/>
                      <w:highlight w:val="none"/>
                    </w:rPr>
                  </w:pPr>
                </w:p>
              </w:tc>
              <w:tc>
                <w:tcPr>
                  <w:tcW w:w="1439" w:type="pct"/>
                  <w:vAlign w:val="center"/>
                </w:tcPr>
                <w:p w14:paraId="7FA75A02">
                  <w:pPr>
                    <w:pStyle w:val="13"/>
                    <w:rPr>
                      <w:color w:val="auto"/>
                      <w:highlight w:val="none"/>
                    </w:rPr>
                  </w:pPr>
                  <w:r>
                    <w:rPr>
                      <w:rFonts w:hint="eastAsia"/>
                      <w:color w:val="auto"/>
                      <w:highlight w:val="none"/>
                    </w:rPr>
                    <w:t>无组织排放粉尘</w:t>
                  </w:r>
                </w:p>
              </w:tc>
              <w:tc>
                <w:tcPr>
                  <w:tcW w:w="1256" w:type="pct"/>
                  <w:vAlign w:val="center"/>
                </w:tcPr>
                <w:p w14:paraId="3EC7DA79">
                  <w:pPr>
                    <w:pStyle w:val="13"/>
                    <w:rPr>
                      <w:color w:val="auto"/>
                      <w:highlight w:val="none"/>
                    </w:rPr>
                  </w:pPr>
                  <w:r>
                    <w:rPr>
                      <w:rFonts w:hint="eastAsia"/>
                      <w:color w:val="auto"/>
                      <w:highlight w:val="none"/>
                    </w:rPr>
                    <w:t>7.1667</w:t>
                  </w:r>
                </w:p>
              </w:tc>
            </w:tr>
            <w:tr w14:paraId="324F9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47" w:type="pct"/>
                  <w:vMerge w:val="continue"/>
                  <w:vAlign w:val="center"/>
                </w:tcPr>
                <w:p w14:paraId="3BA7CEE6">
                  <w:pPr>
                    <w:pStyle w:val="13"/>
                    <w:rPr>
                      <w:color w:val="auto"/>
                      <w:highlight w:val="none"/>
                    </w:rPr>
                  </w:pPr>
                </w:p>
              </w:tc>
              <w:tc>
                <w:tcPr>
                  <w:tcW w:w="1056" w:type="pct"/>
                  <w:vMerge w:val="continue"/>
                  <w:vAlign w:val="center"/>
                </w:tcPr>
                <w:p w14:paraId="6D757521">
                  <w:pPr>
                    <w:pStyle w:val="13"/>
                    <w:rPr>
                      <w:color w:val="auto"/>
                      <w:highlight w:val="none"/>
                    </w:rPr>
                  </w:pPr>
                </w:p>
              </w:tc>
              <w:tc>
                <w:tcPr>
                  <w:tcW w:w="1439" w:type="pct"/>
                  <w:vAlign w:val="center"/>
                </w:tcPr>
                <w:p w14:paraId="0B9487E4">
                  <w:pPr>
                    <w:pStyle w:val="13"/>
                    <w:rPr>
                      <w:color w:val="auto"/>
                      <w:highlight w:val="none"/>
                    </w:rPr>
                  </w:pPr>
                  <w:r>
                    <w:rPr>
                      <w:rFonts w:hint="eastAsia"/>
                      <w:color w:val="auto"/>
                      <w:highlight w:val="none"/>
                    </w:rPr>
                    <w:t>筛分杂质</w:t>
                  </w:r>
                </w:p>
              </w:tc>
              <w:tc>
                <w:tcPr>
                  <w:tcW w:w="1256" w:type="pct"/>
                  <w:vAlign w:val="center"/>
                </w:tcPr>
                <w:p w14:paraId="7558B3DD">
                  <w:pPr>
                    <w:pStyle w:val="13"/>
                    <w:rPr>
                      <w:color w:val="auto"/>
                      <w:highlight w:val="none"/>
                    </w:rPr>
                  </w:pPr>
                  <w:r>
                    <w:rPr>
                      <w:rFonts w:hint="eastAsia"/>
                      <w:color w:val="auto"/>
                      <w:highlight w:val="none"/>
                    </w:rPr>
                    <w:t>10</w:t>
                  </w:r>
                </w:p>
              </w:tc>
            </w:tr>
            <w:tr w14:paraId="52137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47" w:type="pct"/>
                  <w:vMerge w:val="continue"/>
                  <w:vAlign w:val="center"/>
                </w:tcPr>
                <w:p w14:paraId="40CDB9F4">
                  <w:pPr>
                    <w:pStyle w:val="13"/>
                    <w:rPr>
                      <w:color w:val="auto"/>
                      <w:highlight w:val="none"/>
                    </w:rPr>
                  </w:pPr>
                </w:p>
              </w:tc>
              <w:tc>
                <w:tcPr>
                  <w:tcW w:w="1056" w:type="pct"/>
                  <w:vMerge w:val="continue"/>
                  <w:vAlign w:val="center"/>
                </w:tcPr>
                <w:p w14:paraId="0FDCA56A">
                  <w:pPr>
                    <w:pStyle w:val="13"/>
                    <w:rPr>
                      <w:color w:val="auto"/>
                      <w:highlight w:val="none"/>
                    </w:rPr>
                  </w:pPr>
                </w:p>
              </w:tc>
              <w:tc>
                <w:tcPr>
                  <w:tcW w:w="1439" w:type="pct"/>
                  <w:vAlign w:val="center"/>
                </w:tcPr>
                <w:p w14:paraId="626D47FE">
                  <w:pPr>
                    <w:pStyle w:val="13"/>
                    <w:rPr>
                      <w:color w:val="auto"/>
                      <w:highlight w:val="none"/>
                    </w:rPr>
                  </w:pPr>
                  <w:r>
                    <w:rPr>
                      <w:rFonts w:hint="eastAsia"/>
                      <w:color w:val="auto"/>
                      <w:highlight w:val="none"/>
                    </w:rPr>
                    <w:t>磁选杂质</w:t>
                  </w:r>
                </w:p>
              </w:tc>
              <w:tc>
                <w:tcPr>
                  <w:tcW w:w="1256" w:type="pct"/>
                  <w:vAlign w:val="center"/>
                </w:tcPr>
                <w:p w14:paraId="28C8F3D1">
                  <w:pPr>
                    <w:pStyle w:val="13"/>
                    <w:rPr>
                      <w:color w:val="auto"/>
                      <w:highlight w:val="none"/>
                    </w:rPr>
                  </w:pPr>
                  <w:r>
                    <w:rPr>
                      <w:rFonts w:hint="eastAsia"/>
                      <w:color w:val="auto"/>
                      <w:highlight w:val="none"/>
                    </w:rPr>
                    <w:t>1</w:t>
                  </w:r>
                </w:p>
              </w:tc>
            </w:tr>
            <w:tr w14:paraId="2DFA2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47" w:type="pct"/>
                  <w:vMerge w:val="restart"/>
                  <w:vAlign w:val="center"/>
                </w:tcPr>
                <w:p w14:paraId="67EEDA57">
                  <w:pPr>
                    <w:pStyle w:val="13"/>
                    <w:rPr>
                      <w:color w:val="auto"/>
                      <w:highlight w:val="none"/>
                    </w:rPr>
                  </w:pPr>
                  <w:r>
                    <w:rPr>
                      <w:rFonts w:hint="eastAsia"/>
                      <w:color w:val="auto"/>
                      <w:highlight w:val="none"/>
                    </w:rPr>
                    <w:t>秸秆</w:t>
                  </w:r>
                </w:p>
              </w:tc>
              <w:tc>
                <w:tcPr>
                  <w:tcW w:w="1056" w:type="pct"/>
                  <w:vMerge w:val="restart"/>
                  <w:vAlign w:val="center"/>
                </w:tcPr>
                <w:p w14:paraId="6A6216DE">
                  <w:pPr>
                    <w:pStyle w:val="13"/>
                    <w:rPr>
                      <w:color w:val="auto"/>
                      <w:highlight w:val="none"/>
                    </w:rPr>
                  </w:pPr>
                  <w:r>
                    <w:rPr>
                      <w:rFonts w:hint="eastAsia"/>
                      <w:color w:val="auto"/>
                      <w:highlight w:val="none"/>
                    </w:rPr>
                    <w:t>3952.6039</w:t>
                  </w:r>
                </w:p>
              </w:tc>
              <w:tc>
                <w:tcPr>
                  <w:tcW w:w="1439" w:type="pct"/>
                  <w:vAlign w:val="center"/>
                </w:tcPr>
                <w:p w14:paraId="383505F1">
                  <w:pPr>
                    <w:pStyle w:val="13"/>
                    <w:rPr>
                      <w:color w:val="auto"/>
                      <w:highlight w:val="none"/>
                    </w:rPr>
                  </w:pPr>
                  <w:r>
                    <w:rPr>
                      <w:rFonts w:hint="eastAsia"/>
                      <w:color w:val="auto"/>
                      <w:highlight w:val="none"/>
                    </w:rPr>
                    <w:t>有组织排放粉尘</w:t>
                  </w:r>
                </w:p>
              </w:tc>
              <w:tc>
                <w:tcPr>
                  <w:tcW w:w="1256" w:type="pct"/>
                  <w:vAlign w:val="center"/>
                </w:tcPr>
                <w:p w14:paraId="0FDDBD0C">
                  <w:pPr>
                    <w:pStyle w:val="13"/>
                    <w:rPr>
                      <w:color w:val="auto"/>
                      <w:highlight w:val="none"/>
                    </w:rPr>
                  </w:pPr>
                  <w:r>
                    <w:rPr>
                      <w:rFonts w:hint="eastAsia"/>
                      <w:color w:val="auto"/>
                      <w:highlight w:val="none"/>
                    </w:rPr>
                    <w:t>0.215</w:t>
                  </w:r>
                </w:p>
              </w:tc>
            </w:tr>
            <w:tr w14:paraId="163C9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47" w:type="pct"/>
                  <w:vMerge w:val="continue"/>
                  <w:vAlign w:val="center"/>
                </w:tcPr>
                <w:p w14:paraId="16E61CA6">
                  <w:pPr>
                    <w:pStyle w:val="13"/>
                    <w:rPr>
                      <w:color w:val="auto"/>
                      <w:highlight w:val="none"/>
                    </w:rPr>
                  </w:pPr>
                </w:p>
              </w:tc>
              <w:tc>
                <w:tcPr>
                  <w:tcW w:w="1056" w:type="pct"/>
                  <w:vMerge w:val="continue"/>
                  <w:vAlign w:val="center"/>
                </w:tcPr>
                <w:p w14:paraId="5E3EC128">
                  <w:pPr>
                    <w:pStyle w:val="13"/>
                    <w:rPr>
                      <w:color w:val="auto"/>
                      <w:highlight w:val="none"/>
                    </w:rPr>
                  </w:pPr>
                </w:p>
              </w:tc>
              <w:tc>
                <w:tcPr>
                  <w:tcW w:w="1439" w:type="pct"/>
                  <w:vAlign w:val="center"/>
                </w:tcPr>
                <w:p w14:paraId="0B98554E">
                  <w:pPr>
                    <w:pStyle w:val="13"/>
                    <w:rPr>
                      <w:color w:val="auto"/>
                      <w:highlight w:val="none"/>
                    </w:rPr>
                  </w:pPr>
                  <w:r>
                    <w:rPr>
                      <w:rFonts w:hint="eastAsia"/>
                      <w:color w:val="auto"/>
                      <w:highlight w:val="none"/>
                    </w:rPr>
                    <w:t>无组织排放粉尘</w:t>
                  </w:r>
                </w:p>
              </w:tc>
              <w:tc>
                <w:tcPr>
                  <w:tcW w:w="1256" w:type="pct"/>
                  <w:vAlign w:val="center"/>
                </w:tcPr>
                <w:p w14:paraId="62FC3B8C">
                  <w:pPr>
                    <w:pStyle w:val="13"/>
                    <w:rPr>
                      <w:color w:val="auto"/>
                      <w:highlight w:val="none"/>
                    </w:rPr>
                  </w:pPr>
                  <w:r>
                    <w:rPr>
                      <w:rFonts w:hint="eastAsia"/>
                      <w:color w:val="auto"/>
                      <w:highlight w:val="none"/>
                    </w:rPr>
                    <w:t>2.3889</w:t>
                  </w:r>
                </w:p>
              </w:tc>
            </w:tr>
            <w:tr w14:paraId="00BD9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47" w:type="pct"/>
                  <w:vMerge w:val="continue"/>
                  <w:vAlign w:val="center"/>
                </w:tcPr>
                <w:p w14:paraId="2C6416DB">
                  <w:pPr>
                    <w:pStyle w:val="13"/>
                    <w:rPr>
                      <w:color w:val="auto"/>
                      <w:highlight w:val="none"/>
                    </w:rPr>
                  </w:pPr>
                </w:p>
              </w:tc>
              <w:tc>
                <w:tcPr>
                  <w:tcW w:w="1056" w:type="pct"/>
                  <w:vMerge w:val="continue"/>
                  <w:vAlign w:val="center"/>
                </w:tcPr>
                <w:p w14:paraId="74B5FF14">
                  <w:pPr>
                    <w:pStyle w:val="13"/>
                    <w:rPr>
                      <w:color w:val="auto"/>
                      <w:highlight w:val="none"/>
                    </w:rPr>
                  </w:pPr>
                </w:p>
              </w:tc>
              <w:tc>
                <w:tcPr>
                  <w:tcW w:w="1439" w:type="pct"/>
                  <w:vMerge w:val="restart"/>
                  <w:vAlign w:val="center"/>
                </w:tcPr>
                <w:p w14:paraId="0E495CBD">
                  <w:pPr>
                    <w:pStyle w:val="13"/>
                    <w:rPr>
                      <w:color w:val="auto"/>
                      <w:highlight w:val="none"/>
                    </w:rPr>
                  </w:pPr>
                  <w:r>
                    <w:rPr>
                      <w:rFonts w:hint="eastAsia"/>
                      <w:color w:val="auto"/>
                      <w:highlight w:val="none"/>
                    </w:rPr>
                    <w:t>饲料颗粒</w:t>
                  </w:r>
                </w:p>
              </w:tc>
              <w:tc>
                <w:tcPr>
                  <w:tcW w:w="1256" w:type="pct"/>
                  <w:vMerge w:val="restart"/>
                  <w:vAlign w:val="center"/>
                </w:tcPr>
                <w:p w14:paraId="1DCB2D58">
                  <w:pPr>
                    <w:pStyle w:val="13"/>
                    <w:rPr>
                      <w:color w:val="auto"/>
                      <w:highlight w:val="none"/>
                    </w:rPr>
                  </w:pPr>
                  <w:r>
                    <w:rPr>
                      <w:rFonts w:hint="eastAsia"/>
                      <w:color w:val="auto"/>
                      <w:highlight w:val="none"/>
                    </w:rPr>
                    <w:t>5000</w:t>
                  </w:r>
                </w:p>
              </w:tc>
            </w:tr>
            <w:tr w14:paraId="2C04D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47" w:type="pct"/>
                  <w:vAlign w:val="center"/>
                </w:tcPr>
                <w:p w14:paraId="46212CDE">
                  <w:pPr>
                    <w:pStyle w:val="13"/>
                    <w:rPr>
                      <w:color w:val="auto"/>
                      <w:highlight w:val="none"/>
                    </w:rPr>
                  </w:pPr>
                  <w:r>
                    <w:rPr>
                      <w:rFonts w:hint="eastAsia"/>
                      <w:color w:val="auto"/>
                      <w:highlight w:val="none"/>
                    </w:rPr>
                    <w:t>石粉</w:t>
                  </w:r>
                </w:p>
              </w:tc>
              <w:tc>
                <w:tcPr>
                  <w:tcW w:w="1056" w:type="pct"/>
                  <w:vAlign w:val="center"/>
                </w:tcPr>
                <w:p w14:paraId="2D41DA48">
                  <w:pPr>
                    <w:pStyle w:val="13"/>
                    <w:rPr>
                      <w:color w:val="auto"/>
                      <w:highlight w:val="none"/>
                    </w:rPr>
                  </w:pPr>
                  <w:r>
                    <w:rPr>
                      <w:rFonts w:hint="eastAsia"/>
                      <w:color w:val="auto"/>
                      <w:highlight w:val="none"/>
                    </w:rPr>
                    <w:t>200</w:t>
                  </w:r>
                </w:p>
              </w:tc>
              <w:tc>
                <w:tcPr>
                  <w:tcW w:w="1439" w:type="pct"/>
                  <w:vMerge w:val="continue"/>
                  <w:vAlign w:val="center"/>
                </w:tcPr>
                <w:p w14:paraId="49A3EE0D">
                  <w:pPr>
                    <w:pStyle w:val="13"/>
                    <w:rPr>
                      <w:color w:val="auto"/>
                      <w:highlight w:val="none"/>
                    </w:rPr>
                  </w:pPr>
                </w:p>
              </w:tc>
              <w:tc>
                <w:tcPr>
                  <w:tcW w:w="1256" w:type="pct"/>
                  <w:vMerge w:val="continue"/>
                  <w:vAlign w:val="center"/>
                </w:tcPr>
                <w:p w14:paraId="11ACB0B8">
                  <w:pPr>
                    <w:pStyle w:val="13"/>
                    <w:rPr>
                      <w:color w:val="auto"/>
                      <w:highlight w:val="none"/>
                    </w:rPr>
                  </w:pPr>
                </w:p>
              </w:tc>
            </w:tr>
            <w:tr w14:paraId="6D6B4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47" w:type="pct"/>
                  <w:vAlign w:val="center"/>
                </w:tcPr>
                <w:p w14:paraId="56C9F2F5">
                  <w:pPr>
                    <w:pStyle w:val="13"/>
                    <w:rPr>
                      <w:color w:val="auto"/>
                      <w:highlight w:val="none"/>
                    </w:rPr>
                  </w:pPr>
                  <w:r>
                    <w:rPr>
                      <w:rFonts w:hint="eastAsia"/>
                      <w:color w:val="auto"/>
                      <w:highlight w:val="none"/>
                    </w:rPr>
                    <w:t>氨基酸</w:t>
                  </w:r>
                </w:p>
              </w:tc>
              <w:tc>
                <w:tcPr>
                  <w:tcW w:w="1056" w:type="pct"/>
                  <w:vAlign w:val="center"/>
                </w:tcPr>
                <w:p w14:paraId="23C4CF51">
                  <w:pPr>
                    <w:pStyle w:val="13"/>
                    <w:rPr>
                      <w:color w:val="auto"/>
                      <w:highlight w:val="none"/>
                    </w:rPr>
                  </w:pPr>
                  <w:r>
                    <w:rPr>
                      <w:rFonts w:hint="eastAsia"/>
                      <w:color w:val="auto"/>
                      <w:highlight w:val="none"/>
                    </w:rPr>
                    <w:t>50</w:t>
                  </w:r>
                </w:p>
              </w:tc>
              <w:tc>
                <w:tcPr>
                  <w:tcW w:w="1439" w:type="pct"/>
                  <w:vMerge w:val="continue"/>
                  <w:vAlign w:val="center"/>
                </w:tcPr>
                <w:p w14:paraId="78AD96ED">
                  <w:pPr>
                    <w:pStyle w:val="13"/>
                    <w:rPr>
                      <w:color w:val="auto"/>
                      <w:highlight w:val="none"/>
                    </w:rPr>
                  </w:pPr>
                </w:p>
              </w:tc>
              <w:tc>
                <w:tcPr>
                  <w:tcW w:w="1256" w:type="pct"/>
                  <w:vMerge w:val="continue"/>
                  <w:vAlign w:val="center"/>
                </w:tcPr>
                <w:p w14:paraId="1D7E50F1">
                  <w:pPr>
                    <w:pStyle w:val="13"/>
                    <w:rPr>
                      <w:color w:val="auto"/>
                      <w:highlight w:val="none"/>
                    </w:rPr>
                  </w:pPr>
                </w:p>
              </w:tc>
            </w:tr>
            <w:tr w14:paraId="1E8B1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47" w:type="pct"/>
                  <w:vAlign w:val="center"/>
                </w:tcPr>
                <w:p w14:paraId="6C673366">
                  <w:pPr>
                    <w:pStyle w:val="13"/>
                    <w:rPr>
                      <w:color w:val="auto"/>
                      <w:highlight w:val="none"/>
                    </w:rPr>
                  </w:pPr>
                  <w:r>
                    <w:rPr>
                      <w:rFonts w:hint="eastAsia"/>
                      <w:color w:val="auto"/>
                      <w:highlight w:val="none"/>
                    </w:rPr>
                    <w:t>乳清粉</w:t>
                  </w:r>
                </w:p>
              </w:tc>
              <w:tc>
                <w:tcPr>
                  <w:tcW w:w="1056" w:type="pct"/>
                  <w:vAlign w:val="center"/>
                </w:tcPr>
                <w:p w14:paraId="214A69B0">
                  <w:pPr>
                    <w:pStyle w:val="13"/>
                    <w:rPr>
                      <w:color w:val="auto"/>
                      <w:highlight w:val="none"/>
                    </w:rPr>
                  </w:pPr>
                  <w:r>
                    <w:rPr>
                      <w:rFonts w:hint="eastAsia"/>
                      <w:color w:val="auto"/>
                      <w:highlight w:val="none"/>
                    </w:rPr>
                    <w:t>250</w:t>
                  </w:r>
                </w:p>
              </w:tc>
              <w:tc>
                <w:tcPr>
                  <w:tcW w:w="1439" w:type="pct"/>
                  <w:vMerge w:val="continue"/>
                  <w:vAlign w:val="center"/>
                </w:tcPr>
                <w:p w14:paraId="2819501F">
                  <w:pPr>
                    <w:pStyle w:val="13"/>
                    <w:rPr>
                      <w:color w:val="auto"/>
                      <w:highlight w:val="none"/>
                    </w:rPr>
                  </w:pPr>
                </w:p>
              </w:tc>
              <w:tc>
                <w:tcPr>
                  <w:tcW w:w="1256" w:type="pct"/>
                  <w:vMerge w:val="continue"/>
                  <w:vAlign w:val="center"/>
                </w:tcPr>
                <w:p w14:paraId="2BBFCCD3">
                  <w:pPr>
                    <w:pStyle w:val="13"/>
                    <w:rPr>
                      <w:color w:val="auto"/>
                      <w:highlight w:val="none"/>
                    </w:rPr>
                  </w:pPr>
                </w:p>
              </w:tc>
            </w:tr>
            <w:tr w14:paraId="2DA4B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47" w:type="pct"/>
                  <w:vAlign w:val="center"/>
                </w:tcPr>
                <w:p w14:paraId="211A1144">
                  <w:pPr>
                    <w:pStyle w:val="13"/>
                    <w:rPr>
                      <w:color w:val="auto"/>
                      <w:highlight w:val="none"/>
                    </w:rPr>
                  </w:pPr>
                  <w:r>
                    <w:rPr>
                      <w:rFonts w:hint="eastAsia"/>
                      <w:color w:val="auto"/>
                      <w:highlight w:val="none"/>
                    </w:rPr>
                    <w:t>多维粉</w:t>
                  </w:r>
                </w:p>
              </w:tc>
              <w:tc>
                <w:tcPr>
                  <w:tcW w:w="1056" w:type="pct"/>
                  <w:vAlign w:val="center"/>
                </w:tcPr>
                <w:p w14:paraId="33A5C07C">
                  <w:pPr>
                    <w:pStyle w:val="13"/>
                    <w:rPr>
                      <w:color w:val="auto"/>
                      <w:highlight w:val="none"/>
                    </w:rPr>
                  </w:pPr>
                  <w:r>
                    <w:rPr>
                      <w:rFonts w:hint="eastAsia"/>
                      <w:color w:val="auto"/>
                      <w:highlight w:val="none"/>
                    </w:rPr>
                    <w:t>150</w:t>
                  </w:r>
                </w:p>
              </w:tc>
              <w:tc>
                <w:tcPr>
                  <w:tcW w:w="1439" w:type="pct"/>
                  <w:vMerge w:val="continue"/>
                  <w:vAlign w:val="center"/>
                </w:tcPr>
                <w:p w14:paraId="666C66B1">
                  <w:pPr>
                    <w:pStyle w:val="13"/>
                    <w:rPr>
                      <w:color w:val="auto"/>
                      <w:highlight w:val="none"/>
                    </w:rPr>
                  </w:pPr>
                </w:p>
              </w:tc>
              <w:tc>
                <w:tcPr>
                  <w:tcW w:w="1256" w:type="pct"/>
                  <w:vMerge w:val="continue"/>
                  <w:vAlign w:val="center"/>
                </w:tcPr>
                <w:p w14:paraId="5E6D4DEA">
                  <w:pPr>
                    <w:pStyle w:val="13"/>
                    <w:rPr>
                      <w:color w:val="auto"/>
                      <w:highlight w:val="none"/>
                    </w:rPr>
                  </w:pPr>
                </w:p>
              </w:tc>
            </w:tr>
            <w:tr w14:paraId="1C9A8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47" w:type="pct"/>
                  <w:vAlign w:val="center"/>
                </w:tcPr>
                <w:p w14:paraId="0FFC0604">
                  <w:pPr>
                    <w:pStyle w:val="13"/>
                    <w:rPr>
                      <w:color w:val="auto"/>
                      <w:highlight w:val="none"/>
                    </w:rPr>
                  </w:pPr>
                  <w:r>
                    <w:rPr>
                      <w:rFonts w:hint="eastAsia"/>
                      <w:color w:val="auto"/>
                      <w:highlight w:val="none"/>
                    </w:rPr>
                    <w:t>豆油</w:t>
                  </w:r>
                </w:p>
              </w:tc>
              <w:tc>
                <w:tcPr>
                  <w:tcW w:w="1056" w:type="pct"/>
                  <w:vAlign w:val="center"/>
                </w:tcPr>
                <w:p w14:paraId="30966101">
                  <w:pPr>
                    <w:pStyle w:val="13"/>
                    <w:rPr>
                      <w:color w:val="auto"/>
                      <w:highlight w:val="none"/>
                    </w:rPr>
                  </w:pPr>
                  <w:r>
                    <w:rPr>
                      <w:rFonts w:hint="eastAsia"/>
                      <w:color w:val="auto"/>
                      <w:highlight w:val="none"/>
                    </w:rPr>
                    <w:t>100</w:t>
                  </w:r>
                </w:p>
              </w:tc>
              <w:tc>
                <w:tcPr>
                  <w:tcW w:w="1439" w:type="pct"/>
                  <w:vMerge w:val="continue"/>
                  <w:vAlign w:val="center"/>
                </w:tcPr>
                <w:p w14:paraId="3D3A0363">
                  <w:pPr>
                    <w:pStyle w:val="13"/>
                    <w:rPr>
                      <w:color w:val="auto"/>
                      <w:highlight w:val="none"/>
                    </w:rPr>
                  </w:pPr>
                </w:p>
              </w:tc>
              <w:tc>
                <w:tcPr>
                  <w:tcW w:w="1256" w:type="pct"/>
                  <w:vMerge w:val="continue"/>
                  <w:vAlign w:val="center"/>
                </w:tcPr>
                <w:p w14:paraId="5EEC02E8">
                  <w:pPr>
                    <w:pStyle w:val="13"/>
                    <w:rPr>
                      <w:color w:val="auto"/>
                      <w:highlight w:val="none"/>
                    </w:rPr>
                  </w:pPr>
                </w:p>
              </w:tc>
            </w:tr>
            <w:tr w14:paraId="6E79C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47" w:type="pct"/>
                  <w:vAlign w:val="center"/>
                </w:tcPr>
                <w:p w14:paraId="0CFAECBD">
                  <w:pPr>
                    <w:pStyle w:val="13"/>
                    <w:rPr>
                      <w:color w:val="auto"/>
                      <w:highlight w:val="none"/>
                    </w:rPr>
                  </w:pPr>
                  <w:r>
                    <w:rPr>
                      <w:rFonts w:hint="eastAsia"/>
                      <w:color w:val="auto"/>
                      <w:highlight w:val="none"/>
                    </w:rPr>
                    <w:t>酸化剂</w:t>
                  </w:r>
                </w:p>
              </w:tc>
              <w:tc>
                <w:tcPr>
                  <w:tcW w:w="1056" w:type="pct"/>
                  <w:vAlign w:val="center"/>
                </w:tcPr>
                <w:p w14:paraId="567FD5A3">
                  <w:pPr>
                    <w:pStyle w:val="13"/>
                    <w:rPr>
                      <w:color w:val="auto"/>
                      <w:highlight w:val="none"/>
                    </w:rPr>
                  </w:pPr>
                  <w:r>
                    <w:rPr>
                      <w:rFonts w:hint="eastAsia"/>
                      <w:color w:val="auto"/>
                      <w:highlight w:val="none"/>
                    </w:rPr>
                    <w:t>50</w:t>
                  </w:r>
                </w:p>
              </w:tc>
              <w:tc>
                <w:tcPr>
                  <w:tcW w:w="1439" w:type="pct"/>
                  <w:vMerge w:val="continue"/>
                  <w:vAlign w:val="center"/>
                </w:tcPr>
                <w:p w14:paraId="68D09196">
                  <w:pPr>
                    <w:pStyle w:val="13"/>
                    <w:rPr>
                      <w:color w:val="auto"/>
                      <w:highlight w:val="none"/>
                    </w:rPr>
                  </w:pPr>
                </w:p>
              </w:tc>
              <w:tc>
                <w:tcPr>
                  <w:tcW w:w="1256" w:type="pct"/>
                  <w:vMerge w:val="continue"/>
                  <w:vAlign w:val="center"/>
                </w:tcPr>
                <w:p w14:paraId="2373DB5B">
                  <w:pPr>
                    <w:pStyle w:val="13"/>
                    <w:rPr>
                      <w:color w:val="auto"/>
                      <w:highlight w:val="none"/>
                    </w:rPr>
                  </w:pPr>
                </w:p>
              </w:tc>
            </w:tr>
            <w:tr w14:paraId="4F583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47" w:type="pct"/>
                  <w:vAlign w:val="center"/>
                </w:tcPr>
                <w:p w14:paraId="72C6DFAB">
                  <w:pPr>
                    <w:pStyle w:val="13"/>
                    <w:rPr>
                      <w:color w:val="auto"/>
                      <w:highlight w:val="none"/>
                    </w:rPr>
                  </w:pPr>
                  <w:r>
                    <w:rPr>
                      <w:rFonts w:hint="eastAsia"/>
                      <w:color w:val="auto"/>
                      <w:highlight w:val="none"/>
                    </w:rPr>
                    <w:t>蒸汽</w:t>
                  </w:r>
                </w:p>
              </w:tc>
              <w:tc>
                <w:tcPr>
                  <w:tcW w:w="1056" w:type="pct"/>
                  <w:vAlign w:val="center"/>
                </w:tcPr>
                <w:p w14:paraId="6304BB9B">
                  <w:pPr>
                    <w:pStyle w:val="13"/>
                    <w:rPr>
                      <w:rFonts w:hint="default" w:eastAsia="宋体"/>
                      <w:color w:val="auto"/>
                      <w:highlight w:val="none"/>
                      <w:lang w:val="en-US" w:eastAsia="zh-CN"/>
                    </w:rPr>
                  </w:pPr>
                  <w:r>
                    <w:rPr>
                      <w:rFonts w:hint="eastAsia"/>
                      <w:color w:val="auto"/>
                      <w:highlight w:val="none"/>
                      <w:lang w:val="en-US" w:eastAsia="zh-CN"/>
                    </w:rPr>
                    <w:t>332.5</w:t>
                  </w:r>
                </w:p>
              </w:tc>
              <w:tc>
                <w:tcPr>
                  <w:tcW w:w="1439" w:type="pct"/>
                  <w:vAlign w:val="center"/>
                </w:tcPr>
                <w:p w14:paraId="3144B43F">
                  <w:pPr>
                    <w:pStyle w:val="13"/>
                    <w:rPr>
                      <w:color w:val="auto"/>
                      <w:highlight w:val="none"/>
                    </w:rPr>
                  </w:pPr>
                  <w:r>
                    <w:rPr>
                      <w:rFonts w:hint="eastAsia"/>
                      <w:color w:val="auto"/>
                      <w:highlight w:val="none"/>
                    </w:rPr>
                    <w:t>蒸汽损耗</w:t>
                  </w:r>
                </w:p>
              </w:tc>
              <w:tc>
                <w:tcPr>
                  <w:tcW w:w="1256" w:type="pct"/>
                  <w:vAlign w:val="center"/>
                </w:tcPr>
                <w:p w14:paraId="6FEE351A">
                  <w:pPr>
                    <w:pStyle w:val="13"/>
                    <w:rPr>
                      <w:rFonts w:hint="default" w:eastAsia="宋体"/>
                      <w:color w:val="auto"/>
                      <w:highlight w:val="none"/>
                      <w:lang w:val="en-US" w:eastAsia="zh-CN"/>
                    </w:rPr>
                  </w:pPr>
                  <w:r>
                    <w:rPr>
                      <w:rFonts w:hint="eastAsia"/>
                      <w:color w:val="auto"/>
                      <w:highlight w:val="none"/>
                      <w:lang w:val="en-US" w:eastAsia="zh-CN"/>
                    </w:rPr>
                    <w:t>82.5</w:t>
                  </w:r>
                </w:p>
              </w:tc>
            </w:tr>
            <w:tr w14:paraId="7FFBB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47" w:type="pct"/>
                  <w:vAlign w:val="center"/>
                </w:tcPr>
                <w:p w14:paraId="4A2E8C9F">
                  <w:pPr>
                    <w:pStyle w:val="13"/>
                    <w:rPr>
                      <w:b/>
                      <w:bCs/>
                      <w:color w:val="auto"/>
                      <w:highlight w:val="none"/>
                    </w:rPr>
                  </w:pPr>
                  <w:r>
                    <w:rPr>
                      <w:rFonts w:hint="eastAsia"/>
                      <w:b/>
                      <w:bCs/>
                      <w:color w:val="auto"/>
                      <w:highlight w:val="none"/>
                    </w:rPr>
                    <w:t>合计</w:t>
                  </w:r>
                </w:p>
              </w:tc>
              <w:tc>
                <w:tcPr>
                  <w:tcW w:w="1056" w:type="pct"/>
                  <w:vAlign w:val="center"/>
                </w:tcPr>
                <w:p w14:paraId="61AC7C41">
                  <w:pPr>
                    <w:pStyle w:val="13"/>
                    <w:rPr>
                      <w:rFonts w:hint="eastAsia" w:eastAsia="宋体"/>
                      <w:b/>
                      <w:bCs/>
                      <w:color w:val="auto"/>
                      <w:highlight w:val="none"/>
                      <w:lang w:eastAsia="zh-CN"/>
                    </w:rPr>
                  </w:pPr>
                  <w:r>
                    <w:rPr>
                      <w:rFonts w:hint="eastAsia"/>
                      <w:b/>
                      <w:bCs/>
                      <w:color w:val="auto"/>
                      <w:highlight w:val="none"/>
                      <w:lang w:eastAsia="zh-CN"/>
                    </w:rPr>
                    <w:t>15103.9156</w:t>
                  </w:r>
                </w:p>
              </w:tc>
              <w:tc>
                <w:tcPr>
                  <w:tcW w:w="1439" w:type="pct"/>
                  <w:vAlign w:val="center"/>
                </w:tcPr>
                <w:p w14:paraId="60647489">
                  <w:pPr>
                    <w:pStyle w:val="13"/>
                    <w:rPr>
                      <w:b/>
                      <w:bCs/>
                      <w:color w:val="auto"/>
                      <w:highlight w:val="none"/>
                    </w:rPr>
                  </w:pPr>
                  <w:r>
                    <w:rPr>
                      <w:rFonts w:hint="eastAsia"/>
                      <w:b/>
                      <w:bCs/>
                      <w:color w:val="auto"/>
                      <w:highlight w:val="none"/>
                    </w:rPr>
                    <w:t>合计</w:t>
                  </w:r>
                </w:p>
              </w:tc>
              <w:tc>
                <w:tcPr>
                  <w:tcW w:w="1256" w:type="pct"/>
                  <w:vAlign w:val="center"/>
                </w:tcPr>
                <w:p w14:paraId="7B53E07B">
                  <w:pPr>
                    <w:pStyle w:val="13"/>
                    <w:rPr>
                      <w:rFonts w:hint="eastAsia" w:eastAsia="宋体"/>
                      <w:b/>
                      <w:bCs/>
                      <w:color w:val="auto"/>
                      <w:highlight w:val="none"/>
                      <w:lang w:eastAsia="zh-CN"/>
                    </w:rPr>
                  </w:pPr>
                  <w:r>
                    <w:rPr>
                      <w:rFonts w:hint="eastAsia"/>
                      <w:b/>
                      <w:bCs/>
                      <w:color w:val="auto"/>
                      <w:highlight w:val="none"/>
                      <w:lang w:eastAsia="zh-CN"/>
                    </w:rPr>
                    <w:t>15103.9156</w:t>
                  </w:r>
                </w:p>
              </w:tc>
            </w:tr>
          </w:tbl>
          <w:p w14:paraId="5E8C6E1B">
            <w:pPr>
              <w:pStyle w:val="2"/>
              <w:ind w:firstLine="482"/>
              <w:rPr>
                <w:rFonts w:cs="Times New Roman"/>
                <w:color w:val="auto"/>
                <w:highlight w:val="none"/>
              </w:rPr>
            </w:pPr>
            <w:r>
              <w:rPr>
                <w:rFonts w:cs="Times New Roman"/>
                <w:color w:val="auto"/>
                <w:highlight w:val="none"/>
              </w:rPr>
              <w:t>5、主要设备</w:t>
            </w:r>
          </w:p>
          <w:p w14:paraId="6C0D39C8">
            <w:pPr>
              <w:ind w:firstLine="480"/>
              <w:rPr>
                <w:rFonts w:cs="Times New Roman"/>
                <w:color w:val="auto"/>
                <w:highlight w:val="none"/>
              </w:rPr>
            </w:pPr>
            <w:r>
              <w:rPr>
                <w:rFonts w:hint="eastAsia" w:cs="Times New Roman"/>
                <w:color w:val="auto"/>
                <w:highlight w:val="none"/>
              </w:rPr>
              <w:t>项目生产设备主要位于加工车间内，加工车间</w:t>
            </w:r>
            <w:r>
              <w:rPr>
                <w:rFonts w:cs="Times New Roman"/>
                <w:color w:val="auto"/>
                <w:highlight w:val="none"/>
              </w:rPr>
              <w:t>位于厂区内东侧，9m高钢结构厂房1F，占地面积1800m²。一期于加工车间内西</w:t>
            </w:r>
            <w:r>
              <w:rPr>
                <w:rFonts w:hint="eastAsia" w:cs="Times New Roman"/>
                <w:color w:val="auto"/>
                <w:highlight w:val="none"/>
              </w:rPr>
              <w:t>北</w:t>
            </w:r>
            <w:r>
              <w:rPr>
                <w:rFonts w:cs="Times New Roman"/>
                <w:color w:val="auto"/>
                <w:highlight w:val="none"/>
              </w:rPr>
              <w:t>侧建设1条秸秆饲料生产线，包括清理筛、磁选机、破碎机、秸秆打包机、除尘器等。二期于加工车间东</w:t>
            </w:r>
            <w:r>
              <w:rPr>
                <w:rFonts w:hint="eastAsia" w:cs="Times New Roman"/>
                <w:color w:val="auto"/>
                <w:highlight w:val="none"/>
              </w:rPr>
              <w:t>南</w:t>
            </w:r>
            <w:r>
              <w:rPr>
                <w:rFonts w:cs="Times New Roman"/>
                <w:color w:val="auto"/>
                <w:highlight w:val="none"/>
              </w:rPr>
              <w:t>侧建设2条精制饲料颗粒生产线，包括中间仓、配料机、混合机、</w:t>
            </w:r>
            <w:r>
              <w:rPr>
                <w:rFonts w:hint="eastAsia" w:cs="Times New Roman"/>
                <w:color w:val="auto"/>
                <w:highlight w:val="none"/>
              </w:rPr>
              <w:t>调质机、</w:t>
            </w:r>
            <w:r>
              <w:rPr>
                <w:rFonts w:cs="Times New Roman"/>
                <w:color w:val="auto"/>
                <w:highlight w:val="none"/>
              </w:rPr>
              <w:t>制粒机、冷却分级筛、颗粒打包机</w:t>
            </w:r>
            <w:r>
              <w:rPr>
                <w:rFonts w:hint="eastAsia" w:cs="Times New Roman"/>
                <w:color w:val="auto"/>
                <w:highlight w:val="none"/>
              </w:rPr>
              <w:t>、</w:t>
            </w:r>
            <w:r>
              <w:rPr>
                <w:rFonts w:cs="Times New Roman"/>
                <w:color w:val="auto"/>
                <w:highlight w:val="none"/>
              </w:rPr>
              <w:t>除尘器、</w:t>
            </w:r>
            <w:r>
              <w:rPr>
                <w:rFonts w:hint="eastAsia" w:cs="Times New Roman"/>
                <w:color w:val="auto"/>
                <w:highlight w:val="none"/>
              </w:rPr>
              <w:t>蒸汽锅炉</w:t>
            </w:r>
            <w:r>
              <w:rPr>
                <w:rFonts w:cs="Times New Roman"/>
                <w:color w:val="auto"/>
                <w:highlight w:val="none"/>
              </w:rPr>
              <w:t>等。项目主要设备见下表</w:t>
            </w:r>
            <w:r>
              <w:rPr>
                <w:rFonts w:hint="eastAsia" w:cs="Times New Roman"/>
                <w:color w:val="auto"/>
                <w:highlight w:val="none"/>
              </w:rPr>
              <w:t>。</w:t>
            </w:r>
          </w:p>
          <w:p w14:paraId="3ED27EA6">
            <w:pPr>
              <w:pStyle w:val="14"/>
              <w:spacing w:before="156"/>
              <w:rPr>
                <w:rFonts w:cs="Times New Roman"/>
                <w:color w:val="auto"/>
                <w:highlight w:val="none"/>
              </w:rPr>
            </w:pPr>
            <w:r>
              <w:rPr>
                <w:rFonts w:cs="Times New Roman"/>
                <w:color w:val="auto"/>
                <w:highlight w:val="none"/>
              </w:rPr>
              <w:t>表2-</w:t>
            </w:r>
            <w:r>
              <w:rPr>
                <w:rFonts w:hint="eastAsia" w:cs="Times New Roman"/>
                <w:color w:val="auto"/>
                <w:highlight w:val="none"/>
                <w:lang w:val="en-US" w:eastAsia="zh-CN"/>
              </w:rPr>
              <w:t>8</w:t>
            </w:r>
            <w:r>
              <w:rPr>
                <w:rFonts w:cs="Times New Roman"/>
                <w:color w:val="auto"/>
                <w:highlight w:val="none"/>
              </w:rPr>
              <w:t xml:space="preserve">  项目主要设备一览表</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547"/>
              <w:gridCol w:w="1525"/>
              <w:gridCol w:w="1684"/>
              <w:gridCol w:w="795"/>
              <w:gridCol w:w="690"/>
              <w:gridCol w:w="2582"/>
            </w:tblGrid>
            <w:tr w14:paraId="50DA9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92" w:type="pct"/>
                  <w:gridSpan w:val="2"/>
                  <w:vAlign w:val="center"/>
                </w:tcPr>
                <w:p w14:paraId="2C517E0C">
                  <w:pPr>
                    <w:pStyle w:val="13"/>
                    <w:rPr>
                      <w:rFonts w:cs="Times New Roman"/>
                      <w:b/>
                      <w:bCs/>
                      <w:color w:val="auto"/>
                      <w:highlight w:val="none"/>
                    </w:rPr>
                  </w:pPr>
                  <w:r>
                    <w:rPr>
                      <w:rFonts w:cs="Times New Roman"/>
                      <w:b/>
                      <w:bCs/>
                      <w:color w:val="auto"/>
                      <w:highlight w:val="none"/>
                    </w:rPr>
                    <w:t>序号</w:t>
                  </w:r>
                </w:p>
              </w:tc>
              <w:tc>
                <w:tcPr>
                  <w:tcW w:w="860" w:type="pct"/>
                  <w:vAlign w:val="center"/>
                </w:tcPr>
                <w:p w14:paraId="4D5D60BC">
                  <w:pPr>
                    <w:pStyle w:val="13"/>
                    <w:rPr>
                      <w:rFonts w:cs="Times New Roman"/>
                      <w:b/>
                      <w:bCs/>
                      <w:color w:val="auto"/>
                      <w:highlight w:val="none"/>
                    </w:rPr>
                  </w:pPr>
                  <w:r>
                    <w:rPr>
                      <w:rFonts w:cs="Times New Roman"/>
                      <w:b/>
                      <w:bCs/>
                      <w:color w:val="auto"/>
                      <w:highlight w:val="none"/>
                    </w:rPr>
                    <w:t>设备名称</w:t>
                  </w:r>
                </w:p>
              </w:tc>
              <w:tc>
                <w:tcPr>
                  <w:tcW w:w="950" w:type="pct"/>
                  <w:vAlign w:val="center"/>
                </w:tcPr>
                <w:p w14:paraId="1254E5FD">
                  <w:pPr>
                    <w:pStyle w:val="13"/>
                    <w:rPr>
                      <w:rFonts w:cs="Times New Roman"/>
                      <w:b/>
                      <w:bCs/>
                      <w:color w:val="auto"/>
                      <w:highlight w:val="none"/>
                    </w:rPr>
                  </w:pPr>
                  <w:r>
                    <w:rPr>
                      <w:rFonts w:cs="Times New Roman"/>
                      <w:b/>
                      <w:bCs/>
                      <w:color w:val="auto"/>
                      <w:highlight w:val="none"/>
                    </w:rPr>
                    <w:t>规格/型号</w:t>
                  </w:r>
                </w:p>
              </w:tc>
              <w:tc>
                <w:tcPr>
                  <w:tcW w:w="448" w:type="pct"/>
                  <w:vAlign w:val="center"/>
                </w:tcPr>
                <w:p w14:paraId="5E07DEA5">
                  <w:pPr>
                    <w:pStyle w:val="13"/>
                    <w:rPr>
                      <w:rFonts w:cs="Times New Roman"/>
                      <w:b/>
                      <w:bCs/>
                      <w:color w:val="auto"/>
                      <w:highlight w:val="none"/>
                    </w:rPr>
                  </w:pPr>
                  <w:r>
                    <w:rPr>
                      <w:rFonts w:cs="Times New Roman"/>
                      <w:b/>
                      <w:bCs/>
                      <w:color w:val="auto"/>
                      <w:highlight w:val="none"/>
                    </w:rPr>
                    <w:t>单位</w:t>
                  </w:r>
                </w:p>
              </w:tc>
              <w:tc>
                <w:tcPr>
                  <w:tcW w:w="389" w:type="pct"/>
                  <w:vAlign w:val="center"/>
                </w:tcPr>
                <w:p w14:paraId="6EF54192">
                  <w:pPr>
                    <w:pStyle w:val="13"/>
                    <w:rPr>
                      <w:rFonts w:cs="Times New Roman"/>
                      <w:b/>
                      <w:bCs/>
                      <w:color w:val="auto"/>
                      <w:highlight w:val="none"/>
                    </w:rPr>
                  </w:pPr>
                  <w:r>
                    <w:rPr>
                      <w:rFonts w:cs="Times New Roman"/>
                      <w:b/>
                      <w:bCs/>
                      <w:color w:val="auto"/>
                      <w:highlight w:val="none"/>
                    </w:rPr>
                    <w:t>数量</w:t>
                  </w:r>
                </w:p>
              </w:tc>
              <w:tc>
                <w:tcPr>
                  <w:tcW w:w="1457" w:type="pct"/>
                  <w:vAlign w:val="center"/>
                </w:tcPr>
                <w:p w14:paraId="51E171E1">
                  <w:pPr>
                    <w:pStyle w:val="13"/>
                    <w:rPr>
                      <w:rFonts w:cs="Times New Roman"/>
                      <w:b/>
                      <w:bCs/>
                      <w:color w:val="auto"/>
                      <w:highlight w:val="none"/>
                    </w:rPr>
                  </w:pPr>
                  <w:r>
                    <w:rPr>
                      <w:rFonts w:cs="Times New Roman"/>
                      <w:b/>
                      <w:bCs/>
                      <w:color w:val="auto"/>
                      <w:highlight w:val="none"/>
                    </w:rPr>
                    <w:t>备注</w:t>
                  </w:r>
                </w:p>
              </w:tc>
            </w:tr>
            <w:tr w14:paraId="51CD0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3" w:type="pct"/>
                  <w:vMerge w:val="restart"/>
                  <w:vAlign w:val="center"/>
                </w:tcPr>
                <w:p w14:paraId="6CF9F155">
                  <w:pPr>
                    <w:pStyle w:val="13"/>
                    <w:rPr>
                      <w:rFonts w:cs="Times New Roman"/>
                      <w:color w:val="auto"/>
                      <w:highlight w:val="none"/>
                    </w:rPr>
                  </w:pPr>
                  <w:r>
                    <w:rPr>
                      <w:rFonts w:cs="Times New Roman"/>
                      <w:color w:val="auto"/>
                      <w:highlight w:val="none"/>
                    </w:rPr>
                    <w:t>一期生产设备</w:t>
                  </w:r>
                </w:p>
              </w:tc>
              <w:tc>
                <w:tcPr>
                  <w:tcW w:w="308" w:type="pct"/>
                  <w:vAlign w:val="center"/>
                </w:tcPr>
                <w:p w14:paraId="4BAC4523">
                  <w:pPr>
                    <w:pStyle w:val="13"/>
                    <w:rPr>
                      <w:rFonts w:cs="Times New Roman"/>
                      <w:color w:val="auto"/>
                      <w:highlight w:val="none"/>
                    </w:rPr>
                  </w:pPr>
                  <w:r>
                    <w:rPr>
                      <w:rFonts w:cs="Times New Roman"/>
                      <w:color w:val="auto"/>
                      <w:highlight w:val="none"/>
                    </w:rPr>
                    <w:t>1</w:t>
                  </w:r>
                </w:p>
              </w:tc>
              <w:tc>
                <w:tcPr>
                  <w:tcW w:w="860" w:type="pct"/>
                  <w:vAlign w:val="center"/>
                </w:tcPr>
                <w:p w14:paraId="2AE521EA">
                  <w:pPr>
                    <w:pStyle w:val="13"/>
                    <w:rPr>
                      <w:rFonts w:cs="Times New Roman"/>
                      <w:color w:val="auto"/>
                      <w:highlight w:val="none"/>
                    </w:rPr>
                  </w:pPr>
                  <w:r>
                    <w:rPr>
                      <w:rFonts w:cs="Times New Roman"/>
                      <w:color w:val="auto"/>
                      <w:highlight w:val="none"/>
                    </w:rPr>
                    <w:t>清理筛</w:t>
                  </w:r>
                </w:p>
              </w:tc>
              <w:tc>
                <w:tcPr>
                  <w:tcW w:w="950" w:type="pct"/>
                  <w:vAlign w:val="center"/>
                </w:tcPr>
                <w:p w14:paraId="3352CB73">
                  <w:pPr>
                    <w:pStyle w:val="13"/>
                    <w:rPr>
                      <w:rFonts w:cs="Times New Roman"/>
                      <w:color w:val="auto"/>
                      <w:highlight w:val="none"/>
                    </w:rPr>
                  </w:pPr>
                  <w:r>
                    <w:rPr>
                      <w:rFonts w:cs="Times New Roman"/>
                      <w:color w:val="auto"/>
                      <w:highlight w:val="none"/>
                    </w:rPr>
                    <w:t>YK1236</w:t>
                  </w:r>
                </w:p>
              </w:tc>
              <w:tc>
                <w:tcPr>
                  <w:tcW w:w="448" w:type="pct"/>
                  <w:vAlign w:val="center"/>
                </w:tcPr>
                <w:p w14:paraId="0A53D286">
                  <w:pPr>
                    <w:pStyle w:val="13"/>
                    <w:rPr>
                      <w:rFonts w:cs="Times New Roman"/>
                      <w:color w:val="auto"/>
                      <w:highlight w:val="none"/>
                    </w:rPr>
                  </w:pPr>
                  <w:r>
                    <w:rPr>
                      <w:rFonts w:cs="Times New Roman"/>
                      <w:color w:val="auto"/>
                      <w:highlight w:val="none"/>
                    </w:rPr>
                    <w:t>台</w:t>
                  </w:r>
                </w:p>
              </w:tc>
              <w:tc>
                <w:tcPr>
                  <w:tcW w:w="389" w:type="pct"/>
                  <w:vAlign w:val="center"/>
                </w:tcPr>
                <w:p w14:paraId="4CC006B1">
                  <w:pPr>
                    <w:pStyle w:val="13"/>
                    <w:rPr>
                      <w:rFonts w:cs="Times New Roman"/>
                      <w:color w:val="auto"/>
                      <w:highlight w:val="none"/>
                    </w:rPr>
                  </w:pPr>
                  <w:r>
                    <w:rPr>
                      <w:rFonts w:cs="Times New Roman"/>
                      <w:color w:val="auto"/>
                      <w:highlight w:val="none"/>
                    </w:rPr>
                    <w:t>1</w:t>
                  </w:r>
                </w:p>
              </w:tc>
              <w:tc>
                <w:tcPr>
                  <w:tcW w:w="1457" w:type="pct"/>
                  <w:vAlign w:val="center"/>
                </w:tcPr>
                <w:p w14:paraId="7DCD8DFD">
                  <w:pPr>
                    <w:pStyle w:val="13"/>
                    <w:rPr>
                      <w:rFonts w:cs="Times New Roman"/>
                      <w:color w:val="auto"/>
                      <w:highlight w:val="none"/>
                    </w:rPr>
                  </w:pPr>
                  <w:r>
                    <w:rPr>
                      <w:rFonts w:hint="eastAsia" w:cs="Times New Roman"/>
                      <w:color w:val="auto"/>
                      <w:highlight w:val="none"/>
                    </w:rPr>
                    <w:t>/</w:t>
                  </w:r>
                </w:p>
              </w:tc>
            </w:tr>
            <w:tr w14:paraId="08FCE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3" w:type="pct"/>
                  <w:vMerge w:val="continue"/>
                  <w:vAlign w:val="center"/>
                </w:tcPr>
                <w:p w14:paraId="4278E75C">
                  <w:pPr>
                    <w:pStyle w:val="13"/>
                    <w:rPr>
                      <w:rFonts w:cs="Times New Roman"/>
                      <w:color w:val="auto"/>
                      <w:highlight w:val="none"/>
                    </w:rPr>
                  </w:pPr>
                </w:p>
              </w:tc>
              <w:tc>
                <w:tcPr>
                  <w:tcW w:w="308" w:type="pct"/>
                  <w:vAlign w:val="center"/>
                </w:tcPr>
                <w:p w14:paraId="335081E6">
                  <w:pPr>
                    <w:pStyle w:val="13"/>
                    <w:rPr>
                      <w:rFonts w:cs="Times New Roman"/>
                      <w:color w:val="auto"/>
                      <w:highlight w:val="none"/>
                    </w:rPr>
                  </w:pPr>
                  <w:r>
                    <w:rPr>
                      <w:rFonts w:cs="Times New Roman"/>
                      <w:color w:val="auto"/>
                      <w:highlight w:val="none"/>
                    </w:rPr>
                    <w:t>2</w:t>
                  </w:r>
                </w:p>
              </w:tc>
              <w:tc>
                <w:tcPr>
                  <w:tcW w:w="860" w:type="pct"/>
                  <w:vAlign w:val="center"/>
                </w:tcPr>
                <w:p w14:paraId="3294275A">
                  <w:pPr>
                    <w:pStyle w:val="13"/>
                    <w:rPr>
                      <w:rFonts w:cs="Times New Roman"/>
                      <w:color w:val="auto"/>
                      <w:highlight w:val="none"/>
                    </w:rPr>
                  </w:pPr>
                  <w:r>
                    <w:rPr>
                      <w:rFonts w:cs="Times New Roman"/>
                      <w:color w:val="auto"/>
                      <w:highlight w:val="none"/>
                    </w:rPr>
                    <w:t>磁选机</w:t>
                  </w:r>
                </w:p>
              </w:tc>
              <w:tc>
                <w:tcPr>
                  <w:tcW w:w="950" w:type="pct"/>
                  <w:vAlign w:val="center"/>
                </w:tcPr>
                <w:p w14:paraId="78B67684">
                  <w:pPr>
                    <w:pStyle w:val="13"/>
                    <w:rPr>
                      <w:rFonts w:cs="Times New Roman"/>
                      <w:color w:val="auto"/>
                      <w:highlight w:val="none"/>
                    </w:rPr>
                  </w:pPr>
                  <w:r>
                    <w:rPr>
                      <w:rFonts w:cs="Times New Roman"/>
                      <w:color w:val="auto"/>
                      <w:highlight w:val="none"/>
                    </w:rPr>
                    <w:t>TCXT20</w:t>
                  </w:r>
                </w:p>
              </w:tc>
              <w:tc>
                <w:tcPr>
                  <w:tcW w:w="448" w:type="pct"/>
                  <w:vAlign w:val="center"/>
                </w:tcPr>
                <w:p w14:paraId="0AEDA975">
                  <w:pPr>
                    <w:pStyle w:val="13"/>
                    <w:rPr>
                      <w:rFonts w:cs="Times New Roman"/>
                      <w:color w:val="auto"/>
                      <w:highlight w:val="none"/>
                    </w:rPr>
                  </w:pPr>
                  <w:r>
                    <w:rPr>
                      <w:rFonts w:cs="Times New Roman"/>
                      <w:color w:val="auto"/>
                      <w:highlight w:val="none"/>
                    </w:rPr>
                    <w:t>台</w:t>
                  </w:r>
                </w:p>
              </w:tc>
              <w:tc>
                <w:tcPr>
                  <w:tcW w:w="389" w:type="pct"/>
                  <w:vAlign w:val="center"/>
                </w:tcPr>
                <w:p w14:paraId="5A8A9896">
                  <w:pPr>
                    <w:pStyle w:val="13"/>
                    <w:rPr>
                      <w:rFonts w:cs="Times New Roman"/>
                      <w:color w:val="auto"/>
                      <w:highlight w:val="none"/>
                    </w:rPr>
                  </w:pPr>
                  <w:r>
                    <w:rPr>
                      <w:rFonts w:cs="Times New Roman"/>
                      <w:color w:val="auto"/>
                      <w:highlight w:val="none"/>
                    </w:rPr>
                    <w:t>1</w:t>
                  </w:r>
                </w:p>
              </w:tc>
              <w:tc>
                <w:tcPr>
                  <w:tcW w:w="1457" w:type="pct"/>
                  <w:vAlign w:val="center"/>
                </w:tcPr>
                <w:p w14:paraId="120C9D58">
                  <w:pPr>
                    <w:pStyle w:val="13"/>
                    <w:rPr>
                      <w:rFonts w:cs="Times New Roman"/>
                      <w:color w:val="auto"/>
                      <w:highlight w:val="none"/>
                    </w:rPr>
                  </w:pPr>
                  <w:r>
                    <w:rPr>
                      <w:rFonts w:hint="eastAsia" w:cs="Times New Roman"/>
                      <w:color w:val="auto"/>
                      <w:highlight w:val="none"/>
                    </w:rPr>
                    <w:t>/</w:t>
                  </w:r>
                </w:p>
              </w:tc>
            </w:tr>
            <w:tr w14:paraId="63715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3" w:type="pct"/>
                  <w:vMerge w:val="continue"/>
                  <w:vAlign w:val="center"/>
                </w:tcPr>
                <w:p w14:paraId="6A2461CA">
                  <w:pPr>
                    <w:pStyle w:val="13"/>
                    <w:rPr>
                      <w:rFonts w:cs="Times New Roman"/>
                      <w:color w:val="auto"/>
                      <w:highlight w:val="none"/>
                    </w:rPr>
                  </w:pPr>
                </w:p>
              </w:tc>
              <w:tc>
                <w:tcPr>
                  <w:tcW w:w="308" w:type="pct"/>
                  <w:vAlign w:val="center"/>
                </w:tcPr>
                <w:p w14:paraId="10C87F4B">
                  <w:pPr>
                    <w:pStyle w:val="13"/>
                    <w:rPr>
                      <w:rFonts w:cs="Times New Roman"/>
                      <w:color w:val="auto"/>
                      <w:highlight w:val="none"/>
                    </w:rPr>
                  </w:pPr>
                  <w:r>
                    <w:rPr>
                      <w:rFonts w:cs="Times New Roman"/>
                      <w:color w:val="auto"/>
                      <w:highlight w:val="none"/>
                    </w:rPr>
                    <w:t>3</w:t>
                  </w:r>
                </w:p>
              </w:tc>
              <w:tc>
                <w:tcPr>
                  <w:tcW w:w="860" w:type="pct"/>
                  <w:vAlign w:val="center"/>
                </w:tcPr>
                <w:p w14:paraId="76C80BDA">
                  <w:pPr>
                    <w:pStyle w:val="13"/>
                    <w:rPr>
                      <w:rFonts w:cs="Times New Roman"/>
                      <w:color w:val="auto"/>
                      <w:highlight w:val="none"/>
                    </w:rPr>
                  </w:pPr>
                  <w:r>
                    <w:rPr>
                      <w:rFonts w:cs="Times New Roman"/>
                      <w:color w:val="auto"/>
                      <w:highlight w:val="none"/>
                    </w:rPr>
                    <w:t>破碎机</w:t>
                  </w:r>
                </w:p>
              </w:tc>
              <w:tc>
                <w:tcPr>
                  <w:tcW w:w="950" w:type="pct"/>
                  <w:vAlign w:val="center"/>
                </w:tcPr>
                <w:p w14:paraId="737B9F75">
                  <w:pPr>
                    <w:pStyle w:val="13"/>
                    <w:rPr>
                      <w:rFonts w:cs="Times New Roman"/>
                      <w:color w:val="auto"/>
                      <w:highlight w:val="none"/>
                    </w:rPr>
                  </w:pPr>
                  <w:r>
                    <w:rPr>
                      <w:rFonts w:cs="Times New Roman"/>
                      <w:color w:val="auto"/>
                      <w:highlight w:val="none"/>
                    </w:rPr>
                    <w:t>PEX1575</w:t>
                  </w:r>
                </w:p>
              </w:tc>
              <w:tc>
                <w:tcPr>
                  <w:tcW w:w="448" w:type="pct"/>
                  <w:vAlign w:val="center"/>
                </w:tcPr>
                <w:p w14:paraId="68A12FAE">
                  <w:pPr>
                    <w:pStyle w:val="13"/>
                    <w:rPr>
                      <w:rFonts w:cs="Times New Roman"/>
                      <w:color w:val="auto"/>
                      <w:highlight w:val="none"/>
                    </w:rPr>
                  </w:pPr>
                  <w:r>
                    <w:rPr>
                      <w:rFonts w:cs="Times New Roman"/>
                      <w:color w:val="auto"/>
                      <w:highlight w:val="none"/>
                    </w:rPr>
                    <w:t>台</w:t>
                  </w:r>
                </w:p>
              </w:tc>
              <w:tc>
                <w:tcPr>
                  <w:tcW w:w="389" w:type="pct"/>
                  <w:vAlign w:val="center"/>
                </w:tcPr>
                <w:p w14:paraId="0AAF20DF">
                  <w:pPr>
                    <w:pStyle w:val="13"/>
                    <w:rPr>
                      <w:rFonts w:cs="Times New Roman"/>
                      <w:color w:val="auto"/>
                      <w:highlight w:val="none"/>
                    </w:rPr>
                  </w:pPr>
                  <w:r>
                    <w:rPr>
                      <w:rFonts w:cs="Times New Roman"/>
                      <w:color w:val="auto"/>
                      <w:highlight w:val="none"/>
                    </w:rPr>
                    <w:t>1</w:t>
                  </w:r>
                </w:p>
              </w:tc>
              <w:tc>
                <w:tcPr>
                  <w:tcW w:w="1457" w:type="pct"/>
                  <w:vAlign w:val="center"/>
                </w:tcPr>
                <w:p w14:paraId="7B8CCBBF">
                  <w:pPr>
                    <w:pStyle w:val="13"/>
                    <w:rPr>
                      <w:rFonts w:cs="Times New Roman"/>
                      <w:color w:val="auto"/>
                      <w:highlight w:val="none"/>
                    </w:rPr>
                  </w:pPr>
                  <w:r>
                    <w:rPr>
                      <w:rFonts w:hint="eastAsia" w:cs="Times New Roman"/>
                      <w:color w:val="auto"/>
                      <w:highlight w:val="none"/>
                    </w:rPr>
                    <w:t>/</w:t>
                  </w:r>
                </w:p>
              </w:tc>
            </w:tr>
            <w:tr w14:paraId="0B189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3" w:type="pct"/>
                  <w:vMerge w:val="continue"/>
                  <w:vAlign w:val="center"/>
                </w:tcPr>
                <w:p w14:paraId="0EEA9CBE">
                  <w:pPr>
                    <w:pStyle w:val="13"/>
                    <w:rPr>
                      <w:rFonts w:cs="Times New Roman"/>
                      <w:color w:val="auto"/>
                      <w:highlight w:val="none"/>
                    </w:rPr>
                  </w:pPr>
                </w:p>
              </w:tc>
              <w:tc>
                <w:tcPr>
                  <w:tcW w:w="308" w:type="pct"/>
                  <w:vAlign w:val="center"/>
                </w:tcPr>
                <w:p w14:paraId="598BEFCD">
                  <w:pPr>
                    <w:pStyle w:val="13"/>
                    <w:rPr>
                      <w:rFonts w:cs="Times New Roman"/>
                      <w:color w:val="auto"/>
                      <w:highlight w:val="none"/>
                    </w:rPr>
                  </w:pPr>
                  <w:r>
                    <w:rPr>
                      <w:rFonts w:cs="Times New Roman"/>
                      <w:color w:val="auto"/>
                      <w:highlight w:val="none"/>
                    </w:rPr>
                    <w:t>4</w:t>
                  </w:r>
                </w:p>
              </w:tc>
              <w:tc>
                <w:tcPr>
                  <w:tcW w:w="860" w:type="pct"/>
                  <w:vAlign w:val="center"/>
                </w:tcPr>
                <w:p w14:paraId="687B6FF3">
                  <w:pPr>
                    <w:pStyle w:val="13"/>
                    <w:rPr>
                      <w:rFonts w:cs="Times New Roman"/>
                      <w:color w:val="auto"/>
                      <w:highlight w:val="none"/>
                    </w:rPr>
                  </w:pPr>
                  <w:r>
                    <w:rPr>
                      <w:rFonts w:cs="Times New Roman"/>
                      <w:color w:val="auto"/>
                      <w:highlight w:val="none"/>
                    </w:rPr>
                    <w:t>秸秆打包机</w:t>
                  </w:r>
                </w:p>
              </w:tc>
              <w:tc>
                <w:tcPr>
                  <w:tcW w:w="950" w:type="pct"/>
                  <w:vAlign w:val="center"/>
                </w:tcPr>
                <w:p w14:paraId="6282AD5E">
                  <w:pPr>
                    <w:pStyle w:val="13"/>
                    <w:rPr>
                      <w:rFonts w:cs="Times New Roman"/>
                      <w:color w:val="auto"/>
                      <w:highlight w:val="none"/>
                    </w:rPr>
                  </w:pPr>
                  <w:r>
                    <w:rPr>
                      <w:rFonts w:cs="Times New Roman"/>
                      <w:color w:val="auto"/>
                      <w:highlight w:val="none"/>
                    </w:rPr>
                    <w:t>YDB-55</w:t>
                  </w:r>
                </w:p>
              </w:tc>
              <w:tc>
                <w:tcPr>
                  <w:tcW w:w="448" w:type="pct"/>
                  <w:vAlign w:val="center"/>
                </w:tcPr>
                <w:p w14:paraId="4A41E529">
                  <w:pPr>
                    <w:pStyle w:val="13"/>
                    <w:rPr>
                      <w:rFonts w:cs="Times New Roman"/>
                      <w:color w:val="auto"/>
                      <w:highlight w:val="none"/>
                    </w:rPr>
                  </w:pPr>
                  <w:r>
                    <w:rPr>
                      <w:rFonts w:cs="Times New Roman"/>
                      <w:color w:val="auto"/>
                      <w:highlight w:val="none"/>
                    </w:rPr>
                    <w:t>台</w:t>
                  </w:r>
                </w:p>
              </w:tc>
              <w:tc>
                <w:tcPr>
                  <w:tcW w:w="389" w:type="pct"/>
                  <w:vAlign w:val="center"/>
                </w:tcPr>
                <w:p w14:paraId="5D0132F4">
                  <w:pPr>
                    <w:pStyle w:val="13"/>
                    <w:rPr>
                      <w:rFonts w:cs="Times New Roman"/>
                      <w:color w:val="auto"/>
                      <w:highlight w:val="none"/>
                    </w:rPr>
                  </w:pPr>
                  <w:r>
                    <w:rPr>
                      <w:rFonts w:cs="Times New Roman"/>
                      <w:color w:val="auto"/>
                      <w:highlight w:val="none"/>
                    </w:rPr>
                    <w:t>2</w:t>
                  </w:r>
                </w:p>
              </w:tc>
              <w:tc>
                <w:tcPr>
                  <w:tcW w:w="1457" w:type="pct"/>
                  <w:vAlign w:val="center"/>
                </w:tcPr>
                <w:p w14:paraId="120CAB69">
                  <w:pPr>
                    <w:pStyle w:val="13"/>
                    <w:rPr>
                      <w:rFonts w:cs="Times New Roman"/>
                      <w:color w:val="auto"/>
                      <w:highlight w:val="none"/>
                    </w:rPr>
                  </w:pPr>
                  <w:r>
                    <w:rPr>
                      <w:rFonts w:hint="eastAsia" w:cs="Times New Roman"/>
                      <w:color w:val="auto"/>
                      <w:highlight w:val="none"/>
                    </w:rPr>
                    <w:t>/</w:t>
                  </w:r>
                </w:p>
              </w:tc>
            </w:tr>
            <w:tr w14:paraId="7569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3" w:type="pct"/>
                  <w:vMerge w:val="continue"/>
                  <w:vAlign w:val="center"/>
                </w:tcPr>
                <w:p w14:paraId="4A4382FE">
                  <w:pPr>
                    <w:pStyle w:val="13"/>
                    <w:rPr>
                      <w:rFonts w:cs="Times New Roman"/>
                      <w:color w:val="auto"/>
                      <w:highlight w:val="none"/>
                    </w:rPr>
                  </w:pPr>
                </w:p>
              </w:tc>
              <w:tc>
                <w:tcPr>
                  <w:tcW w:w="308" w:type="pct"/>
                  <w:vAlign w:val="center"/>
                </w:tcPr>
                <w:p w14:paraId="1B05180D">
                  <w:pPr>
                    <w:pStyle w:val="13"/>
                    <w:rPr>
                      <w:rFonts w:cs="Times New Roman"/>
                      <w:color w:val="auto"/>
                      <w:highlight w:val="none"/>
                    </w:rPr>
                  </w:pPr>
                  <w:r>
                    <w:rPr>
                      <w:rFonts w:cs="Times New Roman"/>
                      <w:color w:val="auto"/>
                      <w:highlight w:val="none"/>
                    </w:rPr>
                    <w:t>5</w:t>
                  </w:r>
                </w:p>
              </w:tc>
              <w:tc>
                <w:tcPr>
                  <w:tcW w:w="860" w:type="pct"/>
                  <w:vAlign w:val="center"/>
                </w:tcPr>
                <w:p w14:paraId="2D787308">
                  <w:pPr>
                    <w:pStyle w:val="13"/>
                    <w:rPr>
                      <w:rFonts w:cs="Times New Roman"/>
                      <w:color w:val="auto"/>
                      <w:highlight w:val="none"/>
                    </w:rPr>
                  </w:pPr>
                  <w:r>
                    <w:rPr>
                      <w:rFonts w:cs="Times New Roman"/>
                      <w:color w:val="auto"/>
                      <w:highlight w:val="none"/>
                    </w:rPr>
                    <w:t>除尘器</w:t>
                  </w:r>
                </w:p>
              </w:tc>
              <w:tc>
                <w:tcPr>
                  <w:tcW w:w="950" w:type="pct"/>
                  <w:vAlign w:val="center"/>
                </w:tcPr>
                <w:p w14:paraId="00E1B840">
                  <w:pPr>
                    <w:pStyle w:val="13"/>
                    <w:rPr>
                      <w:rFonts w:cs="Times New Roman"/>
                      <w:color w:val="auto"/>
                      <w:highlight w:val="none"/>
                    </w:rPr>
                  </w:pPr>
                  <w:r>
                    <w:rPr>
                      <w:rFonts w:cs="Times New Roman"/>
                      <w:color w:val="auto"/>
                      <w:highlight w:val="none"/>
                    </w:rPr>
                    <w:t>/</w:t>
                  </w:r>
                </w:p>
              </w:tc>
              <w:tc>
                <w:tcPr>
                  <w:tcW w:w="448" w:type="pct"/>
                  <w:vAlign w:val="center"/>
                </w:tcPr>
                <w:p w14:paraId="6E662785">
                  <w:pPr>
                    <w:pStyle w:val="13"/>
                    <w:rPr>
                      <w:rFonts w:cs="Times New Roman"/>
                      <w:color w:val="auto"/>
                      <w:highlight w:val="none"/>
                    </w:rPr>
                  </w:pPr>
                  <w:r>
                    <w:rPr>
                      <w:rFonts w:cs="Times New Roman"/>
                      <w:color w:val="auto"/>
                      <w:highlight w:val="none"/>
                    </w:rPr>
                    <w:t>台</w:t>
                  </w:r>
                </w:p>
              </w:tc>
              <w:tc>
                <w:tcPr>
                  <w:tcW w:w="389" w:type="pct"/>
                  <w:vAlign w:val="center"/>
                </w:tcPr>
                <w:p w14:paraId="600702F7">
                  <w:pPr>
                    <w:pStyle w:val="13"/>
                    <w:rPr>
                      <w:rFonts w:cs="Times New Roman"/>
                      <w:color w:val="auto"/>
                      <w:highlight w:val="none"/>
                    </w:rPr>
                  </w:pPr>
                  <w:r>
                    <w:rPr>
                      <w:rFonts w:cs="Times New Roman"/>
                      <w:color w:val="auto"/>
                      <w:highlight w:val="none"/>
                    </w:rPr>
                    <w:t>1</w:t>
                  </w:r>
                </w:p>
              </w:tc>
              <w:tc>
                <w:tcPr>
                  <w:tcW w:w="1457" w:type="pct"/>
                  <w:vAlign w:val="center"/>
                </w:tcPr>
                <w:p w14:paraId="0809A775">
                  <w:pPr>
                    <w:pStyle w:val="13"/>
                    <w:rPr>
                      <w:rFonts w:cs="Times New Roman"/>
                      <w:color w:val="auto"/>
                      <w:highlight w:val="none"/>
                    </w:rPr>
                  </w:pPr>
                  <w:r>
                    <w:rPr>
                      <w:rFonts w:hint="eastAsia" w:cs="Times New Roman"/>
                      <w:color w:val="auto"/>
                      <w:highlight w:val="none"/>
                    </w:rPr>
                    <w:t>/</w:t>
                  </w:r>
                </w:p>
              </w:tc>
            </w:tr>
            <w:tr w14:paraId="7EFF8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3" w:type="pct"/>
                  <w:vMerge w:val="restart"/>
                  <w:vAlign w:val="center"/>
                </w:tcPr>
                <w:p w14:paraId="7C810953">
                  <w:pPr>
                    <w:pStyle w:val="13"/>
                    <w:rPr>
                      <w:rFonts w:cs="Times New Roman"/>
                      <w:color w:val="auto"/>
                      <w:highlight w:val="none"/>
                    </w:rPr>
                  </w:pPr>
                  <w:r>
                    <w:rPr>
                      <w:rFonts w:cs="Times New Roman"/>
                      <w:color w:val="auto"/>
                      <w:highlight w:val="none"/>
                    </w:rPr>
                    <w:t>二期生产设备</w:t>
                  </w:r>
                </w:p>
              </w:tc>
              <w:tc>
                <w:tcPr>
                  <w:tcW w:w="308" w:type="pct"/>
                  <w:vAlign w:val="center"/>
                </w:tcPr>
                <w:p w14:paraId="7D4FAC82">
                  <w:pPr>
                    <w:pStyle w:val="13"/>
                    <w:rPr>
                      <w:rFonts w:cs="Times New Roman"/>
                      <w:color w:val="auto"/>
                      <w:highlight w:val="none"/>
                    </w:rPr>
                  </w:pPr>
                  <w:r>
                    <w:rPr>
                      <w:rFonts w:cs="Times New Roman"/>
                      <w:color w:val="auto"/>
                      <w:highlight w:val="none"/>
                    </w:rPr>
                    <w:t>6</w:t>
                  </w:r>
                </w:p>
              </w:tc>
              <w:tc>
                <w:tcPr>
                  <w:tcW w:w="860" w:type="pct"/>
                  <w:vAlign w:val="center"/>
                </w:tcPr>
                <w:p w14:paraId="749A0510">
                  <w:pPr>
                    <w:pStyle w:val="13"/>
                    <w:rPr>
                      <w:rFonts w:cs="Times New Roman"/>
                      <w:color w:val="auto"/>
                      <w:highlight w:val="none"/>
                    </w:rPr>
                  </w:pPr>
                  <w:r>
                    <w:rPr>
                      <w:rFonts w:hint="eastAsia" w:cs="Times New Roman"/>
                      <w:color w:val="auto"/>
                      <w:highlight w:val="none"/>
                    </w:rPr>
                    <w:t>矩形卧式料</w:t>
                  </w:r>
                  <w:r>
                    <w:rPr>
                      <w:rFonts w:cs="Times New Roman"/>
                      <w:color w:val="auto"/>
                      <w:highlight w:val="none"/>
                    </w:rPr>
                    <w:t>仓</w:t>
                  </w:r>
                </w:p>
              </w:tc>
              <w:tc>
                <w:tcPr>
                  <w:tcW w:w="950" w:type="pct"/>
                  <w:vAlign w:val="center"/>
                </w:tcPr>
                <w:p w14:paraId="53C1312B">
                  <w:pPr>
                    <w:pStyle w:val="13"/>
                    <w:rPr>
                      <w:rFonts w:cs="Times New Roman"/>
                      <w:color w:val="auto"/>
                      <w:highlight w:val="none"/>
                    </w:rPr>
                  </w:pPr>
                  <w:r>
                    <w:rPr>
                      <w:rFonts w:hint="eastAsia" w:cs="Times New Roman"/>
                      <w:color w:val="auto"/>
                      <w:highlight w:val="none"/>
                    </w:rPr>
                    <w:t>/</w:t>
                  </w:r>
                </w:p>
              </w:tc>
              <w:tc>
                <w:tcPr>
                  <w:tcW w:w="448" w:type="pct"/>
                  <w:vAlign w:val="center"/>
                </w:tcPr>
                <w:p w14:paraId="3588304A">
                  <w:pPr>
                    <w:pStyle w:val="13"/>
                    <w:rPr>
                      <w:rFonts w:cs="Times New Roman"/>
                      <w:color w:val="auto"/>
                      <w:highlight w:val="none"/>
                    </w:rPr>
                  </w:pPr>
                  <w:r>
                    <w:rPr>
                      <w:rFonts w:hint="eastAsia" w:cs="Times New Roman"/>
                      <w:color w:val="auto"/>
                      <w:highlight w:val="none"/>
                    </w:rPr>
                    <w:t>套</w:t>
                  </w:r>
                </w:p>
              </w:tc>
              <w:tc>
                <w:tcPr>
                  <w:tcW w:w="389" w:type="pct"/>
                  <w:vAlign w:val="center"/>
                </w:tcPr>
                <w:p w14:paraId="44B14F6A">
                  <w:pPr>
                    <w:pStyle w:val="13"/>
                    <w:rPr>
                      <w:rFonts w:cs="Times New Roman"/>
                      <w:color w:val="auto"/>
                      <w:highlight w:val="none"/>
                    </w:rPr>
                  </w:pPr>
                  <w:r>
                    <w:rPr>
                      <w:rFonts w:hint="eastAsia" w:cs="Times New Roman"/>
                      <w:color w:val="auto"/>
                      <w:highlight w:val="none"/>
                    </w:rPr>
                    <w:t>3</w:t>
                  </w:r>
                </w:p>
              </w:tc>
              <w:tc>
                <w:tcPr>
                  <w:tcW w:w="1457" w:type="pct"/>
                  <w:vAlign w:val="center"/>
                </w:tcPr>
                <w:p w14:paraId="614068C0">
                  <w:pPr>
                    <w:pStyle w:val="13"/>
                    <w:rPr>
                      <w:rFonts w:cs="Times New Roman"/>
                      <w:color w:val="auto"/>
                      <w:highlight w:val="none"/>
                    </w:rPr>
                  </w:pPr>
                  <w:r>
                    <w:rPr>
                      <w:rFonts w:hint="eastAsia" w:cs="Times New Roman"/>
                      <w:color w:val="auto"/>
                      <w:highlight w:val="none"/>
                    </w:rPr>
                    <w:t>中间仓、缓冲仓、冷却仓</w:t>
                  </w:r>
                </w:p>
              </w:tc>
            </w:tr>
            <w:tr w14:paraId="30CDE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3" w:type="pct"/>
                  <w:vMerge w:val="continue"/>
                  <w:vAlign w:val="center"/>
                </w:tcPr>
                <w:p w14:paraId="2BD34860">
                  <w:pPr>
                    <w:pStyle w:val="13"/>
                    <w:rPr>
                      <w:rFonts w:cs="Times New Roman"/>
                      <w:color w:val="auto"/>
                      <w:highlight w:val="none"/>
                    </w:rPr>
                  </w:pPr>
                </w:p>
              </w:tc>
              <w:tc>
                <w:tcPr>
                  <w:tcW w:w="308" w:type="pct"/>
                  <w:vAlign w:val="center"/>
                </w:tcPr>
                <w:p w14:paraId="638C5E91">
                  <w:pPr>
                    <w:pStyle w:val="13"/>
                    <w:rPr>
                      <w:rFonts w:cs="Times New Roman"/>
                      <w:color w:val="auto"/>
                      <w:highlight w:val="none"/>
                    </w:rPr>
                  </w:pPr>
                  <w:r>
                    <w:rPr>
                      <w:rFonts w:cs="Times New Roman"/>
                      <w:color w:val="auto"/>
                      <w:highlight w:val="none"/>
                    </w:rPr>
                    <w:t>7</w:t>
                  </w:r>
                </w:p>
              </w:tc>
              <w:tc>
                <w:tcPr>
                  <w:tcW w:w="860" w:type="pct"/>
                  <w:vAlign w:val="center"/>
                </w:tcPr>
                <w:p w14:paraId="1B14DCC2">
                  <w:pPr>
                    <w:pStyle w:val="13"/>
                    <w:rPr>
                      <w:rFonts w:cs="Times New Roman"/>
                      <w:color w:val="auto"/>
                      <w:highlight w:val="none"/>
                    </w:rPr>
                  </w:pPr>
                  <w:r>
                    <w:rPr>
                      <w:rFonts w:cs="Times New Roman"/>
                      <w:color w:val="auto"/>
                      <w:highlight w:val="none"/>
                    </w:rPr>
                    <w:t>配料机</w:t>
                  </w:r>
                </w:p>
              </w:tc>
              <w:tc>
                <w:tcPr>
                  <w:tcW w:w="950" w:type="pct"/>
                  <w:vAlign w:val="center"/>
                </w:tcPr>
                <w:p w14:paraId="0A65D087">
                  <w:pPr>
                    <w:pStyle w:val="13"/>
                    <w:rPr>
                      <w:rFonts w:cs="Times New Roman"/>
                      <w:color w:val="auto"/>
                      <w:highlight w:val="none"/>
                    </w:rPr>
                  </w:pPr>
                  <w:r>
                    <w:rPr>
                      <w:rFonts w:cs="Times New Roman"/>
                      <w:color w:val="auto"/>
                      <w:highlight w:val="none"/>
                    </w:rPr>
                    <w:t>DCS50</w:t>
                  </w:r>
                </w:p>
              </w:tc>
              <w:tc>
                <w:tcPr>
                  <w:tcW w:w="448" w:type="pct"/>
                  <w:vAlign w:val="center"/>
                </w:tcPr>
                <w:p w14:paraId="7EFD7A8B">
                  <w:pPr>
                    <w:pStyle w:val="13"/>
                    <w:rPr>
                      <w:rFonts w:cs="Times New Roman"/>
                      <w:color w:val="auto"/>
                      <w:highlight w:val="none"/>
                    </w:rPr>
                  </w:pPr>
                  <w:r>
                    <w:rPr>
                      <w:rFonts w:cs="Times New Roman"/>
                      <w:color w:val="auto"/>
                      <w:highlight w:val="none"/>
                    </w:rPr>
                    <w:t>台</w:t>
                  </w:r>
                </w:p>
              </w:tc>
              <w:tc>
                <w:tcPr>
                  <w:tcW w:w="389" w:type="pct"/>
                  <w:vAlign w:val="center"/>
                </w:tcPr>
                <w:p w14:paraId="5D532CD7">
                  <w:pPr>
                    <w:pStyle w:val="13"/>
                    <w:rPr>
                      <w:rFonts w:cs="Times New Roman"/>
                      <w:color w:val="auto"/>
                      <w:highlight w:val="none"/>
                    </w:rPr>
                  </w:pPr>
                  <w:r>
                    <w:rPr>
                      <w:rFonts w:cs="Times New Roman"/>
                      <w:color w:val="auto"/>
                      <w:highlight w:val="none"/>
                    </w:rPr>
                    <w:t>2</w:t>
                  </w:r>
                </w:p>
              </w:tc>
              <w:tc>
                <w:tcPr>
                  <w:tcW w:w="1457" w:type="pct"/>
                  <w:vAlign w:val="center"/>
                </w:tcPr>
                <w:p w14:paraId="5AEC282B">
                  <w:pPr>
                    <w:pStyle w:val="13"/>
                    <w:rPr>
                      <w:rFonts w:cs="Times New Roman"/>
                      <w:color w:val="auto"/>
                      <w:highlight w:val="none"/>
                    </w:rPr>
                  </w:pPr>
                  <w:r>
                    <w:rPr>
                      <w:rFonts w:hint="eastAsia" w:cs="Times New Roman"/>
                      <w:color w:val="auto"/>
                      <w:highlight w:val="none"/>
                    </w:rPr>
                    <w:t>/</w:t>
                  </w:r>
                </w:p>
              </w:tc>
            </w:tr>
            <w:tr w14:paraId="33106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3" w:type="pct"/>
                  <w:vMerge w:val="continue"/>
                  <w:vAlign w:val="center"/>
                </w:tcPr>
                <w:p w14:paraId="6549EF9D">
                  <w:pPr>
                    <w:pStyle w:val="13"/>
                    <w:rPr>
                      <w:rFonts w:cs="Times New Roman"/>
                      <w:color w:val="auto"/>
                      <w:highlight w:val="none"/>
                    </w:rPr>
                  </w:pPr>
                </w:p>
              </w:tc>
              <w:tc>
                <w:tcPr>
                  <w:tcW w:w="308" w:type="pct"/>
                  <w:vAlign w:val="center"/>
                </w:tcPr>
                <w:p w14:paraId="607A384B">
                  <w:pPr>
                    <w:pStyle w:val="13"/>
                    <w:rPr>
                      <w:rFonts w:cs="Times New Roman"/>
                      <w:color w:val="auto"/>
                      <w:highlight w:val="none"/>
                    </w:rPr>
                  </w:pPr>
                  <w:r>
                    <w:rPr>
                      <w:rFonts w:cs="Times New Roman"/>
                      <w:color w:val="auto"/>
                      <w:highlight w:val="none"/>
                    </w:rPr>
                    <w:t>8</w:t>
                  </w:r>
                </w:p>
              </w:tc>
              <w:tc>
                <w:tcPr>
                  <w:tcW w:w="860" w:type="pct"/>
                  <w:vAlign w:val="center"/>
                </w:tcPr>
                <w:p w14:paraId="4BCE826B">
                  <w:pPr>
                    <w:pStyle w:val="13"/>
                    <w:rPr>
                      <w:rFonts w:cs="Times New Roman"/>
                      <w:color w:val="auto"/>
                      <w:highlight w:val="none"/>
                    </w:rPr>
                  </w:pPr>
                  <w:r>
                    <w:rPr>
                      <w:rFonts w:cs="Times New Roman"/>
                      <w:color w:val="auto"/>
                      <w:highlight w:val="none"/>
                    </w:rPr>
                    <w:t>混合机</w:t>
                  </w:r>
                </w:p>
              </w:tc>
              <w:tc>
                <w:tcPr>
                  <w:tcW w:w="950" w:type="pct"/>
                  <w:vAlign w:val="center"/>
                </w:tcPr>
                <w:p w14:paraId="4C6E0F4C">
                  <w:pPr>
                    <w:pStyle w:val="13"/>
                    <w:rPr>
                      <w:rFonts w:cs="Times New Roman"/>
                      <w:color w:val="auto"/>
                      <w:highlight w:val="none"/>
                    </w:rPr>
                  </w:pPr>
                  <w:r>
                    <w:rPr>
                      <w:rFonts w:cs="Times New Roman"/>
                      <w:color w:val="auto"/>
                      <w:highlight w:val="none"/>
                    </w:rPr>
                    <w:t>LWH12</w:t>
                  </w:r>
                </w:p>
              </w:tc>
              <w:tc>
                <w:tcPr>
                  <w:tcW w:w="448" w:type="pct"/>
                  <w:vAlign w:val="center"/>
                </w:tcPr>
                <w:p w14:paraId="354DBAF0">
                  <w:pPr>
                    <w:pStyle w:val="13"/>
                    <w:rPr>
                      <w:rFonts w:cs="Times New Roman"/>
                      <w:color w:val="auto"/>
                      <w:highlight w:val="none"/>
                    </w:rPr>
                  </w:pPr>
                  <w:r>
                    <w:rPr>
                      <w:rFonts w:cs="Times New Roman"/>
                      <w:color w:val="auto"/>
                      <w:highlight w:val="none"/>
                    </w:rPr>
                    <w:t>台</w:t>
                  </w:r>
                </w:p>
              </w:tc>
              <w:tc>
                <w:tcPr>
                  <w:tcW w:w="389" w:type="pct"/>
                  <w:vAlign w:val="center"/>
                </w:tcPr>
                <w:p w14:paraId="02096B59">
                  <w:pPr>
                    <w:pStyle w:val="13"/>
                    <w:rPr>
                      <w:rFonts w:cs="Times New Roman"/>
                      <w:color w:val="auto"/>
                      <w:highlight w:val="none"/>
                    </w:rPr>
                  </w:pPr>
                  <w:r>
                    <w:rPr>
                      <w:rFonts w:cs="Times New Roman"/>
                      <w:color w:val="auto"/>
                      <w:highlight w:val="none"/>
                    </w:rPr>
                    <w:t>2</w:t>
                  </w:r>
                </w:p>
              </w:tc>
              <w:tc>
                <w:tcPr>
                  <w:tcW w:w="1457" w:type="pct"/>
                  <w:vAlign w:val="center"/>
                </w:tcPr>
                <w:p w14:paraId="3E67E6DC">
                  <w:pPr>
                    <w:pStyle w:val="13"/>
                    <w:rPr>
                      <w:rFonts w:cs="Times New Roman"/>
                      <w:color w:val="auto"/>
                      <w:highlight w:val="none"/>
                    </w:rPr>
                  </w:pPr>
                  <w:r>
                    <w:rPr>
                      <w:rFonts w:hint="eastAsia" w:cs="Times New Roman"/>
                      <w:color w:val="auto"/>
                      <w:highlight w:val="none"/>
                    </w:rPr>
                    <w:t>/</w:t>
                  </w:r>
                </w:p>
              </w:tc>
            </w:tr>
            <w:tr w14:paraId="64F0A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3" w:type="pct"/>
                  <w:vMerge w:val="continue"/>
                  <w:vAlign w:val="center"/>
                </w:tcPr>
                <w:p w14:paraId="16958040">
                  <w:pPr>
                    <w:pStyle w:val="13"/>
                    <w:rPr>
                      <w:rFonts w:cs="Times New Roman"/>
                      <w:color w:val="auto"/>
                      <w:highlight w:val="none"/>
                    </w:rPr>
                  </w:pPr>
                </w:p>
              </w:tc>
              <w:tc>
                <w:tcPr>
                  <w:tcW w:w="308" w:type="pct"/>
                  <w:vAlign w:val="center"/>
                </w:tcPr>
                <w:p w14:paraId="0065D2AC">
                  <w:pPr>
                    <w:pStyle w:val="13"/>
                    <w:rPr>
                      <w:rFonts w:cs="Times New Roman"/>
                      <w:color w:val="auto"/>
                      <w:highlight w:val="none"/>
                    </w:rPr>
                  </w:pPr>
                  <w:r>
                    <w:rPr>
                      <w:rFonts w:cs="Times New Roman"/>
                      <w:color w:val="auto"/>
                      <w:highlight w:val="none"/>
                    </w:rPr>
                    <w:t>9</w:t>
                  </w:r>
                </w:p>
              </w:tc>
              <w:tc>
                <w:tcPr>
                  <w:tcW w:w="860" w:type="pct"/>
                  <w:vAlign w:val="center"/>
                </w:tcPr>
                <w:p w14:paraId="5D4FC588">
                  <w:pPr>
                    <w:pStyle w:val="13"/>
                    <w:rPr>
                      <w:rFonts w:cs="Times New Roman"/>
                      <w:color w:val="auto"/>
                      <w:highlight w:val="none"/>
                    </w:rPr>
                  </w:pPr>
                  <w:r>
                    <w:rPr>
                      <w:rFonts w:cs="Times New Roman"/>
                      <w:color w:val="auto"/>
                      <w:highlight w:val="none"/>
                    </w:rPr>
                    <w:t>调质机</w:t>
                  </w:r>
                </w:p>
              </w:tc>
              <w:tc>
                <w:tcPr>
                  <w:tcW w:w="950" w:type="pct"/>
                  <w:vAlign w:val="center"/>
                </w:tcPr>
                <w:p w14:paraId="5859E353">
                  <w:pPr>
                    <w:pStyle w:val="13"/>
                    <w:rPr>
                      <w:rFonts w:cs="Times New Roman"/>
                      <w:color w:val="auto"/>
                      <w:highlight w:val="none"/>
                    </w:rPr>
                  </w:pPr>
                  <w:r>
                    <w:rPr>
                      <w:rFonts w:cs="Times New Roman"/>
                      <w:color w:val="auto"/>
                      <w:highlight w:val="none"/>
                    </w:rPr>
                    <w:t>YSCD</w:t>
                  </w:r>
                  <w:r>
                    <w:rPr>
                      <w:rFonts w:hint="eastAsia" w:cs="Times New Roman"/>
                      <w:color w:val="auto"/>
                      <w:highlight w:val="none"/>
                    </w:rPr>
                    <w:t>6</w:t>
                  </w:r>
                  <w:r>
                    <w:rPr>
                      <w:rFonts w:cs="Times New Roman"/>
                      <w:color w:val="auto"/>
                      <w:highlight w:val="none"/>
                    </w:rPr>
                    <w:t>00</w:t>
                  </w:r>
                  <w:r>
                    <w:rPr>
                      <w:rFonts w:hint="eastAsia" w:cs="Times New Roman"/>
                      <w:color w:val="auto"/>
                      <w:highlight w:val="none"/>
                    </w:rPr>
                    <w:t>-3500</w:t>
                  </w:r>
                </w:p>
              </w:tc>
              <w:tc>
                <w:tcPr>
                  <w:tcW w:w="448" w:type="pct"/>
                  <w:vAlign w:val="center"/>
                </w:tcPr>
                <w:p w14:paraId="0B72C51E">
                  <w:pPr>
                    <w:pStyle w:val="13"/>
                    <w:rPr>
                      <w:rFonts w:cs="Times New Roman"/>
                      <w:color w:val="auto"/>
                      <w:highlight w:val="none"/>
                    </w:rPr>
                  </w:pPr>
                  <w:r>
                    <w:rPr>
                      <w:rFonts w:cs="Times New Roman"/>
                      <w:color w:val="auto"/>
                      <w:highlight w:val="none"/>
                    </w:rPr>
                    <w:t>台</w:t>
                  </w:r>
                </w:p>
              </w:tc>
              <w:tc>
                <w:tcPr>
                  <w:tcW w:w="389" w:type="pct"/>
                  <w:vAlign w:val="center"/>
                </w:tcPr>
                <w:p w14:paraId="4D00BAD5">
                  <w:pPr>
                    <w:pStyle w:val="13"/>
                    <w:rPr>
                      <w:rFonts w:cs="Times New Roman"/>
                      <w:color w:val="auto"/>
                      <w:highlight w:val="none"/>
                    </w:rPr>
                  </w:pPr>
                  <w:r>
                    <w:rPr>
                      <w:rFonts w:cs="Times New Roman"/>
                      <w:color w:val="auto"/>
                      <w:highlight w:val="none"/>
                    </w:rPr>
                    <w:t>2</w:t>
                  </w:r>
                </w:p>
              </w:tc>
              <w:tc>
                <w:tcPr>
                  <w:tcW w:w="1457" w:type="pct"/>
                  <w:vAlign w:val="center"/>
                </w:tcPr>
                <w:p w14:paraId="300C5A4B">
                  <w:pPr>
                    <w:pStyle w:val="13"/>
                    <w:rPr>
                      <w:rFonts w:cs="Times New Roman"/>
                      <w:color w:val="auto"/>
                      <w:highlight w:val="none"/>
                    </w:rPr>
                  </w:pPr>
                  <w:r>
                    <w:rPr>
                      <w:rFonts w:hint="eastAsia" w:cs="Times New Roman"/>
                      <w:color w:val="auto"/>
                      <w:highlight w:val="none"/>
                    </w:rPr>
                    <w:t>/</w:t>
                  </w:r>
                </w:p>
              </w:tc>
            </w:tr>
            <w:tr w14:paraId="284E9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3" w:type="pct"/>
                  <w:vMerge w:val="continue"/>
                  <w:vAlign w:val="center"/>
                </w:tcPr>
                <w:p w14:paraId="7FF8555B">
                  <w:pPr>
                    <w:pStyle w:val="13"/>
                    <w:rPr>
                      <w:rFonts w:cs="Times New Roman"/>
                      <w:color w:val="auto"/>
                      <w:highlight w:val="none"/>
                    </w:rPr>
                  </w:pPr>
                </w:p>
              </w:tc>
              <w:tc>
                <w:tcPr>
                  <w:tcW w:w="308" w:type="pct"/>
                  <w:vAlign w:val="center"/>
                </w:tcPr>
                <w:p w14:paraId="74EF8801">
                  <w:pPr>
                    <w:pStyle w:val="13"/>
                    <w:rPr>
                      <w:rFonts w:cs="Times New Roman"/>
                      <w:color w:val="auto"/>
                      <w:highlight w:val="none"/>
                    </w:rPr>
                  </w:pPr>
                  <w:r>
                    <w:rPr>
                      <w:rFonts w:cs="Times New Roman"/>
                      <w:color w:val="auto"/>
                      <w:highlight w:val="none"/>
                    </w:rPr>
                    <w:t>10</w:t>
                  </w:r>
                </w:p>
              </w:tc>
              <w:tc>
                <w:tcPr>
                  <w:tcW w:w="860" w:type="pct"/>
                  <w:vAlign w:val="center"/>
                </w:tcPr>
                <w:p w14:paraId="2441899F">
                  <w:pPr>
                    <w:pStyle w:val="13"/>
                    <w:rPr>
                      <w:rFonts w:cs="Times New Roman"/>
                      <w:color w:val="auto"/>
                      <w:highlight w:val="none"/>
                    </w:rPr>
                  </w:pPr>
                  <w:r>
                    <w:rPr>
                      <w:rFonts w:cs="Times New Roman"/>
                      <w:color w:val="auto"/>
                      <w:highlight w:val="none"/>
                    </w:rPr>
                    <w:t>制粒机</w:t>
                  </w:r>
                </w:p>
              </w:tc>
              <w:tc>
                <w:tcPr>
                  <w:tcW w:w="950" w:type="pct"/>
                  <w:vAlign w:val="center"/>
                </w:tcPr>
                <w:p w14:paraId="01496AF6">
                  <w:pPr>
                    <w:pStyle w:val="13"/>
                    <w:rPr>
                      <w:rFonts w:cs="Times New Roman"/>
                      <w:color w:val="auto"/>
                      <w:highlight w:val="none"/>
                    </w:rPr>
                  </w:pPr>
                  <w:r>
                    <w:rPr>
                      <w:rFonts w:hint="eastAsia" w:cs="Times New Roman"/>
                      <w:color w:val="auto"/>
                      <w:highlight w:val="none"/>
                    </w:rPr>
                    <w:t>S500</w:t>
                  </w:r>
                </w:p>
              </w:tc>
              <w:tc>
                <w:tcPr>
                  <w:tcW w:w="448" w:type="pct"/>
                  <w:vAlign w:val="center"/>
                </w:tcPr>
                <w:p w14:paraId="78991CCE">
                  <w:pPr>
                    <w:pStyle w:val="13"/>
                    <w:rPr>
                      <w:rFonts w:cs="Times New Roman"/>
                      <w:color w:val="auto"/>
                      <w:highlight w:val="none"/>
                    </w:rPr>
                  </w:pPr>
                  <w:r>
                    <w:rPr>
                      <w:rFonts w:cs="Times New Roman"/>
                      <w:color w:val="auto"/>
                      <w:highlight w:val="none"/>
                    </w:rPr>
                    <w:t>台</w:t>
                  </w:r>
                </w:p>
              </w:tc>
              <w:tc>
                <w:tcPr>
                  <w:tcW w:w="389" w:type="pct"/>
                  <w:vAlign w:val="center"/>
                </w:tcPr>
                <w:p w14:paraId="24F308F2">
                  <w:pPr>
                    <w:pStyle w:val="13"/>
                    <w:rPr>
                      <w:rFonts w:cs="Times New Roman"/>
                      <w:color w:val="auto"/>
                      <w:highlight w:val="none"/>
                    </w:rPr>
                  </w:pPr>
                  <w:r>
                    <w:rPr>
                      <w:rFonts w:cs="Times New Roman"/>
                      <w:color w:val="auto"/>
                      <w:highlight w:val="none"/>
                    </w:rPr>
                    <w:t>2</w:t>
                  </w:r>
                </w:p>
              </w:tc>
              <w:tc>
                <w:tcPr>
                  <w:tcW w:w="1457" w:type="pct"/>
                  <w:vAlign w:val="center"/>
                </w:tcPr>
                <w:p w14:paraId="1AAADF8B">
                  <w:pPr>
                    <w:pStyle w:val="13"/>
                    <w:rPr>
                      <w:rFonts w:cs="Times New Roman"/>
                      <w:color w:val="auto"/>
                      <w:highlight w:val="none"/>
                    </w:rPr>
                  </w:pPr>
                  <w:r>
                    <w:rPr>
                      <w:rFonts w:hint="eastAsia" w:cs="Times New Roman"/>
                      <w:color w:val="auto"/>
                      <w:highlight w:val="none"/>
                    </w:rPr>
                    <w:t>/</w:t>
                  </w:r>
                </w:p>
              </w:tc>
            </w:tr>
            <w:tr w14:paraId="58346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3" w:type="pct"/>
                  <w:vMerge w:val="continue"/>
                  <w:vAlign w:val="center"/>
                </w:tcPr>
                <w:p w14:paraId="69139A2B">
                  <w:pPr>
                    <w:pStyle w:val="13"/>
                    <w:rPr>
                      <w:rFonts w:cs="Times New Roman"/>
                      <w:color w:val="auto"/>
                      <w:highlight w:val="none"/>
                    </w:rPr>
                  </w:pPr>
                </w:p>
              </w:tc>
              <w:tc>
                <w:tcPr>
                  <w:tcW w:w="308" w:type="pct"/>
                  <w:vAlign w:val="center"/>
                </w:tcPr>
                <w:p w14:paraId="300E58F6">
                  <w:pPr>
                    <w:pStyle w:val="13"/>
                    <w:rPr>
                      <w:rFonts w:cs="Times New Roman"/>
                      <w:color w:val="auto"/>
                      <w:highlight w:val="none"/>
                    </w:rPr>
                  </w:pPr>
                  <w:r>
                    <w:rPr>
                      <w:rFonts w:cs="Times New Roman"/>
                      <w:color w:val="auto"/>
                      <w:highlight w:val="none"/>
                    </w:rPr>
                    <w:t>11</w:t>
                  </w:r>
                </w:p>
              </w:tc>
              <w:tc>
                <w:tcPr>
                  <w:tcW w:w="860" w:type="pct"/>
                  <w:vAlign w:val="center"/>
                </w:tcPr>
                <w:p w14:paraId="31779A14">
                  <w:pPr>
                    <w:pStyle w:val="13"/>
                    <w:rPr>
                      <w:rFonts w:cs="Times New Roman"/>
                      <w:color w:val="auto"/>
                      <w:highlight w:val="none"/>
                    </w:rPr>
                  </w:pPr>
                  <w:r>
                    <w:rPr>
                      <w:rFonts w:cs="Times New Roman"/>
                      <w:color w:val="auto"/>
                      <w:highlight w:val="none"/>
                    </w:rPr>
                    <w:t>冷却分级筛</w:t>
                  </w:r>
                </w:p>
              </w:tc>
              <w:tc>
                <w:tcPr>
                  <w:tcW w:w="950" w:type="pct"/>
                  <w:vAlign w:val="center"/>
                </w:tcPr>
                <w:p w14:paraId="545EBA65">
                  <w:pPr>
                    <w:pStyle w:val="13"/>
                    <w:rPr>
                      <w:rFonts w:cs="Times New Roman"/>
                      <w:color w:val="auto"/>
                      <w:highlight w:val="none"/>
                    </w:rPr>
                  </w:pPr>
                  <w:r>
                    <w:rPr>
                      <w:rFonts w:cs="Times New Roman"/>
                      <w:color w:val="auto"/>
                      <w:highlight w:val="none"/>
                    </w:rPr>
                    <w:t>JSQ-450</w:t>
                  </w:r>
                </w:p>
              </w:tc>
              <w:tc>
                <w:tcPr>
                  <w:tcW w:w="448" w:type="pct"/>
                  <w:vAlign w:val="center"/>
                </w:tcPr>
                <w:p w14:paraId="51219952">
                  <w:pPr>
                    <w:pStyle w:val="13"/>
                    <w:rPr>
                      <w:rFonts w:cs="Times New Roman"/>
                      <w:color w:val="auto"/>
                      <w:highlight w:val="none"/>
                    </w:rPr>
                  </w:pPr>
                  <w:r>
                    <w:rPr>
                      <w:rFonts w:cs="Times New Roman"/>
                      <w:color w:val="auto"/>
                      <w:highlight w:val="none"/>
                    </w:rPr>
                    <w:t>台</w:t>
                  </w:r>
                </w:p>
              </w:tc>
              <w:tc>
                <w:tcPr>
                  <w:tcW w:w="389" w:type="pct"/>
                  <w:vAlign w:val="center"/>
                </w:tcPr>
                <w:p w14:paraId="1103B675">
                  <w:pPr>
                    <w:pStyle w:val="13"/>
                    <w:rPr>
                      <w:rFonts w:cs="Times New Roman"/>
                      <w:color w:val="auto"/>
                      <w:highlight w:val="none"/>
                    </w:rPr>
                  </w:pPr>
                  <w:r>
                    <w:rPr>
                      <w:rFonts w:cs="Times New Roman"/>
                      <w:color w:val="auto"/>
                      <w:highlight w:val="none"/>
                    </w:rPr>
                    <w:t>2</w:t>
                  </w:r>
                </w:p>
              </w:tc>
              <w:tc>
                <w:tcPr>
                  <w:tcW w:w="1457" w:type="pct"/>
                  <w:vAlign w:val="center"/>
                </w:tcPr>
                <w:p w14:paraId="567B6DE9">
                  <w:pPr>
                    <w:pStyle w:val="13"/>
                    <w:rPr>
                      <w:rFonts w:cs="Times New Roman"/>
                      <w:color w:val="auto"/>
                      <w:highlight w:val="none"/>
                    </w:rPr>
                  </w:pPr>
                  <w:r>
                    <w:rPr>
                      <w:rFonts w:hint="eastAsia" w:cs="Times New Roman"/>
                      <w:color w:val="auto"/>
                      <w:highlight w:val="none"/>
                    </w:rPr>
                    <w:t>/</w:t>
                  </w:r>
                </w:p>
              </w:tc>
            </w:tr>
            <w:tr w14:paraId="35FE4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3" w:type="pct"/>
                  <w:vMerge w:val="continue"/>
                  <w:vAlign w:val="center"/>
                </w:tcPr>
                <w:p w14:paraId="6C8B88DD">
                  <w:pPr>
                    <w:pStyle w:val="13"/>
                    <w:rPr>
                      <w:rFonts w:cs="Times New Roman"/>
                      <w:color w:val="auto"/>
                      <w:highlight w:val="none"/>
                    </w:rPr>
                  </w:pPr>
                </w:p>
              </w:tc>
              <w:tc>
                <w:tcPr>
                  <w:tcW w:w="308" w:type="pct"/>
                  <w:vAlign w:val="center"/>
                </w:tcPr>
                <w:p w14:paraId="400E6B70">
                  <w:pPr>
                    <w:pStyle w:val="13"/>
                    <w:rPr>
                      <w:rFonts w:cs="Times New Roman"/>
                      <w:color w:val="auto"/>
                      <w:highlight w:val="none"/>
                    </w:rPr>
                  </w:pPr>
                  <w:r>
                    <w:rPr>
                      <w:rFonts w:cs="Times New Roman"/>
                      <w:color w:val="auto"/>
                      <w:highlight w:val="none"/>
                    </w:rPr>
                    <w:t>12</w:t>
                  </w:r>
                </w:p>
              </w:tc>
              <w:tc>
                <w:tcPr>
                  <w:tcW w:w="860" w:type="pct"/>
                  <w:vAlign w:val="center"/>
                </w:tcPr>
                <w:p w14:paraId="043C89EC">
                  <w:pPr>
                    <w:pStyle w:val="13"/>
                    <w:rPr>
                      <w:rFonts w:cs="Times New Roman"/>
                      <w:color w:val="auto"/>
                      <w:highlight w:val="none"/>
                    </w:rPr>
                  </w:pPr>
                  <w:r>
                    <w:rPr>
                      <w:rFonts w:cs="Times New Roman"/>
                      <w:color w:val="auto"/>
                      <w:highlight w:val="none"/>
                    </w:rPr>
                    <w:t>颗粒打包机</w:t>
                  </w:r>
                </w:p>
              </w:tc>
              <w:tc>
                <w:tcPr>
                  <w:tcW w:w="950" w:type="pct"/>
                  <w:vAlign w:val="center"/>
                </w:tcPr>
                <w:p w14:paraId="2183DB3C">
                  <w:pPr>
                    <w:pStyle w:val="13"/>
                    <w:rPr>
                      <w:rFonts w:cs="Times New Roman"/>
                      <w:color w:val="auto"/>
                      <w:highlight w:val="none"/>
                    </w:rPr>
                  </w:pPr>
                  <w:r>
                    <w:rPr>
                      <w:rFonts w:cs="Times New Roman"/>
                      <w:color w:val="auto"/>
                      <w:highlight w:val="none"/>
                    </w:rPr>
                    <w:t>BLQ-X</w:t>
                  </w:r>
                </w:p>
              </w:tc>
              <w:tc>
                <w:tcPr>
                  <w:tcW w:w="448" w:type="pct"/>
                  <w:vAlign w:val="center"/>
                </w:tcPr>
                <w:p w14:paraId="5A7E3E9F">
                  <w:pPr>
                    <w:pStyle w:val="13"/>
                    <w:rPr>
                      <w:rFonts w:cs="Times New Roman"/>
                      <w:color w:val="auto"/>
                      <w:highlight w:val="none"/>
                    </w:rPr>
                  </w:pPr>
                  <w:r>
                    <w:rPr>
                      <w:rFonts w:cs="Times New Roman"/>
                      <w:color w:val="auto"/>
                      <w:highlight w:val="none"/>
                    </w:rPr>
                    <w:t>台</w:t>
                  </w:r>
                </w:p>
              </w:tc>
              <w:tc>
                <w:tcPr>
                  <w:tcW w:w="389" w:type="pct"/>
                  <w:vAlign w:val="center"/>
                </w:tcPr>
                <w:p w14:paraId="383551F3">
                  <w:pPr>
                    <w:pStyle w:val="13"/>
                    <w:rPr>
                      <w:rFonts w:cs="Times New Roman"/>
                      <w:color w:val="auto"/>
                      <w:highlight w:val="none"/>
                    </w:rPr>
                  </w:pPr>
                  <w:r>
                    <w:rPr>
                      <w:rFonts w:cs="Times New Roman"/>
                      <w:color w:val="auto"/>
                      <w:highlight w:val="none"/>
                    </w:rPr>
                    <w:t>2</w:t>
                  </w:r>
                </w:p>
              </w:tc>
              <w:tc>
                <w:tcPr>
                  <w:tcW w:w="1457" w:type="pct"/>
                  <w:vAlign w:val="center"/>
                </w:tcPr>
                <w:p w14:paraId="7095983D">
                  <w:pPr>
                    <w:pStyle w:val="13"/>
                    <w:rPr>
                      <w:rFonts w:cs="Times New Roman"/>
                      <w:color w:val="auto"/>
                      <w:highlight w:val="none"/>
                    </w:rPr>
                  </w:pPr>
                  <w:r>
                    <w:rPr>
                      <w:rFonts w:hint="eastAsia" w:cs="Times New Roman"/>
                      <w:color w:val="auto"/>
                      <w:highlight w:val="none"/>
                    </w:rPr>
                    <w:t>/</w:t>
                  </w:r>
                </w:p>
              </w:tc>
            </w:tr>
            <w:tr w14:paraId="4F086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3" w:type="pct"/>
                  <w:vMerge w:val="continue"/>
                  <w:vAlign w:val="center"/>
                </w:tcPr>
                <w:p w14:paraId="77306FE0">
                  <w:pPr>
                    <w:pStyle w:val="13"/>
                    <w:rPr>
                      <w:rFonts w:cs="Times New Roman"/>
                      <w:color w:val="auto"/>
                      <w:highlight w:val="none"/>
                    </w:rPr>
                  </w:pPr>
                </w:p>
              </w:tc>
              <w:tc>
                <w:tcPr>
                  <w:tcW w:w="308" w:type="pct"/>
                  <w:vAlign w:val="center"/>
                </w:tcPr>
                <w:p w14:paraId="1840DD9D">
                  <w:pPr>
                    <w:pStyle w:val="13"/>
                    <w:rPr>
                      <w:rFonts w:cs="Times New Roman"/>
                      <w:color w:val="auto"/>
                      <w:highlight w:val="none"/>
                    </w:rPr>
                  </w:pPr>
                  <w:r>
                    <w:rPr>
                      <w:rFonts w:cs="Times New Roman"/>
                      <w:color w:val="auto"/>
                      <w:highlight w:val="none"/>
                    </w:rPr>
                    <w:t>13</w:t>
                  </w:r>
                </w:p>
              </w:tc>
              <w:tc>
                <w:tcPr>
                  <w:tcW w:w="860" w:type="pct"/>
                  <w:vAlign w:val="center"/>
                </w:tcPr>
                <w:p w14:paraId="0B827F9E">
                  <w:pPr>
                    <w:pStyle w:val="13"/>
                    <w:rPr>
                      <w:rFonts w:cs="Times New Roman"/>
                      <w:color w:val="auto"/>
                      <w:highlight w:val="none"/>
                    </w:rPr>
                  </w:pPr>
                  <w:r>
                    <w:rPr>
                      <w:rFonts w:cs="Times New Roman"/>
                      <w:color w:val="auto"/>
                      <w:highlight w:val="none"/>
                    </w:rPr>
                    <w:t>除尘器</w:t>
                  </w:r>
                </w:p>
              </w:tc>
              <w:tc>
                <w:tcPr>
                  <w:tcW w:w="950" w:type="pct"/>
                  <w:vAlign w:val="center"/>
                </w:tcPr>
                <w:p w14:paraId="286690FD">
                  <w:pPr>
                    <w:pStyle w:val="13"/>
                    <w:rPr>
                      <w:rFonts w:cs="Times New Roman"/>
                      <w:color w:val="auto"/>
                      <w:highlight w:val="none"/>
                    </w:rPr>
                  </w:pPr>
                  <w:r>
                    <w:rPr>
                      <w:rFonts w:cs="Times New Roman"/>
                      <w:color w:val="auto"/>
                      <w:highlight w:val="none"/>
                    </w:rPr>
                    <w:t>/</w:t>
                  </w:r>
                </w:p>
              </w:tc>
              <w:tc>
                <w:tcPr>
                  <w:tcW w:w="448" w:type="pct"/>
                  <w:vAlign w:val="center"/>
                </w:tcPr>
                <w:p w14:paraId="01D5036B">
                  <w:pPr>
                    <w:pStyle w:val="13"/>
                    <w:rPr>
                      <w:rFonts w:cs="Times New Roman"/>
                      <w:color w:val="auto"/>
                      <w:highlight w:val="none"/>
                    </w:rPr>
                  </w:pPr>
                  <w:r>
                    <w:rPr>
                      <w:rFonts w:cs="Times New Roman"/>
                      <w:color w:val="auto"/>
                      <w:highlight w:val="none"/>
                    </w:rPr>
                    <w:t>台</w:t>
                  </w:r>
                </w:p>
              </w:tc>
              <w:tc>
                <w:tcPr>
                  <w:tcW w:w="389" w:type="pct"/>
                  <w:vAlign w:val="center"/>
                </w:tcPr>
                <w:p w14:paraId="63F0DA9D">
                  <w:pPr>
                    <w:pStyle w:val="13"/>
                    <w:rPr>
                      <w:rFonts w:cs="Times New Roman"/>
                      <w:color w:val="auto"/>
                      <w:highlight w:val="none"/>
                    </w:rPr>
                  </w:pPr>
                  <w:r>
                    <w:rPr>
                      <w:rFonts w:cs="Times New Roman"/>
                      <w:color w:val="auto"/>
                      <w:highlight w:val="none"/>
                    </w:rPr>
                    <w:t>1</w:t>
                  </w:r>
                </w:p>
              </w:tc>
              <w:tc>
                <w:tcPr>
                  <w:tcW w:w="1457" w:type="pct"/>
                  <w:vAlign w:val="center"/>
                </w:tcPr>
                <w:p w14:paraId="29FFA277">
                  <w:pPr>
                    <w:pStyle w:val="13"/>
                    <w:rPr>
                      <w:rFonts w:cs="Times New Roman"/>
                      <w:color w:val="auto"/>
                      <w:highlight w:val="none"/>
                    </w:rPr>
                  </w:pPr>
                  <w:r>
                    <w:rPr>
                      <w:rFonts w:hint="eastAsia" w:cs="Times New Roman"/>
                      <w:color w:val="auto"/>
                      <w:highlight w:val="none"/>
                    </w:rPr>
                    <w:t>/</w:t>
                  </w:r>
                </w:p>
              </w:tc>
            </w:tr>
            <w:tr w14:paraId="3E5BB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3" w:type="pct"/>
                  <w:vMerge w:val="continue"/>
                  <w:vAlign w:val="center"/>
                </w:tcPr>
                <w:p w14:paraId="0AD4F5E9">
                  <w:pPr>
                    <w:pStyle w:val="13"/>
                    <w:rPr>
                      <w:rFonts w:cs="Times New Roman"/>
                      <w:color w:val="auto"/>
                      <w:highlight w:val="none"/>
                    </w:rPr>
                  </w:pPr>
                </w:p>
              </w:tc>
              <w:tc>
                <w:tcPr>
                  <w:tcW w:w="308" w:type="pct"/>
                  <w:vAlign w:val="center"/>
                </w:tcPr>
                <w:p w14:paraId="7E4AA705">
                  <w:pPr>
                    <w:pStyle w:val="13"/>
                    <w:rPr>
                      <w:rFonts w:cs="Times New Roman"/>
                      <w:color w:val="auto"/>
                      <w:highlight w:val="none"/>
                    </w:rPr>
                  </w:pPr>
                  <w:r>
                    <w:rPr>
                      <w:rFonts w:hint="eastAsia" w:cs="Times New Roman"/>
                      <w:color w:val="auto"/>
                      <w:highlight w:val="none"/>
                    </w:rPr>
                    <w:t>14</w:t>
                  </w:r>
                </w:p>
              </w:tc>
              <w:tc>
                <w:tcPr>
                  <w:tcW w:w="860" w:type="pct"/>
                  <w:vAlign w:val="center"/>
                </w:tcPr>
                <w:p w14:paraId="04F2C1F8">
                  <w:pPr>
                    <w:pStyle w:val="13"/>
                    <w:rPr>
                      <w:rFonts w:cs="Times New Roman"/>
                      <w:color w:val="auto"/>
                      <w:highlight w:val="none"/>
                    </w:rPr>
                  </w:pPr>
                  <w:r>
                    <w:rPr>
                      <w:rFonts w:hint="eastAsia" w:cs="Times New Roman"/>
                      <w:color w:val="auto"/>
                      <w:highlight w:val="none"/>
                    </w:rPr>
                    <w:t>蒸汽锅炉</w:t>
                  </w:r>
                </w:p>
              </w:tc>
              <w:tc>
                <w:tcPr>
                  <w:tcW w:w="950" w:type="pct"/>
                  <w:vAlign w:val="center"/>
                </w:tcPr>
                <w:p w14:paraId="082D0BDA">
                  <w:pPr>
                    <w:pStyle w:val="13"/>
                    <w:rPr>
                      <w:rFonts w:cs="Times New Roman"/>
                      <w:color w:val="auto"/>
                      <w:highlight w:val="none"/>
                    </w:rPr>
                  </w:pPr>
                  <w:r>
                    <w:rPr>
                      <w:rFonts w:hint="eastAsia" w:cs="Times New Roman"/>
                      <w:color w:val="auto"/>
                      <w:highlight w:val="none"/>
                    </w:rPr>
                    <w:t>DZL3-0.7-M</w:t>
                  </w:r>
                </w:p>
              </w:tc>
              <w:tc>
                <w:tcPr>
                  <w:tcW w:w="448" w:type="pct"/>
                  <w:vAlign w:val="center"/>
                </w:tcPr>
                <w:p w14:paraId="67BC2CFF">
                  <w:pPr>
                    <w:pStyle w:val="13"/>
                    <w:rPr>
                      <w:rFonts w:cs="Times New Roman"/>
                      <w:color w:val="auto"/>
                      <w:highlight w:val="none"/>
                    </w:rPr>
                  </w:pPr>
                  <w:r>
                    <w:rPr>
                      <w:rFonts w:cs="Times New Roman"/>
                      <w:color w:val="auto"/>
                      <w:highlight w:val="none"/>
                    </w:rPr>
                    <w:t>台</w:t>
                  </w:r>
                </w:p>
              </w:tc>
              <w:tc>
                <w:tcPr>
                  <w:tcW w:w="389" w:type="pct"/>
                  <w:vAlign w:val="center"/>
                </w:tcPr>
                <w:p w14:paraId="36D33F36">
                  <w:pPr>
                    <w:pStyle w:val="13"/>
                    <w:rPr>
                      <w:rFonts w:cs="Times New Roman"/>
                      <w:color w:val="auto"/>
                      <w:highlight w:val="none"/>
                    </w:rPr>
                  </w:pPr>
                  <w:r>
                    <w:rPr>
                      <w:rFonts w:cs="Times New Roman"/>
                      <w:color w:val="auto"/>
                      <w:highlight w:val="none"/>
                    </w:rPr>
                    <w:t>1</w:t>
                  </w:r>
                </w:p>
              </w:tc>
              <w:tc>
                <w:tcPr>
                  <w:tcW w:w="1457" w:type="pct"/>
                  <w:vAlign w:val="center"/>
                </w:tcPr>
                <w:p w14:paraId="76E8F4A3">
                  <w:pPr>
                    <w:pStyle w:val="13"/>
                    <w:rPr>
                      <w:rFonts w:hint="default" w:eastAsia="宋体" w:cs="Times New Roman"/>
                      <w:color w:val="auto"/>
                      <w:highlight w:val="none"/>
                      <w:lang w:val="en-US" w:eastAsia="zh-CN"/>
                    </w:rPr>
                  </w:pPr>
                  <w:r>
                    <w:rPr>
                      <w:rFonts w:hint="eastAsia" w:cs="Times New Roman"/>
                      <w:color w:val="auto"/>
                      <w:highlight w:val="none"/>
                      <w:lang w:val="en-US" w:eastAsia="zh-CN"/>
                    </w:rPr>
                    <w:t>配套软水机</w:t>
                  </w:r>
                </w:p>
              </w:tc>
            </w:tr>
            <w:tr w14:paraId="20BBC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3" w:type="pct"/>
                  <w:vMerge w:val="restart"/>
                  <w:vAlign w:val="center"/>
                </w:tcPr>
                <w:p w14:paraId="10B6C04F">
                  <w:pPr>
                    <w:pStyle w:val="13"/>
                    <w:rPr>
                      <w:rFonts w:cs="Times New Roman"/>
                      <w:color w:val="auto"/>
                      <w:highlight w:val="none"/>
                    </w:rPr>
                  </w:pPr>
                  <w:r>
                    <w:rPr>
                      <w:rFonts w:cs="Times New Roman"/>
                      <w:color w:val="auto"/>
                      <w:highlight w:val="none"/>
                    </w:rPr>
                    <w:t>辅助生产设备</w:t>
                  </w:r>
                </w:p>
              </w:tc>
              <w:tc>
                <w:tcPr>
                  <w:tcW w:w="308" w:type="pct"/>
                  <w:vAlign w:val="center"/>
                </w:tcPr>
                <w:p w14:paraId="4DFC4095">
                  <w:pPr>
                    <w:pStyle w:val="13"/>
                    <w:rPr>
                      <w:rFonts w:cs="Times New Roman"/>
                      <w:color w:val="auto"/>
                      <w:highlight w:val="none"/>
                    </w:rPr>
                  </w:pPr>
                  <w:r>
                    <w:rPr>
                      <w:rFonts w:cs="Times New Roman"/>
                      <w:color w:val="auto"/>
                      <w:highlight w:val="none"/>
                    </w:rPr>
                    <w:t>1</w:t>
                  </w:r>
                  <w:r>
                    <w:rPr>
                      <w:rFonts w:hint="eastAsia" w:cs="Times New Roman"/>
                      <w:color w:val="auto"/>
                      <w:highlight w:val="none"/>
                    </w:rPr>
                    <w:t>5</w:t>
                  </w:r>
                </w:p>
              </w:tc>
              <w:tc>
                <w:tcPr>
                  <w:tcW w:w="860" w:type="pct"/>
                  <w:vAlign w:val="center"/>
                </w:tcPr>
                <w:p w14:paraId="61468292">
                  <w:pPr>
                    <w:pStyle w:val="13"/>
                    <w:rPr>
                      <w:rFonts w:cs="Times New Roman"/>
                      <w:color w:val="auto"/>
                      <w:highlight w:val="none"/>
                    </w:rPr>
                  </w:pPr>
                  <w:r>
                    <w:rPr>
                      <w:rFonts w:cs="Times New Roman"/>
                      <w:color w:val="auto"/>
                      <w:highlight w:val="none"/>
                    </w:rPr>
                    <w:t>叉车</w:t>
                  </w:r>
                </w:p>
              </w:tc>
              <w:tc>
                <w:tcPr>
                  <w:tcW w:w="950" w:type="pct"/>
                  <w:vAlign w:val="center"/>
                </w:tcPr>
                <w:p w14:paraId="690C1133">
                  <w:pPr>
                    <w:pStyle w:val="13"/>
                    <w:rPr>
                      <w:rFonts w:cs="Times New Roman"/>
                      <w:color w:val="auto"/>
                      <w:highlight w:val="none"/>
                    </w:rPr>
                  </w:pPr>
                  <w:r>
                    <w:rPr>
                      <w:rFonts w:cs="Times New Roman"/>
                      <w:color w:val="auto"/>
                      <w:highlight w:val="none"/>
                    </w:rPr>
                    <w:t>3t</w:t>
                  </w:r>
                </w:p>
              </w:tc>
              <w:tc>
                <w:tcPr>
                  <w:tcW w:w="448" w:type="pct"/>
                  <w:vAlign w:val="center"/>
                </w:tcPr>
                <w:p w14:paraId="0EFCBC87">
                  <w:pPr>
                    <w:pStyle w:val="13"/>
                    <w:rPr>
                      <w:rFonts w:cs="Times New Roman"/>
                      <w:color w:val="auto"/>
                      <w:highlight w:val="none"/>
                    </w:rPr>
                  </w:pPr>
                  <w:r>
                    <w:rPr>
                      <w:rFonts w:cs="Times New Roman"/>
                      <w:color w:val="auto"/>
                      <w:highlight w:val="none"/>
                    </w:rPr>
                    <w:t>套</w:t>
                  </w:r>
                </w:p>
              </w:tc>
              <w:tc>
                <w:tcPr>
                  <w:tcW w:w="389" w:type="pct"/>
                  <w:vAlign w:val="center"/>
                </w:tcPr>
                <w:p w14:paraId="10D94935">
                  <w:pPr>
                    <w:pStyle w:val="13"/>
                    <w:rPr>
                      <w:rFonts w:cs="Times New Roman"/>
                      <w:color w:val="auto"/>
                      <w:highlight w:val="none"/>
                    </w:rPr>
                  </w:pPr>
                  <w:r>
                    <w:rPr>
                      <w:rFonts w:cs="Times New Roman"/>
                      <w:color w:val="auto"/>
                      <w:highlight w:val="none"/>
                    </w:rPr>
                    <w:t>2</w:t>
                  </w:r>
                </w:p>
              </w:tc>
              <w:tc>
                <w:tcPr>
                  <w:tcW w:w="1457" w:type="pct"/>
                  <w:vAlign w:val="center"/>
                </w:tcPr>
                <w:p w14:paraId="7ADA38A3">
                  <w:pPr>
                    <w:pStyle w:val="13"/>
                    <w:rPr>
                      <w:rFonts w:cs="Times New Roman"/>
                      <w:color w:val="auto"/>
                      <w:highlight w:val="none"/>
                    </w:rPr>
                  </w:pPr>
                  <w:r>
                    <w:rPr>
                      <w:rFonts w:hint="eastAsia" w:cs="Times New Roman"/>
                      <w:color w:val="auto"/>
                      <w:highlight w:val="none"/>
                    </w:rPr>
                    <w:t>/</w:t>
                  </w:r>
                </w:p>
              </w:tc>
            </w:tr>
            <w:tr w14:paraId="06E6C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3" w:type="pct"/>
                  <w:vMerge w:val="continue"/>
                  <w:vAlign w:val="center"/>
                </w:tcPr>
                <w:p w14:paraId="5E2FB003">
                  <w:pPr>
                    <w:pStyle w:val="13"/>
                    <w:rPr>
                      <w:rFonts w:cs="Times New Roman"/>
                      <w:color w:val="auto"/>
                      <w:highlight w:val="none"/>
                    </w:rPr>
                  </w:pPr>
                </w:p>
              </w:tc>
              <w:tc>
                <w:tcPr>
                  <w:tcW w:w="308" w:type="pct"/>
                  <w:vAlign w:val="center"/>
                </w:tcPr>
                <w:p w14:paraId="66805C79">
                  <w:pPr>
                    <w:pStyle w:val="13"/>
                    <w:rPr>
                      <w:rFonts w:cs="Times New Roman"/>
                      <w:color w:val="auto"/>
                      <w:highlight w:val="none"/>
                    </w:rPr>
                  </w:pPr>
                  <w:r>
                    <w:rPr>
                      <w:rFonts w:cs="Times New Roman"/>
                      <w:color w:val="auto"/>
                      <w:highlight w:val="none"/>
                    </w:rPr>
                    <w:t>1</w:t>
                  </w:r>
                  <w:r>
                    <w:rPr>
                      <w:rFonts w:hint="eastAsia" w:cs="Times New Roman"/>
                      <w:color w:val="auto"/>
                      <w:highlight w:val="none"/>
                    </w:rPr>
                    <w:t>6</w:t>
                  </w:r>
                </w:p>
              </w:tc>
              <w:tc>
                <w:tcPr>
                  <w:tcW w:w="860" w:type="pct"/>
                  <w:vAlign w:val="center"/>
                </w:tcPr>
                <w:p w14:paraId="656871AF">
                  <w:pPr>
                    <w:pStyle w:val="13"/>
                    <w:rPr>
                      <w:rFonts w:cs="Times New Roman"/>
                      <w:color w:val="auto"/>
                      <w:highlight w:val="none"/>
                    </w:rPr>
                  </w:pPr>
                  <w:r>
                    <w:rPr>
                      <w:rFonts w:cs="Times New Roman"/>
                      <w:color w:val="auto"/>
                      <w:highlight w:val="none"/>
                    </w:rPr>
                    <w:t>检测设备</w:t>
                  </w:r>
                </w:p>
              </w:tc>
              <w:tc>
                <w:tcPr>
                  <w:tcW w:w="950" w:type="pct"/>
                  <w:vAlign w:val="center"/>
                </w:tcPr>
                <w:p w14:paraId="72DE3DB5">
                  <w:pPr>
                    <w:pStyle w:val="13"/>
                    <w:rPr>
                      <w:rFonts w:cs="Times New Roman"/>
                      <w:color w:val="auto"/>
                      <w:highlight w:val="none"/>
                    </w:rPr>
                  </w:pPr>
                  <w:r>
                    <w:rPr>
                      <w:rFonts w:hint="eastAsia" w:cs="Times New Roman"/>
                      <w:color w:val="auto"/>
                      <w:highlight w:val="none"/>
                    </w:rPr>
                    <w:t>/</w:t>
                  </w:r>
                </w:p>
              </w:tc>
              <w:tc>
                <w:tcPr>
                  <w:tcW w:w="448" w:type="pct"/>
                  <w:vAlign w:val="center"/>
                </w:tcPr>
                <w:p w14:paraId="52F2419D">
                  <w:pPr>
                    <w:pStyle w:val="13"/>
                    <w:rPr>
                      <w:rFonts w:cs="Times New Roman"/>
                      <w:color w:val="auto"/>
                      <w:highlight w:val="none"/>
                    </w:rPr>
                  </w:pPr>
                  <w:r>
                    <w:rPr>
                      <w:rFonts w:cs="Times New Roman"/>
                      <w:color w:val="auto"/>
                      <w:highlight w:val="none"/>
                    </w:rPr>
                    <w:t>套</w:t>
                  </w:r>
                </w:p>
              </w:tc>
              <w:tc>
                <w:tcPr>
                  <w:tcW w:w="389" w:type="pct"/>
                  <w:vAlign w:val="center"/>
                </w:tcPr>
                <w:p w14:paraId="32CBFD6D">
                  <w:pPr>
                    <w:pStyle w:val="13"/>
                    <w:rPr>
                      <w:rFonts w:cs="Times New Roman"/>
                      <w:color w:val="auto"/>
                      <w:highlight w:val="none"/>
                    </w:rPr>
                  </w:pPr>
                  <w:r>
                    <w:rPr>
                      <w:rFonts w:cs="Times New Roman"/>
                      <w:color w:val="auto"/>
                      <w:highlight w:val="none"/>
                    </w:rPr>
                    <w:t>1</w:t>
                  </w:r>
                </w:p>
              </w:tc>
              <w:tc>
                <w:tcPr>
                  <w:tcW w:w="1457" w:type="pct"/>
                  <w:vAlign w:val="center"/>
                </w:tcPr>
                <w:p w14:paraId="56C60CD2">
                  <w:pPr>
                    <w:pStyle w:val="13"/>
                    <w:rPr>
                      <w:rFonts w:cs="Times New Roman"/>
                      <w:color w:val="auto"/>
                      <w:highlight w:val="none"/>
                    </w:rPr>
                  </w:pPr>
                  <w:r>
                    <w:rPr>
                      <w:rFonts w:hint="eastAsia" w:cs="Times New Roman"/>
                      <w:color w:val="auto"/>
                      <w:highlight w:val="none"/>
                    </w:rPr>
                    <w:t>/</w:t>
                  </w:r>
                </w:p>
              </w:tc>
            </w:tr>
          </w:tbl>
          <w:p w14:paraId="5E564FC2">
            <w:pPr>
              <w:pStyle w:val="2"/>
              <w:ind w:firstLine="482"/>
              <w:rPr>
                <w:rFonts w:cs="Times New Roman"/>
                <w:color w:val="auto"/>
                <w:highlight w:val="none"/>
              </w:rPr>
            </w:pPr>
            <w:r>
              <w:rPr>
                <w:rFonts w:cs="Times New Roman"/>
                <w:color w:val="auto"/>
                <w:highlight w:val="none"/>
              </w:rPr>
              <w:t>6、公用工程</w:t>
            </w:r>
          </w:p>
          <w:p w14:paraId="303EA65C">
            <w:pPr>
              <w:pStyle w:val="3"/>
              <w:ind w:firstLine="482"/>
              <w:rPr>
                <w:rFonts w:cs="Times New Roman"/>
                <w:color w:val="auto"/>
                <w:highlight w:val="none"/>
              </w:rPr>
            </w:pPr>
            <w:r>
              <w:rPr>
                <w:rFonts w:cs="Times New Roman"/>
                <w:color w:val="auto"/>
                <w:highlight w:val="none"/>
              </w:rPr>
              <w:t>（1）给水</w:t>
            </w:r>
          </w:p>
          <w:p w14:paraId="6E80EBF0">
            <w:pPr>
              <w:ind w:firstLine="480"/>
              <w:rPr>
                <w:rFonts w:cs="Times New Roman"/>
                <w:color w:val="auto"/>
                <w:highlight w:val="none"/>
              </w:rPr>
            </w:pPr>
            <w:r>
              <w:rPr>
                <w:rFonts w:cs="Times New Roman"/>
                <w:color w:val="auto"/>
                <w:highlight w:val="none"/>
              </w:rPr>
              <w:t>项目供水由</w:t>
            </w:r>
            <w:r>
              <w:rPr>
                <w:rFonts w:hint="eastAsia" w:cs="Times New Roman"/>
                <w:color w:val="auto"/>
                <w:highlight w:val="none"/>
              </w:rPr>
              <w:t>酉华镇金峰村金元组</w:t>
            </w:r>
            <w:r>
              <w:rPr>
                <w:rFonts w:cs="Times New Roman"/>
                <w:color w:val="auto"/>
                <w:highlight w:val="none"/>
              </w:rPr>
              <w:t>供水管网供给，项目用水主要为调质用水和生活用水，年用水量共</w:t>
            </w:r>
            <w:r>
              <w:rPr>
                <w:rFonts w:hint="eastAsia" w:cs="Times New Roman"/>
                <w:color w:val="auto"/>
                <w:highlight w:val="none"/>
              </w:rPr>
              <w:t>1010</w:t>
            </w:r>
            <w:r>
              <w:rPr>
                <w:rFonts w:cs="Times New Roman"/>
                <w:color w:val="auto"/>
                <w:highlight w:val="none"/>
              </w:rPr>
              <w:t>t/a。</w:t>
            </w:r>
          </w:p>
          <w:p w14:paraId="62E85231">
            <w:pPr>
              <w:ind w:firstLine="482"/>
              <w:rPr>
                <w:rFonts w:cs="Times New Roman"/>
                <w:b/>
                <w:bCs/>
                <w:color w:val="auto"/>
                <w:highlight w:val="none"/>
              </w:rPr>
            </w:pPr>
            <w:r>
              <w:rPr>
                <w:rFonts w:cs="Times New Roman"/>
                <w:b/>
                <w:bCs/>
                <w:color w:val="auto"/>
                <w:highlight w:val="none"/>
              </w:rPr>
              <w:t>①调质用水</w:t>
            </w:r>
          </w:p>
          <w:p w14:paraId="69103C3A">
            <w:pPr>
              <w:ind w:firstLine="480"/>
              <w:rPr>
                <w:rStyle w:val="12"/>
                <w:color w:val="auto"/>
                <w:highlight w:val="none"/>
              </w:rPr>
            </w:pPr>
            <w:r>
              <w:rPr>
                <w:rFonts w:hint="eastAsia" w:cs="Times New Roman"/>
                <w:color w:val="auto"/>
                <w:highlight w:val="none"/>
                <w:lang w:val="en-US" w:eastAsia="zh-CN"/>
              </w:rPr>
              <w:t>项目调质用水包括进入秸秆的水蒸气和软水制备产生的废水。</w:t>
            </w:r>
            <w:r>
              <w:rPr>
                <w:rFonts w:cs="Times New Roman"/>
                <w:color w:val="auto"/>
                <w:highlight w:val="none"/>
              </w:rPr>
              <w:t>项目所用秸秆主要从周边种植户收购，田地中打捆晒干后的秸秆含水率在15-20%。在粉碎加工及中间仓暂存过程中，受机械摩擦热及环境温度影响，秸秆原料会发生水分自然散失，此时含水率在</w:t>
            </w:r>
            <w:r>
              <w:rPr>
                <w:rFonts w:hint="eastAsia" w:cs="Times New Roman"/>
                <w:color w:val="auto"/>
                <w:highlight w:val="none"/>
              </w:rPr>
              <w:t>12-14</w:t>
            </w:r>
            <w:r>
              <w:rPr>
                <w:rFonts w:cs="Times New Roman"/>
                <w:color w:val="auto"/>
                <w:highlight w:val="none"/>
              </w:rPr>
              <w:t>%左右。</w:t>
            </w:r>
            <w:r>
              <w:rPr>
                <w:rFonts w:hint="eastAsia" w:cs="Times New Roman"/>
                <w:color w:val="auto"/>
                <w:highlight w:val="none"/>
              </w:rPr>
              <w:t>调质时蒸汽进入秸秆，此时含水率达到17-19</w:t>
            </w:r>
            <w:r>
              <w:rPr>
                <w:rFonts w:cs="Times New Roman"/>
                <w:color w:val="auto"/>
                <w:highlight w:val="none"/>
              </w:rPr>
              <w:t>%</w:t>
            </w:r>
            <w:r>
              <w:rPr>
                <w:rFonts w:hint="eastAsia" w:cs="Times New Roman"/>
                <w:color w:val="auto"/>
                <w:highlight w:val="none"/>
              </w:rPr>
              <w:t>；出调质机时因秸秆温度较高，表层水分微微蒸发，此时秸秆含水率为15%-17%，符合制粒工艺要求。</w:t>
            </w:r>
            <w:r>
              <w:rPr>
                <w:rFonts w:cs="Times New Roman"/>
                <w:color w:val="auto"/>
                <w:highlight w:val="none"/>
              </w:rPr>
              <w:t>项目通过</w:t>
            </w:r>
            <w:r>
              <w:rPr>
                <w:rFonts w:hint="eastAsia" w:cs="Times New Roman"/>
                <w:color w:val="auto"/>
                <w:highlight w:val="none"/>
              </w:rPr>
              <w:t>蒸汽</w:t>
            </w:r>
            <w:r>
              <w:rPr>
                <w:rFonts w:cs="Times New Roman"/>
                <w:color w:val="auto"/>
                <w:highlight w:val="none"/>
              </w:rPr>
              <w:t>调质时加水软化纤维，增加秸秆间粘合性。项目调质含水率控制量按</w:t>
            </w:r>
            <w:r>
              <w:rPr>
                <w:rFonts w:hint="eastAsia" w:cs="Times New Roman"/>
                <w:color w:val="auto"/>
                <w:highlight w:val="none"/>
              </w:rPr>
              <w:t>5</w:t>
            </w:r>
            <w:r>
              <w:rPr>
                <w:rFonts w:cs="Times New Roman"/>
                <w:color w:val="auto"/>
                <w:highlight w:val="none"/>
              </w:rPr>
              <w:t>%计，</w:t>
            </w:r>
            <w:r>
              <w:rPr>
                <w:rFonts w:hint="eastAsia" w:cs="Times New Roman"/>
                <w:color w:val="auto"/>
                <w:highlight w:val="none"/>
              </w:rPr>
              <w:t>蒸汽损耗率按75%计，</w:t>
            </w:r>
            <w:r>
              <w:rPr>
                <w:rFonts w:hint="eastAsia" w:cs="Times New Roman"/>
                <w:color w:val="auto"/>
                <w:highlight w:val="none"/>
                <w:lang w:val="en-US" w:eastAsia="zh-CN"/>
              </w:rPr>
              <w:t>软化时废水产生量按5%计，</w:t>
            </w:r>
            <w:r>
              <w:rPr>
                <w:rFonts w:cs="Times New Roman"/>
                <w:color w:val="auto"/>
                <w:highlight w:val="none"/>
              </w:rPr>
              <w:t>则项目调质用水量为</w:t>
            </w:r>
            <w:r>
              <w:rPr>
                <w:rFonts w:hint="eastAsia" w:cs="Times New Roman"/>
                <w:color w:val="auto"/>
                <w:highlight w:val="none"/>
              </w:rPr>
              <w:t>3</w:t>
            </w:r>
            <w:r>
              <w:rPr>
                <w:rFonts w:cs="Times New Roman"/>
                <w:color w:val="auto"/>
                <w:highlight w:val="none"/>
              </w:rPr>
              <w:t>50t/a</w:t>
            </w:r>
            <w:r>
              <w:rPr>
                <w:rFonts w:hint="eastAsia" w:cs="Times New Roman"/>
                <w:color w:val="auto"/>
                <w:highlight w:val="none"/>
              </w:rPr>
              <w:t>（3</w:t>
            </w:r>
            <w:r>
              <w:rPr>
                <w:rFonts w:cs="Times New Roman"/>
                <w:color w:val="auto"/>
                <w:highlight w:val="none"/>
              </w:rPr>
              <w:t>50t/a</w:t>
            </w:r>
            <w:r>
              <w:rPr>
                <w:rFonts w:hint="eastAsia" w:eastAsia="微软雅黑" w:cs="Times New Roman"/>
                <w:color w:val="auto"/>
                <w:highlight w:val="none"/>
                <w:lang w:val="en-US" w:eastAsia="zh-CN"/>
              </w:rPr>
              <w:t>=</w:t>
            </w:r>
            <w:r>
              <w:rPr>
                <w:rFonts w:hint="eastAsia" w:cs="Times New Roman"/>
                <w:color w:val="auto"/>
                <w:highlight w:val="none"/>
              </w:rPr>
              <w:t>5000t/a*5%</w:t>
            </w:r>
            <w:r>
              <w:rPr>
                <w:color w:val="auto"/>
                <w:highlight w:val="none"/>
              </w:rPr>
              <w:t>÷</w:t>
            </w:r>
            <w:r>
              <w:rPr>
                <w:rFonts w:hint="eastAsia" w:cs="Times New Roman"/>
                <w:color w:val="auto"/>
                <w:highlight w:val="none"/>
              </w:rPr>
              <w:t>75%</w:t>
            </w:r>
            <w:r>
              <w:rPr>
                <w:rFonts w:hint="eastAsia" w:cs="Times New Roman"/>
                <w:color w:val="auto"/>
                <w:highlight w:val="none"/>
                <w:lang w:val="en-US" w:eastAsia="zh-CN"/>
              </w:rPr>
              <w:t>*1.05</w:t>
            </w:r>
            <w:r>
              <w:rPr>
                <w:rFonts w:hint="eastAsia" w:cs="Times New Roman"/>
                <w:color w:val="auto"/>
                <w:highlight w:val="none"/>
              </w:rPr>
              <w:t>）</w:t>
            </w:r>
            <w:r>
              <w:rPr>
                <w:rFonts w:cs="Times New Roman"/>
                <w:color w:val="auto"/>
                <w:highlight w:val="none"/>
              </w:rPr>
              <w:t>。</w:t>
            </w:r>
          </w:p>
          <w:p w14:paraId="4F3FEB62">
            <w:pPr>
              <w:ind w:firstLine="480"/>
              <w:rPr>
                <w:rFonts w:cs="Times New Roman"/>
                <w:b/>
                <w:bCs/>
                <w:color w:val="auto"/>
                <w:highlight w:val="none"/>
              </w:rPr>
            </w:pPr>
            <w:r>
              <w:rPr>
                <w:rFonts w:cs="Times New Roman"/>
                <w:b/>
                <w:bCs/>
                <w:color w:val="auto"/>
                <w:highlight w:val="none"/>
              </w:rPr>
              <w:t>②生活用水</w:t>
            </w:r>
          </w:p>
          <w:p w14:paraId="6235EA16">
            <w:pPr>
              <w:ind w:firstLine="480"/>
              <w:rPr>
                <w:rFonts w:cs="Times New Roman"/>
                <w:color w:val="auto"/>
                <w:highlight w:val="none"/>
              </w:rPr>
            </w:pPr>
            <w:r>
              <w:rPr>
                <w:rFonts w:cs="Times New Roman"/>
                <w:color w:val="auto"/>
                <w:highlight w:val="none"/>
              </w:rPr>
              <w:t>项目劳动定员20人，年工作300d，根据《安徽省行业用水定额》（DB34/T 679-2025），职工有食堂的办公生活用水按110L/人·d计，即生活用水量为660t/a（660t/a=20人×300d×110L/人·d）。</w:t>
            </w:r>
          </w:p>
          <w:p w14:paraId="496245E1">
            <w:pPr>
              <w:pStyle w:val="3"/>
              <w:ind w:firstLine="482"/>
              <w:rPr>
                <w:rFonts w:cs="Times New Roman"/>
                <w:color w:val="auto"/>
                <w:highlight w:val="none"/>
              </w:rPr>
            </w:pPr>
            <w:r>
              <w:rPr>
                <w:rFonts w:cs="Times New Roman"/>
                <w:color w:val="auto"/>
                <w:highlight w:val="none"/>
              </w:rPr>
              <w:t>（2）排水</w:t>
            </w:r>
          </w:p>
          <w:p w14:paraId="5A1F9431">
            <w:pPr>
              <w:ind w:firstLine="480"/>
              <w:rPr>
                <w:rFonts w:cs="Times New Roman"/>
                <w:color w:val="auto"/>
                <w:highlight w:val="none"/>
              </w:rPr>
            </w:pPr>
            <w:r>
              <w:rPr>
                <w:rFonts w:cs="Times New Roman"/>
                <w:color w:val="auto"/>
                <w:highlight w:val="none"/>
              </w:rPr>
              <w:t>项目调质用水在后续制粒、冷却过程中部分蒸发损耗，部分进入产品。</w:t>
            </w:r>
            <w:r>
              <w:rPr>
                <w:rFonts w:hint="eastAsia" w:cs="Times New Roman"/>
                <w:color w:val="auto"/>
                <w:highlight w:val="none"/>
                <w:lang w:eastAsia="zh-CN"/>
              </w:rPr>
              <w:t>生活污水经隔油池、化粪池处理达酉华镇污水处理站接管标准后，与调质废水一起纳管排入酉华镇污水处理站处理，达到《城镇污水处理站污染物排放标准》（GB 18918-2002）一级A标准后排入七星河</w:t>
            </w:r>
            <w:r>
              <w:rPr>
                <w:rFonts w:cs="Times New Roman"/>
                <w:color w:val="auto"/>
                <w:highlight w:val="none"/>
              </w:rPr>
              <w:t>。</w:t>
            </w:r>
          </w:p>
          <w:p w14:paraId="25F82DAE">
            <w:pPr>
              <w:ind w:firstLine="482"/>
              <w:rPr>
                <w:rFonts w:hint="eastAsia" w:cs="Times New Roman"/>
                <w:b/>
                <w:bCs/>
                <w:color w:val="auto"/>
                <w:highlight w:val="none"/>
                <w:lang w:val="en-US" w:eastAsia="zh-CN"/>
              </w:rPr>
            </w:pPr>
            <w:r>
              <w:rPr>
                <w:rFonts w:hint="eastAsia" w:cs="Times New Roman"/>
                <w:b/>
                <w:bCs/>
                <w:color w:val="auto"/>
                <w:highlight w:val="none"/>
                <w:lang w:val="en-US" w:eastAsia="zh-CN"/>
              </w:rPr>
              <w:t>调质废水</w:t>
            </w:r>
          </w:p>
          <w:p w14:paraId="1565CDE8">
            <w:pPr>
              <w:bidi w:val="0"/>
              <w:rPr>
                <w:rFonts w:hint="default"/>
                <w:color w:val="auto"/>
                <w:highlight w:val="none"/>
                <w:lang w:val="en-US" w:eastAsia="zh-CN"/>
              </w:rPr>
            </w:pPr>
            <w:r>
              <w:rPr>
                <w:rFonts w:hint="eastAsia"/>
                <w:color w:val="auto"/>
                <w:highlight w:val="none"/>
                <w:lang w:val="en-US" w:eastAsia="zh-CN"/>
              </w:rPr>
              <w:t>调质</w:t>
            </w:r>
            <w:r>
              <w:rPr>
                <w:rFonts w:hint="default"/>
                <w:color w:val="auto"/>
                <w:highlight w:val="none"/>
                <w:lang w:val="en-US" w:eastAsia="zh-CN"/>
              </w:rPr>
              <w:t>用水采用经全自动钠离子交换软水</w:t>
            </w:r>
            <w:r>
              <w:rPr>
                <w:rFonts w:hint="eastAsia"/>
                <w:color w:val="auto"/>
                <w:highlight w:val="none"/>
                <w:lang w:val="en-US" w:eastAsia="zh-CN"/>
              </w:rPr>
              <w:t>机</w:t>
            </w:r>
            <w:r>
              <w:rPr>
                <w:rFonts w:hint="default"/>
                <w:color w:val="auto"/>
                <w:highlight w:val="none"/>
                <w:lang w:val="en-US" w:eastAsia="zh-CN"/>
              </w:rPr>
              <w:t>软化处理后</w:t>
            </w:r>
            <w:r>
              <w:rPr>
                <w:rFonts w:hint="eastAsia"/>
                <w:color w:val="auto"/>
                <w:highlight w:val="none"/>
                <w:lang w:val="en-US" w:eastAsia="zh-CN"/>
              </w:rPr>
              <w:t>的</w:t>
            </w:r>
            <w:r>
              <w:rPr>
                <w:rFonts w:hint="default"/>
                <w:color w:val="auto"/>
                <w:highlight w:val="none"/>
                <w:lang w:val="en-US" w:eastAsia="zh-CN"/>
              </w:rPr>
              <w:t>自来水，软水</w:t>
            </w:r>
            <w:r>
              <w:rPr>
                <w:rFonts w:hint="eastAsia"/>
                <w:color w:val="auto"/>
                <w:highlight w:val="none"/>
                <w:lang w:val="en-US" w:eastAsia="zh-CN"/>
              </w:rPr>
              <w:t>机制备软水时会产生5%的废水，即调质废水产生量为17.5t/a</w:t>
            </w:r>
            <w:r>
              <w:rPr>
                <w:rFonts w:hint="default"/>
                <w:color w:val="auto"/>
                <w:highlight w:val="none"/>
                <w:lang w:val="en-US" w:eastAsia="zh-CN"/>
              </w:rPr>
              <w:t>。</w:t>
            </w:r>
          </w:p>
          <w:p w14:paraId="0884F246">
            <w:pPr>
              <w:ind w:firstLine="482"/>
              <w:rPr>
                <w:rFonts w:cs="Times New Roman"/>
                <w:b/>
                <w:bCs/>
                <w:color w:val="auto"/>
                <w:highlight w:val="none"/>
              </w:rPr>
            </w:pPr>
            <w:r>
              <w:rPr>
                <w:rFonts w:cs="Times New Roman"/>
                <w:b/>
                <w:bCs/>
                <w:color w:val="auto"/>
                <w:highlight w:val="none"/>
              </w:rPr>
              <w:t>生活污水</w:t>
            </w:r>
          </w:p>
          <w:p w14:paraId="6F4F0C11">
            <w:pPr>
              <w:ind w:firstLine="480"/>
              <w:rPr>
                <w:rFonts w:cs="Times New Roman"/>
                <w:color w:val="auto"/>
                <w:highlight w:val="none"/>
              </w:rPr>
            </w:pPr>
            <w:r>
              <w:rPr>
                <w:rFonts w:cs="Times New Roman"/>
                <w:color w:val="auto"/>
                <w:highlight w:val="none"/>
              </w:rPr>
              <w:t>本项目生活污水产生系数按0.8计，即生活污水量为528t/a（528t/a=66t/a×80%）。</w:t>
            </w:r>
          </w:p>
          <w:p w14:paraId="468EE18F">
            <w:pPr>
              <w:pStyle w:val="13"/>
              <w:rPr>
                <w:rFonts w:cs="Times New Roman"/>
                <w:color w:val="auto"/>
                <w:highlight w:val="none"/>
              </w:rPr>
            </w:pPr>
            <w:r>
              <w:rPr>
                <w:color w:val="auto"/>
                <w:highlight w:val="none"/>
              </w:rPr>
              <w:drawing>
                <wp:inline distT="0" distB="0" distL="114300" distR="114300">
                  <wp:extent cx="5127625" cy="2520315"/>
                  <wp:effectExtent l="0" t="0" r="15875" b="13335"/>
                  <wp:docPr id="3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
                          <pic:cNvPicPr>
                            <a:picLocks noChangeAspect="1"/>
                          </pic:cNvPicPr>
                        </pic:nvPicPr>
                        <pic:blipFill>
                          <a:blip r:embed="rId24"/>
                          <a:stretch>
                            <a:fillRect/>
                          </a:stretch>
                        </pic:blipFill>
                        <pic:spPr>
                          <a:xfrm>
                            <a:off x="0" y="0"/>
                            <a:ext cx="5127625" cy="2520315"/>
                          </a:xfrm>
                          <a:prstGeom prst="rect">
                            <a:avLst/>
                          </a:prstGeom>
                          <a:noFill/>
                          <a:ln>
                            <a:noFill/>
                          </a:ln>
                        </pic:spPr>
                      </pic:pic>
                    </a:graphicData>
                  </a:graphic>
                </wp:inline>
              </w:drawing>
            </w:r>
          </w:p>
          <w:p w14:paraId="72700EAD">
            <w:pPr>
              <w:pStyle w:val="15"/>
              <w:spacing w:after="156"/>
              <w:rPr>
                <w:rFonts w:cs="Times New Roman"/>
                <w:color w:val="auto"/>
                <w:highlight w:val="none"/>
              </w:rPr>
            </w:pPr>
            <w:r>
              <w:rPr>
                <w:rFonts w:cs="Times New Roman"/>
                <w:color w:val="auto"/>
                <w:highlight w:val="none"/>
              </w:rPr>
              <w:t>图2-</w:t>
            </w:r>
            <w:r>
              <w:rPr>
                <w:rFonts w:hint="eastAsia" w:cs="Times New Roman"/>
                <w:color w:val="auto"/>
                <w:highlight w:val="none"/>
                <w:lang w:val="en-US" w:eastAsia="zh-CN"/>
              </w:rPr>
              <w:t>1</w:t>
            </w:r>
            <w:r>
              <w:rPr>
                <w:rFonts w:cs="Times New Roman"/>
                <w:color w:val="auto"/>
                <w:highlight w:val="none"/>
              </w:rPr>
              <w:t xml:space="preserve">  项目水平衡图</w:t>
            </w:r>
          </w:p>
          <w:p w14:paraId="4FEFF9FC">
            <w:pPr>
              <w:pStyle w:val="3"/>
              <w:ind w:firstLine="482"/>
              <w:rPr>
                <w:rFonts w:cs="Times New Roman"/>
                <w:color w:val="auto"/>
                <w:highlight w:val="none"/>
              </w:rPr>
            </w:pPr>
            <w:r>
              <w:rPr>
                <w:rFonts w:cs="Times New Roman"/>
                <w:color w:val="auto"/>
                <w:highlight w:val="none"/>
              </w:rPr>
              <w:t>（3）总定员人数及工作制度</w:t>
            </w:r>
          </w:p>
          <w:p w14:paraId="44560B31">
            <w:pPr>
              <w:ind w:firstLine="480"/>
              <w:rPr>
                <w:rFonts w:cs="Times New Roman"/>
                <w:color w:val="auto"/>
                <w:highlight w:val="none"/>
              </w:rPr>
            </w:pPr>
            <w:r>
              <w:rPr>
                <w:rFonts w:cs="Times New Roman"/>
                <w:color w:val="auto"/>
                <w:highlight w:val="none"/>
              </w:rPr>
              <w:t>劳动定员：项目一期劳动定员15人，二期劳动定员5人，共20人。</w:t>
            </w:r>
          </w:p>
          <w:p w14:paraId="33F83E0E">
            <w:pPr>
              <w:ind w:firstLine="480"/>
              <w:rPr>
                <w:rStyle w:val="12"/>
                <w:color w:val="auto"/>
                <w:highlight w:val="none"/>
              </w:rPr>
            </w:pPr>
            <w:r>
              <w:rPr>
                <w:rFonts w:cs="Times New Roman"/>
                <w:color w:val="auto"/>
                <w:highlight w:val="none"/>
              </w:rPr>
              <w:t>工作制度：</w:t>
            </w:r>
            <w:r>
              <w:rPr>
                <w:rFonts w:hint="eastAsia" w:cs="Times New Roman"/>
                <w:color w:val="auto"/>
                <w:highlight w:val="none"/>
              </w:rPr>
              <w:t>秸秆饲料生产线</w:t>
            </w:r>
            <w:r>
              <w:rPr>
                <w:rFonts w:cs="Times New Roman"/>
                <w:color w:val="auto"/>
                <w:highlight w:val="none"/>
              </w:rPr>
              <w:t>年工作300天，实行1班、每班8小时工作制，年工作2400小时</w:t>
            </w:r>
            <w:r>
              <w:rPr>
                <w:rFonts w:hint="eastAsia" w:cs="Times New Roman"/>
                <w:color w:val="auto"/>
                <w:highlight w:val="none"/>
              </w:rPr>
              <w:t>；饲料颗粒生产线</w:t>
            </w:r>
            <w:r>
              <w:rPr>
                <w:rFonts w:hint="eastAsia" w:cs="Times New Roman"/>
                <w:color w:val="auto"/>
                <w:highlight w:val="none"/>
                <w:lang w:eastAsia="zh-CN"/>
              </w:rPr>
              <w:t>配料机、混合机、制粒机、冷却分级筛、颗粒打包机</w:t>
            </w:r>
            <w:r>
              <w:rPr>
                <w:rFonts w:cs="Times New Roman"/>
                <w:color w:val="auto"/>
                <w:highlight w:val="none"/>
              </w:rPr>
              <w:t>年工作</w:t>
            </w:r>
            <w:r>
              <w:rPr>
                <w:rFonts w:hint="eastAsia" w:cs="Times New Roman"/>
                <w:color w:val="auto"/>
                <w:highlight w:val="none"/>
              </w:rPr>
              <w:t>3</w:t>
            </w:r>
            <w:r>
              <w:rPr>
                <w:rFonts w:cs="Times New Roman"/>
                <w:color w:val="auto"/>
                <w:highlight w:val="none"/>
              </w:rPr>
              <w:t>0天，实行1班、每班</w:t>
            </w:r>
            <w:r>
              <w:rPr>
                <w:rFonts w:hint="eastAsia" w:cs="Times New Roman"/>
                <w:color w:val="auto"/>
                <w:highlight w:val="none"/>
                <w:lang w:val="en-US" w:eastAsia="zh-CN"/>
              </w:rPr>
              <w:t>8</w:t>
            </w:r>
            <w:r>
              <w:rPr>
                <w:rFonts w:cs="Times New Roman"/>
                <w:color w:val="auto"/>
                <w:highlight w:val="none"/>
              </w:rPr>
              <w:t>小时工作制，年工作</w:t>
            </w:r>
            <w:r>
              <w:rPr>
                <w:rFonts w:hint="eastAsia" w:cs="Times New Roman"/>
                <w:color w:val="auto"/>
                <w:highlight w:val="none"/>
                <w:lang w:val="en-US" w:eastAsia="zh-CN"/>
              </w:rPr>
              <w:t>2400</w:t>
            </w:r>
            <w:r>
              <w:rPr>
                <w:rFonts w:cs="Times New Roman"/>
                <w:color w:val="auto"/>
                <w:highlight w:val="none"/>
              </w:rPr>
              <w:t>小时</w:t>
            </w:r>
            <w:r>
              <w:rPr>
                <w:rFonts w:hint="eastAsia" w:cs="Times New Roman"/>
                <w:color w:val="auto"/>
                <w:highlight w:val="none"/>
                <w:lang w:eastAsia="zh-CN"/>
              </w:rPr>
              <w:t>；</w:t>
            </w:r>
            <w:r>
              <w:rPr>
                <w:rFonts w:hint="eastAsia" w:cs="Times New Roman"/>
                <w:color w:val="auto"/>
                <w:highlight w:val="none"/>
              </w:rPr>
              <w:t>饲料颗粒生产线</w:t>
            </w:r>
            <w:r>
              <w:rPr>
                <w:rFonts w:hint="eastAsia" w:cs="Times New Roman"/>
                <w:color w:val="auto"/>
                <w:highlight w:val="none"/>
                <w:lang w:eastAsia="zh-CN"/>
              </w:rPr>
              <w:t>调质机、</w:t>
            </w:r>
            <w:r>
              <w:rPr>
                <w:rFonts w:hint="eastAsia" w:cs="Times New Roman"/>
                <w:color w:val="auto"/>
                <w:highlight w:val="none"/>
                <w:lang w:val="en-US" w:eastAsia="zh-CN"/>
              </w:rPr>
              <w:t>蒸汽锅炉每10天工作1次</w:t>
            </w:r>
            <w:r>
              <w:rPr>
                <w:rFonts w:cs="Times New Roman"/>
                <w:color w:val="auto"/>
                <w:highlight w:val="none"/>
              </w:rPr>
              <w:t>，</w:t>
            </w:r>
            <w:r>
              <w:rPr>
                <w:rFonts w:hint="eastAsia" w:cs="Times New Roman"/>
                <w:color w:val="auto"/>
                <w:highlight w:val="none"/>
                <w:lang w:val="en-US" w:eastAsia="zh-CN"/>
              </w:rPr>
              <w:t>每次工作4..5</w:t>
            </w:r>
            <w:r>
              <w:rPr>
                <w:rFonts w:cs="Times New Roman"/>
                <w:color w:val="auto"/>
                <w:highlight w:val="none"/>
              </w:rPr>
              <w:t>小时，年工作</w:t>
            </w:r>
            <w:r>
              <w:rPr>
                <w:rFonts w:hint="eastAsia" w:cs="Times New Roman"/>
                <w:color w:val="auto"/>
                <w:highlight w:val="none"/>
              </w:rPr>
              <w:t>135</w:t>
            </w:r>
            <w:r>
              <w:rPr>
                <w:rFonts w:cs="Times New Roman"/>
                <w:color w:val="auto"/>
                <w:highlight w:val="none"/>
              </w:rPr>
              <w:t>小时。</w:t>
            </w:r>
          </w:p>
          <w:p w14:paraId="46F2E0A8">
            <w:pPr>
              <w:pStyle w:val="14"/>
              <w:spacing w:before="156"/>
              <w:rPr>
                <w:rFonts w:hint="default" w:ascii="Times New Roman" w:hAnsi="Times New Roman" w:cs="Times New Roman"/>
                <w:color w:val="auto"/>
                <w:highlight w:val="none"/>
              </w:rPr>
            </w:pPr>
            <w:r>
              <w:rPr>
                <w:rFonts w:hint="default" w:ascii="Times New Roman" w:hAnsi="Times New Roman" w:cs="Times New Roman"/>
                <w:color w:val="auto"/>
                <w:highlight w:val="none"/>
              </w:rPr>
              <w:t>表2-</w:t>
            </w:r>
            <w:r>
              <w:rPr>
                <w:rFonts w:hint="eastAsia" w:cs="Times New Roman"/>
                <w:color w:val="auto"/>
                <w:highlight w:val="none"/>
                <w:lang w:val="en-US" w:eastAsia="zh-CN"/>
              </w:rPr>
              <w:t>9</w:t>
            </w:r>
            <w:r>
              <w:rPr>
                <w:rFonts w:hint="default" w:ascii="Times New Roman" w:hAnsi="Times New Roman" w:cs="Times New Roman"/>
                <w:color w:val="auto"/>
                <w:highlight w:val="none"/>
              </w:rPr>
              <w:t xml:space="preserve">  项目各工序工作时长一览表</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78"/>
              <w:gridCol w:w="5029"/>
              <w:gridCol w:w="2050"/>
            </w:tblGrid>
            <w:tr w14:paraId="6F658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3842" w:type="pct"/>
                  <w:gridSpan w:val="2"/>
                  <w:vAlign w:val="center"/>
                </w:tcPr>
                <w:p w14:paraId="6EA15735">
                  <w:pPr>
                    <w:pStyle w:val="13"/>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工艺/工序</w:t>
                  </w:r>
                </w:p>
              </w:tc>
              <w:tc>
                <w:tcPr>
                  <w:tcW w:w="1157" w:type="pct"/>
                  <w:vAlign w:val="center"/>
                </w:tcPr>
                <w:p w14:paraId="3E9B85B7">
                  <w:pPr>
                    <w:pStyle w:val="13"/>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年累积工作时间h/a</w:t>
                  </w:r>
                </w:p>
              </w:tc>
            </w:tr>
            <w:tr w14:paraId="4DB63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003" w:type="pct"/>
                  <w:vMerge w:val="restart"/>
                  <w:vAlign w:val="center"/>
                </w:tcPr>
                <w:p w14:paraId="2434DB73">
                  <w:pPr>
                    <w:pStyle w:val="13"/>
                    <w:rPr>
                      <w:rFonts w:hint="default" w:ascii="Times New Roman" w:hAnsi="Times New Roman" w:cs="Times New Roman"/>
                      <w:color w:val="auto"/>
                      <w:highlight w:val="none"/>
                    </w:rPr>
                  </w:pPr>
                  <w:r>
                    <w:rPr>
                      <w:rFonts w:hint="default" w:ascii="Times New Roman" w:hAnsi="Times New Roman" w:cs="Times New Roman"/>
                      <w:color w:val="auto"/>
                      <w:highlight w:val="none"/>
                    </w:rPr>
                    <w:t>秸秆饲料生产线</w:t>
                  </w:r>
                </w:p>
              </w:tc>
              <w:tc>
                <w:tcPr>
                  <w:tcW w:w="2839" w:type="pct"/>
                  <w:vAlign w:val="center"/>
                </w:tcPr>
                <w:p w14:paraId="0E46FD3E">
                  <w:pPr>
                    <w:pStyle w:val="13"/>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筛分、磁选、破碎、打包</w:t>
                  </w:r>
                </w:p>
              </w:tc>
              <w:tc>
                <w:tcPr>
                  <w:tcW w:w="1157" w:type="pct"/>
                  <w:vAlign w:val="center"/>
                </w:tcPr>
                <w:p w14:paraId="56E731E1">
                  <w:pPr>
                    <w:pStyle w:val="13"/>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2400</w:t>
                  </w:r>
                </w:p>
              </w:tc>
            </w:tr>
            <w:tr w14:paraId="6BE42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003" w:type="pct"/>
                  <w:vMerge w:val="restart"/>
                  <w:vAlign w:val="center"/>
                </w:tcPr>
                <w:p w14:paraId="14C3754F">
                  <w:pPr>
                    <w:pStyle w:val="13"/>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饲料颗粒</w:t>
                  </w:r>
                  <w:r>
                    <w:rPr>
                      <w:rFonts w:hint="default" w:ascii="Times New Roman" w:hAnsi="Times New Roman" w:cs="Times New Roman"/>
                      <w:color w:val="auto"/>
                      <w:highlight w:val="none"/>
                    </w:rPr>
                    <w:t>生产线</w:t>
                  </w:r>
                </w:p>
              </w:tc>
              <w:tc>
                <w:tcPr>
                  <w:tcW w:w="2839" w:type="pct"/>
                  <w:vAlign w:val="center"/>
                </w:tcPr>
                <w:p w14:paraId="1F7EED02">
                  <w:pPr>
                    <w:pStyle w:val="13"/>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配料、混合、制粒、冷却筛分、检验、打包</w:t>
                  </w:r>
                </w:p>
              </w:tc>
              <w:tc>
                <w:tcPr>
                  <w:tcW w:w="1157" w:type="pct"/>
                  <w:vAlign w:val="center"/>
                </w:tcPr>
                <w:p w14:paraId="75ABC9E5">
                  <w:pPr>
                    <w:pStyle w:val="13"/>
                    <w:rPr>
                      <w:rFonts w:hint="default" w:ascii="Times New Roman" w:hAnsi="Times New Roman" w:cs="Times New Roman"/>
                      <w:color w:val="auto"/>
                      <w:highlight w:val="none"/>
                    </w:rPr>
                  </w:pPr>
                  <w:r>
                    <w:rPr>
                      <w:rFonts w:hint="default" w:ascii="Times New Roman" w:hAnsi="Times New Roman" w:cs="Times New Roman"/>
                      <w:color w:val="auto"/>
                      <w:highlight w:val="none"/>
                    </w:rPr>
                    <w:t>2400</w:t>
                  </w:r>
                </w:p>
              </w:tc>
            </w:tr>
            <w:tr w14:paraId="0496C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003" w:type="pct"/>
                  <w:vMerge w:val="continue"/>
                  <w:vAlign w:val="center"/>
                </w:tcPr>
                <w:p w14:paraId="58699FA7">
                  <w:pPr>
                    <w:pStyle w:val="13"/>
                    <w:rPr>
                      <w:rFonts w:hint="default" w:ascii="Times New Roman" w:hAnsi="Times New Roman" w:cs="Times New Roman"/>
                      <w:color w:val="auto"/>
                      <w:highlight w:val="none"/>
                    </w:rPr>
                  </w:pPr>
                </w:p>
              </w:tc>
              <w:tc>
                <w:tcPr>
                  <w:tcW w:w="2839" w:type="pct"/>
                  <w:vAlign w:val="center"/>
                </w:tcPr>
                <w:p w14:paraId="671EC0A7">
                  <w:pPr>
                    <w:pStyle w:val="13"/>
                    <w:rPr>
                      <w:rFonts w:hint="eastAsia" w:ascii="Times New Roman" w:hAnsi="Times New Roman" w:eastAsia="宋体" w:cs="Times New Roman"/>
                      <w:color w:val="auto"/>
                      <w:highlight w:val="none"/>
                      <w:lang w:eastAsia="zh-CN"/>
                    </w:rPr>
                  </w:pPr>
                  <w:r>
                    <w:rPr>
                      <w:rFonts w:hint="eastAsia" w:ascii="Times New Roman" w:hAnsi="Times New Roman" w:cs="Times New Roman"/>
                      <w:color w:val="auto"/>
                      <w:highlight w:val="none"/>
                      <w:lang w:val="en-US" w:eastAsia="zh-CN"/>
                    </w:rPr>
                    <w:t>调质</w:t>
                  </w:r>
                </w:p>
              </w:tc>
              <w:tc>
                <w:tcPr>
                  <w:tcW w:w="1157" w:type="pct"/>
                  <w:vAlign w:val="center"/>
                </w:tcPr>
                <w:p w14:paraId="21D1B198">
                  <w:pPr>
                    <w:pStyle w:val="13"/>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lang w:val="en-US" w:eastAsia="zh-CN"/>
                    </w:rPr>
                    <w:t>35</w:t>
                  </w:r>
                </w:p>
              </w:tc>
            </w:tr>
          </w:tbl>
          <w:p w14:paraId="55715E1A">
            <w:pPr>
              <w:pStyle w:val="3"/>
              <w:ind w:firstLine="482"/>
              <w:rPr>
                <w:rFonts w:cs="Times New Roman"/>
                <w:color w:val="auto"/>
                <w:highlight w:val="none"/>
              </w:rPr>
            </w:pPr>
            <w:r>
              <w:rPr>
                <w:rFonts w:cs="Times New Roman"/>
                <w:color w:val="auto"/>
                <w:highlight w:val="none"/>
              </w:rPr>
              <w:t>（4）平面布置</w:t>
            </w:r>
          </w:p>
          <w:p w14:paraId="79949CF4">
            <w:pPr>
              <w:ind w:firstLine="480"/>
              <w:rPr>
                <w:rFonts w:cs="Times New Roman"/>
                <w:color w:val="auto"/>
                <w:highlight w:val="none"/>
              </w:rPr>
            </w:pPr>
            <w:r>
              <w:rPr>
                <w:rFonts w:cs="Times New Roman"/>
                <w:color w:val="auto"/>
                <w:highlight w:val="none"/>
              </w:rPr>
              <w:t>本项目厂区呈不规则多边形，总平面布局结合生产工艺流程、物料流向及环保要求进行分区规划，主要分为</w:t>
            </w:r>
            <w:r>
              <w:rPr>
                <w:rFonts w:hint="eastAsia" w:cs="Times New Roman"/>
                <w:color w:val="auto"/>
                <w:highlight w:val="none"/>
              </w:rPr>
              <w:t>原料仓库</w:t>
            </w:r>
            <w:r>
              <w:rPr>
                <w:rFonts w:cs="Times New Roman"/>
                <w:color w:val="auto"/>
                <w:highlight w:val="none"/>
              </w:rPr>
              <w:t>、</w:t>
            </w:r>
            <w:r>
              <w:rPr>
                <w:rFonts w:hint="eastAsia" w:cs="Times New Roman"/>
                <w:color w:val="auto"/>
                <w:highlight w:val="none"/>
              </w:rPr>
              <w:t>加工车间</w:t>
            </w:r>
            <w:r>
              <w:rPr>
                <w:rFonts w:cs="Times New Roman"/>
                <w:color w:val="auto"/>
                <w:highlight w:val="none"/>
              </w:rPr>
              <w:t>、</w:t>
            </w:r>
            <w:r>
              <w:rPr>
                <w:rFonts w:hint="eastAsia" w:cs="Times New Roman"/>
                <w:color w:val="auto"/>
                <w:highlight w:val="none"/>
              </w:rPr>
              <w:t>成品仓库、研发办公楼和</w:t>
            </w:r>
            <w:r>
              <w:rPr>
                <w:rFonts w:cs="Times New Roman"/>
                <w:color w:val="auto"/>
                <w:highlight w:val="none"/>
              </w:rPr>
              <w:t>辅助</w:t>
            </w:r>
            <w:r>
              <w:rPr>
                <w:rFonts w:hint="eastAsia" w:cs="Times New Roman"/>
                <w:color w:val="auto"/>
                <w:highlight w:val="none"/>
              </w:rPr>
              <w:t>设施等</w:t>
            </w:r>
            <w:r>
              <w:rPr>
                <w:rFonts w:cs="Times New Roman"/>
                <w:color w:val="auto"/>
                <w:highlight w:val="none"/>
              </w:rPr>
              <w:t>，各功能区相对独立又有机衔接，满足生产运营与环境管理需求。</w:t>
            </w:r>
          </w:p>
          <w:p w14:paraId="06F46464">
            <w:pPr>
              <w:ind w:firstLine="480"/>
              <w:rPr>
                <w:rFonts w:cs="Times New Roman"/>
                <w:color w:val="auto"/>
                <w:highlight w:val="none"/>
              </w:rPr>
            </w:pPr>
            <w:r>
              <w:rPr>
                <w:rFonts w:cs="Times New Roman"/>
                <w:color w:val="auto"/>
                <w:highlight w:val="none"/>
              </w:rPr>
              <w:t>门卫室及磅房位于厂区西南角</w:t>
            </w:r>
            <w:r>
              <w:rPr>
                <w:rFonts w:hint="eastAsia" w:cs="Times New Roman"/>
                <w:color w:val="auto"/>
                <w:highlight w:val="none"/>
              </w:rPr>
              <w:t>，原料仓库</w:t>
            </w:r>
            <w:r>
              <w:rPr>
                <w:rFonts w:cs="Times New Roman"/>
                <w:color w:val="auto"/>
                <w:highlight w:val="none"/>
              </w:rPr>
              <w:t>位于西南部</w:t>
            </w:r>
            <w:r>
              <w:rPr>
                <w:rFonts w:hint="eastAsia" w:cs="Times New Roman"/>
                <w:color w:val="auto"/>
                <w:highlight w:val="none"/>
              </w:rPr>
              <w:t>，便于原料的进厂运输；加工车间紧靠原料仓库沿</w:t>
            </w:r>
            <w:r>
              <w:rPr>
                <w:rFonts w:cs="Times New Roman"/>
                <w:color w:val="auto"/>
                <w:highlight w:val="none"/>
              </w:rPr>
              <w:t>东</w:t>
            </w:r>
            <w:r>
              <w:rPr>
                <w:rFonts w:hint="eastAsia" w:cs="Times New Roman"/>
                <w:color w:val="auto"/>
                <w:highlight w:val="none"/>
              </w:rPr>
              <w:t>北方向布置，便于原料生产调用；成品仓库位于厂区</w:t>
            </w:r>
            <w:r>
              <w:rPr>
                <w:rFonts w:cs="Times New Roman"/>
                <w:color w:val="auto"/>
                <w:highlight w:val="none"/>
              </w:rPr>
              <w:t>东北角</w:t>
            </w:r>
            <w:r>
              <w:rPr>
                <w:rFonts w:hint="eastAsia" w:cs="Times New Roman"/>
                <w:color w:val="auto"/>
                <w:highlight w:val="none"/>
              </w:rPr>
              <w:t>，整个项目</w:t>
            </w:r>
            <w:r>
              <w:rPr>
                <w:rFonts w:cs="Times New Roman"/>
                <w:color w:val="auto"/>
                <w:highlight w:val="none"/>
              </w:rPr>
              <w:t>物料流转顺畅</w:t>
            </w:r>
            <w:r>
              <w:rPr>
                <w:rFonts w:hint="eastAsia" w:cs="Times New Roman"/>
                <w:color w:val="auto"/>
                <w:highlight w:val="none"/>
              </w:rPr>
              <w:t>。</w:t>
            </w:r>
            <w:r>
              <w:rPr>
                <w:rFonts w:cs="Times New Roman"/>
                <w:color w:val="auto"/>
                <w:highlight w:val="none"/>
              </w:rPr>
              <w:t>变电房、备件及材料库、固废库及危废库</w:t>
            </w:r>
            <w:r>
              <w:rPr>
                <w:rFonts w:hint="eastAsia" w:cs="Times New Roman"/>
                <w:color w:val="auto"/>
                <w:highlight w:val="none"/>
              </w:rPr>
              <w:t>与</w:t>
            </w:r>
            <w:r>
              <w:rPr>
                <w:rFonts w:cs="Times New Roman"/>
                <w:color w:val="auto"/>
                <w:highlight w:val="none"/>
              </w:rPr>
              <w:t>研发办公楼</w:t>
            </w:r>
            <w:r>
              <w:rPr>
                <w:rFonts w:hint="eastAsia" w:cs="Times New Roman"/>
                <w:color w:val="auto"/>
                <w:highlight w:val="none"/>
              </w:rPr>
              <w:t>临近加工车间，便于支撑生产和研发；宿舍位于厂区西北角，与生产区保持有效隔离。项目厂区整体布局</w:t>
            </w:r>
            <w:r>
              <w:rPr>
                <w:rFonts w:cs="Times New Roman"/>
                <w:color w:val="auto"/>
                <w:highlight w:val="none"/>
              </w:rPr>
              <w:t>兼顾了生产效率、物流组织与环境防护需求</w:t>
            </w:r>
            <w:r>
              <w:rPr>
                <w:rFonts w:hint="eastAsia" w:cs="Times New Roman"/>
                <w:color w:val="auto"/>
                <w:highlight w:val="none"/>
              </w:rPr>
              <w:t>。</w:t>
            </w:r>
          </w:p>
          <w:p w14:paraId="22C6F402">
            <w:pPr>
              <w:ind w:firstLine="480"/>
              <w:rPr>
                <w:rFonts w:cs="Times New Roman"/>
                <w:color w:val="auto"/>
                <w:highlight w:val="none"/>
              </w:rPr>
            </w:pPr>
            <w:r>
              <w:rPr>
                <w:rFonts w:hint="eastAsia" w:cs="Times New Roman"/>
                <w:color w:val="auto"/>
                <w:highlight w:val="none"/>
              </w:rPr>
              <w:t>加工车间内西北到东南分为两个生产区域，西北区域的清理筛、磁选机、秸秆粉碎机和打包机沿线布置，组成一条秸秆饲料生产线；东南区域的中间仓、配料机、混合机、缓冲仓、调质机、冷却仓、制粒机、冷却分级筛、颗粒打包机沿线布置，组成两条饲料颗粒生产线；除尘器和蒸汽锅炉沿北侧车间布置。加工车间功能分区清晰，，</w:t>
            </w:r>
            <w:r>
              <w:rPr>
                <w:rFonts w:ascii="宋体" w:hAnsi="宋体" w:cs="宋体"/>
                <w:color w:val="auto"/>
                <w:szCs w:val="24"/>
                <w:highlight w:val="none"/>
              </w:rPr>
              <w:t>工艺流程顺畅，物流路径短</w:t>
            </w:r>
            <w:r>
              <w:rPr>
                <w:rFonts w:hint="eastAsia" w:ascii="宋体" w:hAnsi="宋体" w:cs="宋体"/>
                <w:color w:val="auto"/>
                <w:szCs w:val="24"/>
                <w:highlight w:val="none"/>
              </w:rPr>
              <w:t>，平面布置合理。</w:t>
            </w:r>
          </w:p>
          <w:p w14:paraId="67FAFD4F">
            <w:pPr>
              <w:ind w:firstLine="480"/>
              <w:rPr>
                <w:rFonts w:hint="eastAsia" w:cs="Times New Roman"/>
                <w:color w:val="auto"/>
                <w:highlight w:val="none"/>
              </w:rPr>
            </w:pPr>
            <w:r>
              <w:rPr>
                <w:rFonts w:cs="Times New Roman"/>
                <w:color w:val="auto"/>
                <w:highlight w:val="none"/>
              </w:rPr>
              <w:t>总体来说，</w:t>
            </w:r>
            <w:r>
              <w:rPr>
                <w:rFonts w:hint="eastAsia" w:cs="Times New Roman"/>
                <w:color w:val="auto"/>
                <w:highlight w:val="none"/>
              </w:rPr>
              <w:t>本项目总平面布置科学合理，功能分区清晰明确，人流、物流组织顺畅有序，交通便捷，空间利用高效有序。生产区与办公生活区实现有效分离，供电、供水等公用工程线路简捷顺畅。加工车间内部平面布置符合饲料生产行业“处理-制粒-打包”的工艺特点，平面布置满足生产工艺、安全生产及环保管控要求。</w:t>
            </w:r>
          </w:p>
          <w:p w14:paraId="3178198D">
            <w:pPr>
              <w:ind w:firstLine="480"/>
              <w:rPr>
                <w:rFonts w:hint="eastAsia" w:cs="Times New Roman"/>
                <w:color w:val="auto"/>
                <w:highlight w:val="none"/>
              </w:rPr>
            </w:pPr>
          </w:p>
          <w:p w14:paraId="022BC727">
            <w:pPr>
              <w:ind w:firstLine="480"/>
              <w:rPr>
                <w:rFonts w:hint="eastAsia" w:cs="Times New Roman"/>
                <w:color w:val="auto"/>
                <w:highlight w:val="none"/>
              </w:rPr>
            </w:pPr>
          </w:p>
          <w:p w14:paraId="3D86F201">
            <w:pPr>
              <w:ind w:firstLine="480"/>
              <w:rPr>
                <w:rFonts w:hint="eastAsia" w:cs="Times New Roman"/>
                <w:color w:val="auto"/>
                <w:highlight w:val="none"/>
              </w:rPr>
            </w:pPr>
          </w:p>
          <w:p w14:paraId="3451E271">
            <w:pPr>
              <w:ind w:firstLine="480"/>
              <w:rPr>
                <w:rFonts w:hint="eastAsia" w:cs="Times New Roman"/>
                <w:color w:val="auto"/>
                <w:highlight w:val="none"/>
              </w:rPr>
            </w:pPr>
          </w:p>
        </w:tc>
      </w:tr>
      <w:tr w14:paraId="35466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35" w:type="pct"/>
            <w:vMerge w:val="restart"/>
          </w:tcPr>
          <w:p w14:paraId="5991CDCC">
            <w:pPr>
              <w:pStyle w:val="13"/>
              <w:spacing w:line="360" w:lineRule="auto"/>
              <w:rPr>
                <w:rFonts w:cs="Times New Roman"/>
                <w:color w:val="auto"/>
                <w:highlight w:val="none"/>
              </w:rPr>
            </w:pPr>
            <w:r>
              <w:rPr>
                <w:rFonts w:cs="Times New Roman"/>
                <w:b/>
                <w:bCs/>
                <w:color w:val="auto"/>
                <w:sz w:val="24"/>
                <w:szCs w:val="24"/>
                <w:highlight w:val="none"/>
              </w:rPr>
              <w:t>工艺流程和产排污环节</w:t>
            </w:r>
          </w:p>
        </w:tc>
        <w:tc>
          <w:tcPr>
            <w:tcW w:w="4664" w:type="pct"/>
          </w:tcPr>
          <w:p w14:paraId="4991004C">
            <w:pPr>
              <w:pStyle w:val="2"/>
              <w:ind w:firstLine="482"/>
              <w:rPr>
                <w:rFonts w:cs="Times New Roman"/>
                <w:color w:val="auto"/>
                <w:highlight w:val="none"/>
              </w:rPr>
            </w:pPr>
            <w:r>
              <w:rPr>
                <w:rFonts w:cs="Times New Roman"/>
                <w:color w:val="auto"/>
                <w:highlight w:val="none"/>
              </w:rPr>
              <w:t>1、施工期工艺流程及产排污环节</w:t>
            </w:r>
          </w:p>
          <w:p w14:paraId="5AC540BE">
            <w:pPr>
              <w:pStyle w:val="13"/>
              <w:rPr>
                <w:color w:val="auto"/>
                <w:highlight w:val="none"/>
              </w:rPr>
            </w:pPr>
            <w:r>
              <w:rPr>
                <w:color w:val="auto"/>
                <w:highlight w:val="none"/>
              </w:rPr>
              <w:drawing>
                <wp:inline distT="0" distB="0" distL="114300" distR="114300">
                  <wp:extent cx="4800600" cy="2160270"/>
                  <wp:effectExtent l="0" t="0" r="0" b="1143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icPr>
                        <pic:blipFill>
                          <a:blip r:embed="rId25"/>
                          <a:stretch>
                            <a:fillRect/>
                          </a:stretch>
                        </pic:blipFill>
                        <pic:spPr>
                          <a:xfrm>
                            <a:off x="0" y="0"/>
                            <a:ext cx="4800600" cy="2160270"/>
                          </a:xfrm>
                          <a:prstGeom prst="rect">
                            <a:avLst/>
                          </a:prstGeom>
                          <a:noFill/>
                          <a:ln>
                            <a:noFill/>
                          </a:ln>
                        </pic:spPr>
                      </pic:pic>
                    </a:graphicData>
                  </a:graphic>
                </wp:inline>
              </w:drawing>
            </w:r>
          </w:p>
          <w:p w14:paraId="5C51B0C2">
            <w:pPr>
              <w:ind w:firstLine="482"/>
              <w:jc w:val="center"/>
              <w:rPr>
                <w:rFonts w:cs="Times New Roman"/>
                <w:color w:val="auto"/>
                <w:kern w:val="0"/>
                <w:highlight w:val="none"/>
              </w:rPr>
            </w:pPr>
            <w:r>
              <w:rPr>
                <w:rFonts w:cs="Times New Roman"/>
                <w:b/>
                <w:bCs/>
                <w:color w:val="auto"/>
                <w:highlight w:val="none"/>
              </w:rPr>
              <w:t>图4-1  施工工艺流程及产污环节</w:t>
            </w:r>
          </w:p>
          <w:p w14:paraId="44F6E65B">
            <w:pPr>
              <w:ind w:firstLine="480"/>
              <w:rPr>
                <w:rFonts w:cs="Times New Roman"/>
                <w:color w:val="auto"/>
                <w:highlight w:val="none"/>
              </w:rPr>
            </w:pPr>
            <w:r>
              <w:rPr>
                <w:rFonts w:cs="Times New Roman"/>
                <w:color w:val="auto"/>
                <w:highlight w:val="none"/>
              </w:rPr>
              <w:t>工艺流程简述：</w:t>
            </w:r>
          </w:p>
          <w:p w14:paraId="4EF00FC4">
            <w:pPr>
              <w:ind w:firstLine="480"/>
              <w:rPr>
                <w:rFonts w:cs="Times New Roman"/>
                <w:bCs/>
                <w:color w:val="auto"/>
                <w:kern w:val="0"/>
                <w:highlight w:val="none"/>
              </w:rPr>
            </w:pPr>
            <w:r>
              <w:rPr>
                <w:rFonts w:cs="Times New Roman"/>
                <w:bCs/>
                <w:color w:val="auto"/>
                <w:kern w:val="0"/>
                <w:highlight w:val="none"/>
              </w:rPr>
              <w:t>（1）基础工程施工：包括土方（挖方、填方、弃方）、地基处理（岩土工程）与基础工程施工。挖掘机、打夯机、装载机等运行时将主要产生机械噪声和扬尘。</w:t>
            </w:r>
          </w:p>
          <w:p w14:paraId="6A99C2D1">
            <w:pPr>
              <w:ind w:firstLine="480"/>
              <w:rPr>
                <w:rFonts w:cs="Times New Roman"/>
                <w:bCs/>
                <w:color w:val="auto"/>
                <w:kern w:val="0"/>
                <w:highlight w:val="none"/>
              </w:rPr>
            </w:pPr>
            <w:r>
              <w:rPr>
                <w:rFonts w:cs="Times New Roman"/>
                <w:bCs/>
                <w:color w:val="auto"/>
                <w:kern w:val="0"/>
                <w:highlight w:val="none"/>
              </w:rPr>
              <w:t>（2）主体工程及附属工程施工：产生混凝土输送泵、混凝土振捣棒、卷扬机、钢筋切割机等施工机械噪声；在挖土、堆场、建材搬运和汽车运输过程中产生扬尘等。</w:t>
            </w:r>
          </w:p>
          <w:p w14:paraId="27D3CC5B">
            <w:pPr>
              <w:ind w:firstLine="480"/>
              <w:rPr>
                <w:rFonts w:cs="Times New Roman"/>
                <w:bCs/>
                <w:color w:val="auto"/>
                <w:kern w:val="0"/>
                <w:highlight w:val="none"/>
              </w:rPr>
            </w:pPr>
            <w:r>
              <w:rPr>
                <w:rFonts w:cs="Times New Roman"/>
                <w:bCs/>
                <w:color w:val="auto"/>
                <w:kern w:val="0"/>
                <w:highlight w:val="none"/>
              </w:rPr>
              <w:t>（3）装饰工程施工：建（构）筑物室内外装修时，钻机、电锤、切割机等辐射空气动力性噪声和机械噪声；油漆、喷涂、建筑、装饰材料等废气、废弃物料和污水。</w:t>
            </w:r>
          </w:p>
          <w:p w14:paraId="29D3A3FD">
            <w:pPr>
              <w:ind w:firstLine="480"/>
              <w:rPr>
                <w:rFonts w:cs="Times New Roman"/>
                <w:bCs/>
                <w:color w:val="auto"/>
                <w:kern w:val="0"/>
                <w:highlight w:val="none"/>
              </w:rPr>
            </w:pPr>
            <w:r>
              <w:rPr>
                <w:rFonts w:cs="Times New Roman"/>
                <w:bCs/>
                <w:color w:val="auto"/>
                <w:kern w:val="0"/>
                <w:highlight w:val="none"/>
              </w:rPr>
              <w:t>鉴于上述，施工期环境问题主要是：建筑扬尘、施工弃土、施工噪声、施工期民工生活污水和混凝土搅拌废水、施工期生活垃圾。</w:t>
            </w:r>
          </w:p>
          <w:p w14:paraId="515753CA">
            <w:pPr>
              <w:ind w:firstLine="480"/>
              <w:rPr>
                <w:rFonts w:cs="Times New Roman"/>
                <w:bCs/>
                <w:color w:val="auto"/>
                <w:kern w:val="0"/>
                <w:highlight w:val="none"/>
              </w:rPr>
            </w:pPr>
          </w:p>
          <w:p w14:paraId="3CFF0341">
            <w:pPr>
              <w:ind w:firstLine="480"/>
              <w:rPr>
                <w:rFonts w:cs="Times New Roman"/>
                <w:bCs/>
                <w:color w:val="auto"/>
                <w:kern w:val="0"/>
                <w:highlight w:val="none"/>
              </w:rPr>
            </w:pPr>
          </w:p>
          <w:p w14:paraId="490EAD3A">
            <w:pPr>
              <w:ind w:firstLine="480"/>
              <w:rPr>
                <w:rFonts w:cs="Times New Roman"/>
                <w:bCs/>
                <w:color w:val="auto"/>
                <w:kern w:val="0"/>
                <w:highlight w:val="none"/>
              </w:rPr>
            </w:pPr>
          </w:p>
          <w:p w14:paraId="6EE09C34">
            <w:pPr>
              <w:ind w:firstLine="480"/>
              <w:rPr>
                <w:rFonts w:cs="Times New Roman"/>
                <w:bCs/>
                <w:color w:val="auto"/>
                <w:kern w:val="0"/>
                <w:highlight w:val="none"/>
              </w:rPr>
            </w:pPr>
          </w:p>
          <w:p w14:paraId="1E61AAFE">
            <w:pPr>
              <w:ind w:firstLine="480"/>
              <w:rPr>
                <w:rFonts w:cs="Times New Roman"/>
                <w:bCs/>
                <w:color w:val="auto"/>
                <w:kern w:val="0"/>
                <w:highlight w:val="none"/>
              </w:rPr>
            </w:pPr>
          </w:p>
          <w:p w14:paraId="60C38320">
            <w:pPr>
              <w:ind w:firstLine="480"/>
              <w:rPr>
                <w:rFonts w:cs="Times New Roman"/>
                <w:bCs/>
                <w:color w:val="auto"/>
                <w:kern w:val="0"/>
                <w:highlight w:val="none"/>
              </w:rPr>
            </w:pPr>
          </w:p>
          <w:p w14:paraId="0E8635B1">
            <w:pPr>
              <w:ind w:firstLine="480"/>
              <w:rPr>
                <w:rFonts w:cs="Times New Roman"/>
                <w:bCs/>
                <w:color w:val="auto"/>
                <w:kern w:val="0"/>
                <w:highlight w:val="none"/>
              </w:rPr>
            </w:pPr>
          </w:p>
          <w:p w14:paraId="150399CF">
            <w:pPr>
              <w:ind w:firstLine="480"/>
              <w:rPr>
                <w:rFonts w:cs="Times New Roman"/>
                <w:bCs/>
                <w:color w:val="auto"/>
                <w:kern w:val="0"/>
                <w:highlight w:val="none"/>
              </w:rPr>
            </w:pPr>
          </w:p>
          <w:p w14:paraId="1290C9B5">
            <w:pPr>
              <w:ind w:firstLine="480"/>
              <w:rPr>
                <w:rFonts w:cs="Times New Roman"/>
                <w:bCs/>
                <w:color w:val="auto"/>
                <w:kern w:val="0"/>
                <w:highlight w:val="none"/>
              </w:rPr>
            </w:pPr>
          </w:p>
          <w:p w14:paraId="7DBCB8F0">
            <w:pPr>
              <w:ind w:firstLine="480"/>
              <w:rPr>
                <w:rFonts w:cs="Times New Roman"/>
                <w:bCs/>
                <w:color w:val="auto"/>
                <w:kern w:val="0"/>
                <w:highlight w:val="none"/>
              </w:rPr>
            </w:pPr>
          </w:p>
          <w:p w14:paraId="3596B85E">
            <w:pPr>
              <w:ind w:firstLine="480"/>
              <w:rPr>
                <w:rFonts w:cs="Times New Roman"/>
                <w:bCs/>
                <w:color w:val="auto"/>
                <w:kern w:val="0"/>
                <w:highlight w:val="none"/>
              </w:rPr>
            </w:pPr>
          </w:p>
          <w:p w14:paraId="35566081">
            <w:pPr>
              <w:ind w:firstLine="480"/>
              <w:rPr>
                <w:rFonts w:cs="Times New Roman"/>
                <w:bCs/>
                <w:color w:val="auto"/>
                <w:kern w:val="0"/>
                <w:highlight w:val="none"/>
              </w:rPr>
            </w:pPr>
          </w:p>
        </w:tc>
      </w:tr>
      <w:tr w14:paraId="77375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trPr>
        <w:tc>
          <w:tcPr>
            <w:tcW w:w="335" w:type="pct"/>
            <w:vMerge w:val="continue"/>
          </w:tcPr>
          <w:p w14:paraId="69E1F0DA">
            <w:pPr>
              <w:pStyle w:val="13"/>
              <w:spacing w:line="360" w:lineRule="auto"/>
              <w:rPr>
                <w:rFonts w:cs="Times New Roman"/>
                <w:color w:val="auto"/>
                <w:highlight w:val="none"/>
              </w:rPr>
            </w:pPr>
          </w:p>
        </w:tc>
        <w:tc>
          <w:tcPr>
            <w:tcW w:w="4664" w:type="pct"/>
          </w:tcPr>
          <w:p w14:paraId="1BE1D9C0">
            <w:pPr>
              <w:pStyle w:val="2"/>
              <w:ind w:firstLine="482"/>
              <w:rPr>
                <w:rFonts w:cs="Times New Roman"/>
                <w:color w:val="auto"/>
                <w:highlight w:val="none"/>
              </w:rPr>
            </w:pPr>
            <w:r>
              <w:rPr>
                <w:rFonts w:cs="Times New Roman"/>
                <w:color w:val="auto"/>
                <w:highlight w:val="none"/>
              </w:rPr>
              <w:t>3、运营期工艺流程及产排污环节</w:t>
            </w:r>
          </w:p>
          <w:p w14:paraId="426B6C92">
            <w:pPr>
              <w:ind w:firstLine="480"/>
              <w:rPr>
                <w:rFonts w:cs="Times New Roman"/>
                <w:color w:val="auto"/>
                <w:highlight w:val="none"/>
              </w:rPr>
            </w:pPr>
            <w:r>
              <w:rPr>
                <w:rFonts w:cs="Times New Roman"/>
                <w:color w:val="auto"/>
                <w:highlight w:val="none"/>
              </w:rPr>
              <w:t>本项目产品为饲料，分为秸秆饲料和饲料颗粒，其中饲料颗粒为秸秆饲料后续加工得到，其生产工艺流程如下：</w:t>
            </w:r>
          </w:p>
          <w:p w14:paraId="2E31045E">
            <w:pPr>
              <w:pStyle w:val="13"/>
              <w:rPr>
                <w:rFonts w:cs="Times New Roman"/>
                <w:color w:val="auto"/>
                <w:highlight w:val="none"/>
              </w:rPr>
            </w:pPr>
            <w:r>
              <w:rPr>
                <w:color w:val="auto"/>
                <w:highlight w:val="none"/>
              </w:rPr>
              <w:drawing>
                <wp:inline distT="0" distB="0" distL="114300" distR="114300">
                  <wp:extent cx="2879725" cy="5351145"/>
                  <wp:effectExtent l="0" t="0" r="15875" b="190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26"/>
                          <a:stretch>
                            <a:fillRect/>
                          </a:stretch>
                        </pic:blipFill>
                        <pic:spPr>
                          <a:xfrm>
                            <a:off x="0" y="0"/>
                            <a:ext cx="2879725" cy="5351145"/>
                          </a:xfrm>
                          <a:prstGeom prst="rect">
                            <a:avLst/>
                          </a:prstGeom>
                          <a:noFill/>
                          <a:ln>
                            <a:noFill/>
                          </a:ln>
                        </pic:spPr>
                      </pic:pic>
                    </a:graphicData>
                  </a:graphic>
                </wp:inline>
              </w:drawing>
            </w:r>
          </w:p>
          <w:p w14:paraId="29815022">
            <w:pPr>
              <w:pStyle w:val="15"/>
              <w:spacing w:after="156"/>
              <w:rPr>
                <w:rFonts w:cs="Times New Roman"/>
                <w:color w:val="auto"/>
                <w:highlight w:val="none"/>
              </w:rPr>
            </w:pPr>
            <w:r>
              <w:rPr>
                <w:rFonts w:cs="Times New Roman"/>
                <w:color w:val="auto"/>
                <w:highlight w:val="none"/>
              </w:rPr>
              <w:t>图2-</w:t>
            </w:r>
            <w:r>
              <w:rPr>
                <w:rFonts w:hint="eastAsia" w:cs="Times New Roman"/>
                <w:color w:val="auto"/>
                <w:highlight w:val="none"/>
                <w:lang w:val="en-US" w:eastAsia="zh-CN"/>
              </w:rPr>
              <w:t>2</w:t>
            </w:r>
            <w:r>
              <w:rPr>
                <w:rFonts w:cs="Times New Roman"/>
                <w:color w:val="auto"/>
                <w:highlight w:val="none"/>
              </w:rPr>
              <w:t xml:space="preserve">  饲料生产工艺流程及产排污图</w:t>
            </w:r>
          </w:p>
          <w:p w14:paraId="60EBF4DA">
            <w:pPr>
              <w:ind w:firstLine="482"/>
              <w:rPr>
                <w:rFonts w:cs="Times New Roman"/>
                <w:b/>
                <w:bCs/>
                <w:color w:val="auto"/>
                <w:highlight w:val="none"/>
              </w:rPr>
            </w:pPr>
            <w:r>
              <w:rPr>
                <w:rFonts w:cs="Times New Roman"/>
                <w:b/>
                <w:bCs/>
                <w:color w:val="auto"/>
                <w:highlight w:val="none"/>
              </w:rPr>
              <w:t>秸秆饲料生产工艺简介：</w:t>
            </w:r>
          </w:p>
          <w:p w14:paraId="571D3A7E">
            <w:pPr>
              <w:ind w:firstLine="480"/>
              <w:rPr>
                <w:rFonts w:cs="Times New Roman"/>
                <w:color w:val="auto"/>
                <w:highlight w:val="none"/>
              </w:rPr>
            </w:pPr>
            <w:r>
              <w:rPr>
                <w:rFonts w:cs="Times New Roman"/>
                <w:color w:val="auto"/>
                <w:highlight w:val="none"/>
              </w:rPr>
              <w:t>①筛分</w:t>
            </w:r>
          </w:p>
          <w:p w14:paraId="1759D1D0">
            <w:pPr>
              <w:ind w:firstLine="480"/>
              <w:rPr>
                <w:rFonts w:cs="Times New Roman"/>
                <w:color w:val="auto"/>
                <w:highlight w:val="none"/>
              </w:rPr>
            </w:pPr>
            <w:r>
              <w:rPr>
                <w:rFonts w:cs="Times New Roman"/>
                <w:color w:val="auto"/>
                <w:highlight w:val="none"/>
              </w:rPr>
              <w:t>项目秸秆贮存于</w:t>
            </w:r>
            <w:r>
              <w:rPr>
                <w:rFonts w:hint="eastAsia" w:cs="Times New Roman"/>
                <w:color w:val="auto"/>
                <w:highlight w:val="none"/>
              </w:rPr>
              <w:t>原料仓库</w:t>
            </w:r>
            <w:r>
              <w:rPr>
                <w:rFonts w:cs="Times New Roman"/>
                <w:color w:val="auto"/>
                <w:highlight w:val="none"/>
              </w:rPr>
              <w:t>，</w:t>
            </w:r>
            <w:r>
              <w:rPr>
                <w:rFonts w:hint="eastAsia" w:cs="Times New Roman"/>
                <w:color w:val="auto"/>
                <w:highlight w:val="none"/>
              </w:rPr>
              <w:t>原料仓库</w:t>
            </w:r>
            <w:r>
              <w:rPr>
                <w:rFonts w:cs="Times New Roman"/>
                <w:color w:val="auto"/>
                <w:highlight w:val="none"/>
              </w:rPr>
              <w:t>与加工车间联通，秸秆采用人工投料进入清理筛。清理筛通过振动清理掉其中掺杂的石块、泥块、麻袋头、线头等杂物。筛选后的秸秆沿着清理筛后方的皮带输送机进入磁选工序，筛选杂质经清理筛下方的皮带输送机运送至杂质回收车。</w:t>
            </w:r>
          </w:p>
          <w:p w14:paraId="6BD2CA76">
            <w:pPr>
              <w:ind w:firstLine="480"/>
              <w:rPr>
                <w:rFonts w:cs="Times New Roman"/>
                <w:color w:val="auto"/>
                <w:highlight w:val="none"/>
              </w:rPr>
            </w:pPr>
            <w:r>
              <w:rPr>
                <w:rFonts w:cs="Times New Roman"/>
                <w:color w:val="auto"/>
                <w:highlight w:val="none"/>
              </w:rPr>
              <w:t>②磁选</w:t>
            </w:r>
          </w:p>
          <w:p w14:paraId="10AE1006">
            <w:pPr>
              <w:ind w:firstLine="480"/>
              <w:rPr>
                <w:rFonts w:cs="Times New Roman"/>
                <w:color w:val="auto"/>
                <w:highlight w:val="none"/>
              </w:rPr>
            </w:pPr>
            <w:r>
              <w:rPr>
                <w:rFonts w:cs="Times New Roman"/>
                <w:color w:val="auto"/>
                <w:highlight w:val="none"/>
              </w:rPr>
              <w:t>秸秆在经过磁选机的永磁滚筒时，其中掺杂的废铁等磁性物质被吸附出来沿着滚筒转动，当滚筒转至另一面时，磁选机自带的刮板会刮下吸附在上面的磁选杂质。磁选后的秸秆沿着皮带输送机进入破碎机投料口，磁选杂质沿附着在滚筒上的刮板槽落入废铁回收车。</w:t>
            </w:r>
          </w:p>
          <w:p w14:paraId="00A9731A">
            <w:pPr>
              <w:ind w:firstLine="480"/>
              <w:rPr>
                <w:rFonts w:cs="Times New Roman"/>
                <w:color w:val="auto"/>
                <w:highlight w:val="none"/>
              </w:rPr>
            </w:pPr>
            <w:r>
              <w:rPr>
                <w:rFonts w:cs="Times New Roman"/>
                <w:color w:val="auto"/>
                <w:highlight w:val="none"/>
              </w:rPr>
              <w:t>③破碎</w:t>
            </w:r>
          </w:p>
          <w:p w14:paraId="7FB15368">
            <w:pPr>
              <w:ind w:firstLine="480"/>
              <w:rPr>
                <w:rFonts w:cs="Times New Roman"/>
                <w:color w:val="auto"/>
                <w:highlight w:val="none"/>
              </w:rPr>
            </w:pPr>
            <w:r>
              <w:rPr>
                <w:rFonts w:cs="Times New Roman"/>
                <w:color w:val="auto"/>
                <w:highlight w:val="none"/>
              </w:rPr>
              <w:t>进入破碎机的秸秆被高速旋转的锤片切断，破碎的秸秆片段在离心力作用下甩向机壁，在锤片和机壁的摩擦、挤压和撕扯下使其木质纤维秸秆变的破碎、松散，坚硬的秸秆被破碎成有适口性的秸秆饲料。</w:t>
            </w:r>
          </w:p>
          <w:p w14:paraId="50D9A801">
            <w:pPr>
              <w:ind w:firstLine="480"/>
              <w:rPr>
                <w:rFonts w:cs="Times New Roman"/>
                <w:color w:val="auto"/>
                <w:highlight w:val="none"/>
              </w:rPr>
            </w:pPr>
            <w:r>
              <w:rPr>
                <w:rFonts w:cs="Times New Roman"/>
                <w:color w:val="auto"/>
                <w:highlight w:val="none"/>
              </w:rPr>
              <w:t>加工得到的秸秆饲料</w:t>
            </w:r>
            <w:r>
              <w:rPr>
                <w:rFonts w:hint="eastAsia" w:cs="Times New Roman"/>
                <w:color w:val="auto"/>
                <w:highlight w:val="none"/>
              </w:rPr>
              <w:t>10000t</w:t>
            </w:r>
            <w:r>
              <w:rPr>
                <w:rFonts w:cs="Times New Roman"/>
                <w:color w:val="auto"/>
                <w:highlight w:val="none"/>
              </w:rPr>
              <w:t>被刮板机输送至秸秆打包机的料仓，打包得到秸秆饲料圆捆包；</w:t>
            </w:r>
            <w:r>
              <w:rPr>
                <w:rFonts w:hint="eastAsia" w:cs="Times New Roman"/>
                <w:color w:val="auto"/>
                <w:highlight w:val="none"/>
              </w:rPr>
              <w:t>5000t</w:t>
            </w:r>
            <w:r>
              <w:rPr>
                <w:rFonts w:cs="Times New Roman"/>
                <w:color w:val="auto"/>
                <w:highlight w:val="none"/>
              </w:rPr>
              <w:t>被刮板机和提升机输送至中间仓，经后续加工得到饲料颗粒。</w:t>
            </w:r>
          </w:p>
          <w:p w14:paraId="490F110B">
            <w:pPr>
              <w:ind w:firstLine="480"/>
              <w:rPr>
                <w:rFonts w:cs="Times New Roman"/>
                <w:color w:val="auto"/>
                <w:highlight w:val="none"/>
              </w:rPr>
            </w:pPr>
            <w:r>
              <w:rPr>
                <w:rFonts w:cs="Times New Roman"/>
                <w:color w:val="auto"/>
                <w:highlight w:val="none"/>
              </w:rPr>
              <w:t>④打包</w:t>
            </w:r>
          </w:p>
          <w:p w14:paraId="620DB54D">
            <w:pPr>
              <w:ind w:firstLine="480"/>
              <w:rPr>
                <w:rFonts w:cs="Times New Roman"/>
                <w:color w:val="auto"/>
                <w:highlight w:val="none"/>
              </w:rPr>
            </w:pPr>
            <w:r>
              <w:rPr>
                <w:rFonts w:cs="Times New Roman"/>
                <w:color w:val="auto"/>
                <w:highlight w:val="none"/>
              </w:rPr>
              <w:t>进入秸秆打包机料仓的秸秆饲料被卷压系统卷成紧实的圆柱形草捆，并用打包网自动进行捆扎，捆扎好的秸秆饲料圆捆包由叉车转运至</w:t>
            </w:r>
            <w:r>
              <w:rPr>
                <w:rFonts w:hint="eastAsia" w:cs="Times New Roman"/>
                <w:color w:val="auto"/>
                <w:highlight w:val="none"/>
              </w:rPr>
              <w:t>成品仓库</w:t>
            </w:r>
            <w:r>
              <w:rPr>
                <w:rFonts w:cs="Times New Roman"/>
                <w:color w:val="auto"/>
                <w:highlight w:val="none"/>
              </w:rPr>
              <w:t>。</w:t>
            </w:r>
          </w:p>
          <w:p w14:paraId="42F130CD">
            <w:pPr>
              <w:ind w:firstLine="482"/>
              <w:rPr>
                <w:rFonts w:cs="Times New Roman"/>
                <w:b/>
                <w:bCs/>
                <w:color w:val="auto"/>
                <w:highlight w:val="none"/>
              </w:rPr>
            </w:pPr>
            <w:r>
              <w:rPr>
                <w:rFonts w:cs="Times New Roman"/>
                <w:b/>
                <w:bCs/>
                <w:color w:val="auto"/>
                <w:highlight w:val="none"/>
              </w:rPr>
              <w:t>饲料颗粒生产工艺简介：</w:t>
            </w:r>
          </w:p>
          <w:p w14:paraId="39E9FC8B">
            <w:pPr>
              <w:ind w:firstLine="480"/>
              <w:rPr>
                <w:rFonts w:cs="Times New Roman"/>
                <w:color w:val="auto"/>
                <w:highlight w:val="none"/>
              </w:rPr>
            </w:pPr>
            <w:r>
              <w:rPr>
                <w:rFonts w:cs="Times New Roman"/>
                <w:color w:val="auto"/>
                <w:highlight w:val="none"/>
              </w:rPr>
              <w:t>①配料</w:t>
            </w:r>
          </w:p>
          <w:p w14:paraId="608A32B1">
            <w:pPr>
              <w:ind w:firstLine="480"/>
              <w:rPr>
                <w:rFonts w:cs="Times New Roman"/>
                <w:color w:val="auto"/>
                <w:highlight w:val="none"/>
              </w:rPr>
            </w:pPr>
            <w:r>
              <w:rPr>
                <w:rFonts w:hint="eastAsia" w:cs="Times New Roman"/>
                <w:color w:val="auto"/>
                <w:highlight w:val="none"/>
                <w:lang w:val="en-US" w:eastAsia="zh-CN"/>
              </w:rPr>
              <w:t>秸秆饲料在中间仓的底部刮板和螺旋出料溜管的作用下进入配料机，</w:t>
            </w:r>
            <w:r>
              <w:rPr>
                <w:rFonts w:cs="Times New Roman"/>
                <w:color w:val="auto"/>
                <w:highlight w:val="none"/>
              </w:rPr>
              <w:t>石粉、氨基酸</w:t>
            </w:r>
            <w:r>
              <w:rPr>
                <w:rFonts w:hint="eastAsia" w:cs="Times New Roman"/>
                <w:color w:val="auto"/>
                <w:highlight w:val="none"/>
              </w:rPr>
              <w:t>等</w:t>
            </w:r>
            <w:r>
              <w:rPr>
                <w:rFonts w:cs="Times New Roman"/>
                <w:color w:val="auto"/>
                <w:highlight w:val="none"/>
              </w:rPr>
              <w:t>辅料</w:t>
            </w:r>
            <w:r>
              <w:rPr>
                <w:rFonts w:hint="eastAsia" w:cs="Times New Roman"/>
                <w:color w:val="auto"/>
                <w:highlight w:val="none"/>
                <w:lang w:val="en-US" w:eastAsia="zh-CN"/>
              </w:rPr>
              <w:t>由人工投入配料机的进料斗。</w:t>
            </w:r>
            <w:r>
              <w:rPr>
                <w:rFonts w:cs="Times New Roman"/>
                <w:color w:val="auto"/>
                <w:highlight w:val="none"/>
              </w:rPr>
              <w:t>按照饲料颗粒配方比例，由配料机自带的配料称称量</w:t>
            </w:r>
            <w:r>
              <w:rPr>
                <w:rFonts w:hint="eastAsia" w:cs="Times New Roman"/>
                <w:color w:val="auto"/>
                <w:highlight w:val="none"/>
                <w:lang w:val="en-US" w:eastAsia="zh-CN"/>
              </w:rPr>
              <w:t>各种物料的量</w:t>
            </w:r>
            <w:r>
              <w:rPr>
                <w:rFonts w:hint="eastAsia" w:cs="Times New Roman"/>
                <w:color w:val="auto"/>
                <w:highlight w:val="none"/>
                <w:lang w:eastAsia="zh-CN"/>
              </w:rPr>
              <w:t>，</w:t>
            </w:r>
            <w:r>
              <w:rPr>
                <w:rFonts w:cs="Times New Roman"/>
                <w:color w:val="auto"/>
                <w:highlight w:val="none"/>
              </w:rPr>
              <w:t>称量好的秸秆饲料由刮板机输送至混合机料仓。</w:t>
            </w:r>
          </w:p>
          <w:p w14:paraId="30C7941B">
            <w:pPr>
              <w:ind w:firstLine="480"/>
              <w:rPr>
                <w:rFonts w:cs="Times New Roman"/>
                <w:color w:val="auto"/>
                <w:highlight w:val="none"/>
              </w:rPr>
            </w:pPr>
            <w:r>
              <w:rPr>
                <w:rFonts w:cs="Times New Roman"/>
                <w:color w:val="auto"/>
                <w:highlight w:val="none"/>
              </w:rPr>
              <w:t>②混合</w:t>
            </w:r>
          </w:p>
          <w:p w14:paraId="7389A78C">
            <w:pPr>
              <w:ind w:firstLine="480"/>
              <w:rPr>
                <w:rFonts w:hint="eastAsia" w:cs="Times New Roman"/>
                <w:color w:val="auto"/>
                <w:highlight w:val="none"/>
              </w:rPr>
            </w:pPr>
            <w:r>
              <w:rPr>
                <w:rFonts w:hint="eastAsia" w:cs="Times New Roman"/>
                <w:color w:val="auto"/>
                <w:highlight w:val="none"/>
                <w:lang w:val="en-US" w:eastAsia="zh-CN"/>
              </w:rPr>
              <w:t>混合机料仓进料</w:t>
            </w:r>
            <w:r>
              <w:rPr>
                <w:rFonts w:cs="Times New Roman"/>
                <w:color w:val="auto"/>
                <w:highlight w:val="none"/>
              </w:rPr>
              <w:t>完成后，</w:t>
            </w:r>
            <w:r>
              <w:rPr>
                <w:rFonts w:hint="eastAsia" w:cs="Times New Roman"/>
                <w:color w:val="auto"/>
                <w:highlight w:val="none"/>
                <w:lang w:val="en-US" w:eastAsia="zh-CN"/>
              </w:rPr>
              <w:t>其</w:t>
            </w:r>
            <w:r>
              <w:rPr>
                <w:rFonts w:cs="Times New Roman"/>
                <w:color w:val="auto"/>
                <w:highlight w:val="none"/>
              </w:rPr>
              <w:t>投料口防尘密封盖关闭，各原辅料在电机的驱动下在混合桶内搅拌混合，通过调整混合时间和转速来控制混合均匀度。</w:t>
            </w:r>
            <w:r>
              <w:rPr>
                <w:rFonts w:hint="eastAsia" w:cs="Times New Roman"/>
                <w:color w:val="auto"/>
                <w:highlight w:val="none"/>
              </w:rPr>
              <w:t>混合后的混料进入缓冲仓暂存，待后续调质。</w:t>
            </w:r>
          </w:p>
          <w:p w14:paraId="5250E323">
            <w:pPr>
              <w:bidi w:val="0"/>
              <w:rPr>
                <w:rFonts w:hint="eastAsia"/>
                <w:color w:val="auto"/>
                <w:highlight w:val="none"/>
                <w:lang w:val="en-US" w:eastAsia="zh-CN"/>
              </w:rPr>
            </w:pPr>
            <w:r>
              <w:rPr>
                <w:color w:val="auto"/>
                <w:highlight w:val="none"/>
              </w:rPr>
              <w:t>鉴于本项目调质机处理能力大于破碎机产能，为平衡前后工序产能、降低运行成本</w:t>
            </w:r>
            <w:r>
              <w:rPr>
                <w:rFonts w:hint="eastAsia"/>
                <w:color w:val="auto"/>
                <w:highlight w:val="none"/>
                <w:lang w:eastAsia="zh-CN"/>
              </w:rPr>
              <w:t>（</w:t>
            </w:r>
            <w:r>
              <w:rPr>
                <w:rFonts w:hint="eastAsia"/>
                <w:color w:val="auto"/>
                <w:highlight w:val="none"/>
                <w:lang w:val="en-US" w:eastAsia="zh-CN"/>
              </w:rPr>
              <w:t>蒸汽锅炉运行成本</w:t>
            </w:r>
            <w:r>
              <w:rPr>
                <w:rFonts w:hint="eastAsia"/>
                <w:color w:val="auto"/>
                <w:highlight w:val="none"/>
                <w:lang w:eastAsia="zh-CN"/>
              </w:rPr>
              <w:t>）</w:t>
            </w:r>
            <w:r>
              <w:rPr>
                <w:color w:val="auto"/>
                <w:highlight w:val="none"/>
              </w:rPr>
              <w:t>，项目设置缓冲仓，对破碎后的秸秆饲料进行暂存，</w:t>
            </w:r>
            <w:r>
              <w:rPr>
                <w:rFonts w:hint="eastAsia"/>
                <w:color w:val="auto"/>
                <w:highlight w:val="none"/>
                <w:lang w:val="en-US" w:eastAsia="zh-CN"/>
              </w:rPr>
              <w:t>待存够一定的量后</w:t>
            </w:r>
            <w:r>
              <w:rPr>
                <w:color w:val="auto"/>
                <w:highlight w:val="none"/>
              </w:rPr>
              <w:t>再输送至调质机进行调质处理。</w:t>
            </w:r>
            <w:r>
              <w:rPr>
                <w:rFonts w:hint="eastAsia"/>
                <w:color w:val="auto"/>
                <w:highlight w:val="none"/>
                <w:lang w:val="en-US" w:eastAsia="zh-CN"/>
              </w:rPr>
              <w:t>项目设置破碎工序频次为每天1次，1次8h，其中1/3破碎后的秸秆饲料用于制粒；调质工序频次为10天1次，每次调质4.5h。</w:t>
            </w:r>
          </w:p>
          <w:p w14:paraId="02ED9A9A">
            <w:pPr>
              <w:ind w:firstLine="480"/>
              <w:rPr>
                <w:rFonts w:cs="Times New Roman"/>
                <w:color w:val="auto"/>
                <w:highlight w:val="none"/>
              </w:rPr>
            </w:pPr>
            <w:r>
              <w:rPr>
                <w:rFonts w:cs="Times New Roman"/>
                <w:color w:val="auto"/>
                <w:highlight w:val="none"/>
              </w:rPr>
              <w:t>③调质</w:t>
            </w:r>
          </w:p>
          <w:p w14:paraId="7050B96B">
            <w:pPr>
              <w:ind w:firstLine="480"/>
              <w:rPr>
                <w:rFonts w:cs="Times New Roman"/>
                <w:color w:val="auto"/>
                <w:highlight w:val="none"/>
              </w:rPr>
            </w:pPr>
            <w:r>
              <w:rPr>
                <w:rFonts w:cs="Times New Roman"/>
                <w:color w:val="auto"/>
                <w:highlight w:val="none"/>
              </w:rPr>
              <w:t>混料</w:t>
            </w:r>
            <w:r>
              <w:rPr>
                <w:rFonts w:hint="eastAsia" w:cs="Times New Roman"/>
                <w:color w:val="auto"/>
                <w:highlight w:val="none"/>
              </w:rPr>
              <w:t>在缓冲仓</w:t>
            </w:r>
            <w:r>
              <w:rPr>
                <w:rFonts w:cs="Times New Roman"/>
                <w:color w:val="auto"/>
                <w:highlight w:val="none"/>
              </w:rPr>
              <w:t>的</w:t>
            </w:r>
            <w:r>
              <w:rPr>
                <w:rFonts w:hint="eastAsia" w:cs="Times New Roman"/>
                <w:color w:val="auto"/>
                <w:highlight w:val="none"/>
              </w:rPr>
              <w:t>底部刮板和螺旋出料溜管的作用下</w:t>
            </w:r>
            <w:r>
              <w:rPr>
                <w:rFonts w:cs="Times New Roman"/>
                <w:color w:val="auto"/>
                <w:highlight w:val="none"/>
              </w:rPr>
              <w:t>进入调质机，</w:t>
            </w:r>
            <w:r>
              <w:rPr>
                <w:rFonts w:hint="eastAsia" w:cs="Times New Roman"/>
                <w:color w:val="auto"/>
                <w:highlight w:val="none"/>
              </w:rPr>
              <w:t>调质机内多个可调节的蒸汽喷口注入蒸汽</w:t>
            </w:r>
            <w:r>
              <w:rPr>
                <w:rFonts w:cs="Times New Roman"/>
                <w:color w:val="auto"/>
                <w:highlight w:val="none"/>
              </w:rPr>
              <w:t>，</w:t>
            </w:r>
            <w:r>
              <w:rPr>
                <w:rFonts w:hint="eastAsia" w:cs="Times New Roman"/>
                <w:color w:val="auto"/>
                <w:highlight w:val="none"/>
              </w:rPr>
              <w:t>在蒸汽、高温、搅拌等作用下，</w:t>
            </w:r>
            <w:r>
              <w:rPr>
                <w:rFonts w:cs="Times New Roman"/>
                <w:color w:val="auto"/>
                <w:highlight w:val="none"/>
              </w:rPr>
              <w:t>使秸秆饲料</w:t>
            </w:r>
            <w:r>
              <w:rPr>
                <w:rFonts w:hint="eastAsia" w:cs="Times New Roman"/>
                <w:color w:val="auto"/>
                <w:highlight w:val="none"/>
              </w:rPr>
              <w:t>充分熟化（</w:t>
            </w:r>
            <w:r>
              <w:rPr>
                <w:rFonts w:cs="Times New Roman"/>
                <w:color w:val="auto"/>
                <w:highlight w:val="none"/>
              </w:rPr>
              <w:t>淀粉糊化、颗粒松散</w:t>
            </w:r>
            <w:r>
              <w:rPr>
                <w:rFonts w:hint="eastAsia" w:cs="Times New Roman"/>
                <w:color w:val="auto"/>
                <w:highlight w:val="none"/>
              </w:rPr>
              <w:t>、</w:t>
            </w:r>
            <w:r>
              <w:rPr>
                <w:rFonts w:cs="Times New Roman"/>
                <w:color w:val="auto"/>
                <w:highlight w:val="none"/>
              </w:rPr>
              <w:t>易于制粒</w:t>
            </w:r>
            <w:r>
              <w:rPr>
                <w:rFonts w:hint="eastAsia" w:cs="Times New Roman"/>
                <w:color w:val="auto"/>
                <w:highlight w:val="none"/>
              </w:rPr>
              <w:t>），</w:t>
            </w:r>
            <w:r>
              <w:rPr>
                <w:rFonts w:cs="Times New Roman"/>
                <w:color w:val="auto"/>
                <w:highlight w:val="none"/>
              </w:rPr>
              <w:t>调质后</w:t>
            </w:r>
            <w:r>
              <w:rPr>
                <w:rFonts w:hint="eastAsia" w:cs="Times New Roman"/>
                <w:color w:val="auto"/>
                <w:highlight w:val="none"/>
              </w:rPr>
              <w:t>的秸秆饲料由刮板机输送至冷却仓冷却</w:t>
            </w:r>
            <w:r>
              <w:rPr>
                <w:rFonts w:cs="Times New Roman"/>
                <w:color w:val="auto"/>
                <w:highlight w:val="none"/>
              </w:rPr>
              <w:t>。</w:t>
            </w:r>
          </w:p>
          <w:p w14:paraId="63E635E8">
            <w:pPr>
              <w:ind w:firstLine="480"/>
              <w:rPr>
                <w:rFonts w:hint="default" w:eastAsia="宋体" w:cs="Times New Roman"/>
                <w:color w:val="auto"/>
                <w:highlight w:val="none"/>
                <w:lang w:val="en-US" w:eastAsia="zh-CN"/>
              </w:rPr>
            </w:pPr>
            <w:r>
              <w:rPr>
                <w:rFonts w:cs="Times New Roman"/>
                <w:color w:val="auto"/>
                <w:highlight w:val="none"/>
              </w:rPr>
              <w:t>项目</w:t>
            </w:r>
            <w:r>
              <w:rPr>
                <w:rFonts w:hint="eastAsia" w:cs="Times New Roman"/>
                <w:color w:val="auto"/>
                <w:highlight w:val="none"/>
              </w:rPr>
              <w:t>通过蒸汽调质</w:t>
            </w:r>
            <w:r>
              <w:rPr>
                <w:rFonts w:cs="Times New Roman"/>
                <w:color w:val="auto"/>
                <w:highlight w:val="none"/>
              </w:rPr>
              <w:t>使秸秆</w:t>
            </w:r>
            <w:r>
              <w:rPr>
                <w:rFonts w:hint="eastAsia" w:cs="Times New Roman"/>
                <w:color w:val="auto"/>
                <w:highlight w:val="none"/>
              </w:rPr>
              <w:t>饲料熟化</w:t>
            </w:r>
            <w:r>
              <w:rPr>
                <w:rFonts w:cs="Times New Roman"/>
                <w:color w:val="auto"/>
                <w:highlight w:val="none"/>
              </w:rPr>
              <w:t>，</w:t>
            </w:r>
            <w:r>
              <w:rPr>
                <w:rFonts w:hint="eastAsia" w:cs="Times New Roman"/>
                <w:color w:val="auto"/>
                <w:highlight w:val="none"/>
              </w:rPr>
              <w:t>蒸汽</w:t>
            </w:r>
            <w:r>
              <w:rPr>
                <w:rFonts w:cs="Times New Roman"/>
                <w:color w:val="auto"/>
                <w:highlight w:val="none"/>
              </w:rPr>
              <w:t>量为秸秆量的</w:t>
            </w:r>
            <w:r>
              <w:rPr>
                <w:rFonts w:hint="eastAsia" w:cs="Times New Roman"/>
                <w:color w:val="auto"/>
                <w:highlight w:val="none"/>
              </w:rPr>
              <w:t>5</w:t>
            </w:r>
            <w:r>
              <w:rPr>
                <w:rFonts w:cs="Times New Roman"/>
                <w:color w:val="auto"/>
                <w:highlight w:val="none"/>
              </w:rPr>
              <w:t>%，</w:t>
            </w:r>
            <w:r>
              <w:rPr>
                <w:rFonts w:hint="eastAsia" w:cs="Times New Roman"/>
                <w:color w:val="auto"/>
                <w:highlight w:val="none"/>
              </w:rPr>
              <w:t>蒸汽</w:t>
            </w:r>
            <w:r>
              <w:rPr>
                <w:rFonts w:cs="Times New Roman"/>
                <w:color w:val="auto"/>
                <w:highlight w:val="none"/>
              </w:rPr>
              <w:t>加热温度为70-80℃</w:t>
            </w:r>
            <w:r>
              <w:rPr>
                <w:rFonts w:hint="eastAsia" w:cs="Times New Roman"/>
                <w:color w:val="auto"/>
                <w:highlight w:val="none"/>
              </w:rPr>
              <w:t>；并通过控制调制机的搅拌桨轴距、叶片角度、搅拌时间和转速等参数保证秸秆饲料充分熟化，轴距、角度和转速等均由员工经验判断，转速一般为150-450r/min，搅拌时间一般为60-180s。颗粒饲料中豆油使用量&lt;1%，不会影响调质熟化效果。调质后的秸秆饲料温度、湿度较高，制粒时会出现颗粒软、易粘模、易断、易发霉结块等问题，需在冷却仓自然冷却、自然除湿、稳料后再进行制粒。</w:t>
            </w:r>
          </w:p>
          <w:p w14:paraId="11AEF5C0">
            <w:pPr>
              <w:ind w:firstLine="480"/>
              <w:rPr>
                <w:rFonts w:cs="Times New Roman"/>
                <w:color w:val="auto"/>
                <w:highlight w:val="none"/>
              </w:rPr>
            </w:pPr>
            <w:r>
              <w:rPr>
                <w:rFonts w:cs="Times New Roman"/>
                <w:color w:val="auto"/>
                <w:highlight w:val="none"/>
              </w:rPr>
              <w:t>④</w:t>
            </w:r>
            <w:r>
              <w:rPr>
                <w:rFonts w:hint="eastAsia" w:cs="Times New Roman"/>
                <w:color w:val="auto"/>
                <w:highlight w:val="none"/>
              </w:rPr>
              <w:t>制粒</w:t>
            </w:r>
          </w:p>
          <w:p w14:paraId="001692E2">
            <w:pPr>
              <w:ind w:firstLine="480"/>
              <w:rPr>
                <w:rFonts w:cs="Times New Roman"/>
                <w:color w:val="auto"/>
                <w:highlight w:val="none"/>
              </w:rPr>
            </w:pPr>
            <w:r>
              <w:rPr>
                <w:rFonts w:hint="eastAsia" w:cs="Times New Roman"/>
                <w:color w:val="auto"/>
                <w:highlight w:val="none"/>
              </w:rPr>
              <w:t>冷却仓内稳料后的秸秆饲料进入制粒机，由制粒机的</w:t>
            </w:r>
            <w:r>
              <w:rPr>
                <w:rFonts w:cs="Times New Roman"/>
                <w:color w:val="auto"/>
                <w:highlight w:val="none"/>
              </w:rPr>
              <w:t>环模和压轮</w:t>
            </w:r>
            <w:r>
              <w:rPr>
                <w:rFonts w:hint="eastAsia" w:cs="Times New Roman"/>
                <w:color w:val="auto"/>
                <w:highlight w:val="none"/>
              </w:rPr>
              <w:t>将秸秆饲料挤压成圆柱状，并由切刀将其切成设定长度的饲料颗粒，得到的饲料颗粒</w:t>
            </w:r>
            <w:r>
              <w:rPr>
                <w:rFonts w:cs="Times New Roman"/>
                <w:color w:val="auto"/>
                <w:highlight w:val="none"/>
              </w:rPr>
              <w:t>。</w:t>
            </w:r>
          </w:p>
          <w:p w14:paraId="7D0D8A31">
            <w:pPr>
              <w:ind w:firstLine="480"/>
              <w:rPr>
                <w:rFonts w:cs="Times New Roman"/>
                <w:color w:val="auto"/>
                <w:highlight w:val="none"/>
              </w:rPr>
            </w:pPr>
            <w:r>
              <w:rPr>
                <w:rFonts w:cs="Times New Roman"/>
                <w:color w:val="auto"/>
                <w:highlight w:val="none"/>
              </w:rPr>
              <w:t>从制粒机刚压出的颗粒料，含水率为1</w:t>
            </w:r>
            <w:r>
              <w:rPr>
                <w:rFonts w:hint="eastAsia" w:cs="Times New Roman"/>
                <w:color w:val="auto"/>
                <w:highlight w:val="none"/>
              </w:rPr>
              <w:t>5-</w:t>
            </w:r>
            <w:r>
              <w:rPr>
                <w:rFonts w:cs="Times New Roman"/>
                <w:color w:val="auto"/>
                <w:highlight w:val="none"/>
              </w:rPr>
              <w:t>1</w:t>
            </w:r>
            <w:r>
              <w:rPr>
                <w:rFonts w:hint="eastAsia" w:cs="Times New Roman"/>
                <w:color w:val="auto"/>
                <w:highlight w:val="none"/>
              </w:rPr>
              <w:t>7</w:t>
            </w:r>
            <w:r>
              <w:rPr>
                <w:rFonts w:cs="Times New Roman"/>
                <w:color w:val="auto"/>
                <w:highlight w:val="none"/>
              </w:rPr>
              <w:t>%，温度为7</w:t>
            </w:r>
            <w:r>
              <w:rPr>
                <w:rFonts w:hint="eastAsia" w:cs="Times New Roman"/>
                <w:color w:val="auto"/>
                <w:highlight w:val="none"/>
              </w:rPr>
              <w:t>0-80</w:t>
            </w:r>
            <w:r>
              <w:rPr>
                <w:rFonts w:cs="Times New Roman"/>
                <w:color w:val="auto"/>
                <w:highlight w:val="none"/>
              </w:rPr>
              <w:t>℃，这种状态的颗粒易碎，也不宜贮运。需要用冷却器将其迅速冷却至接近室温</w:t>
            </w:r>
            <w:r>
              <w:rPr>
                <w:rFonts w:hint="eastAsia" w:cs="Times New Roman"/>
                <w:color w:val="auto"/>
                <w:highlight w:val="none"/>
              </w:rPr>
              <w:t>（</w:t>
            </w:r>
            <w:r>
              <w:rPr>
                <w:rFonts w:cs="Times New Roman"/>
                <w:color w:val="auto"/>
                <w:highlight w:val="none"/>
              </w:rPr>
              <w:t>一般比室温高</w:t>
            </w:r>
            <w:r>
              <w:rPr>
                <w:rFonts w:hint="eastAsia" w:cs="Times New Roman"/>
                <w:color w:val="auto"/>
                <w:highlight w:val="none"/>
              </w:rPr>
              <w:t>3-5</w:t>
            </w:r>
            <w:r>
              <w:rPr>
                <w:rFonts w:cs="Times New Roman"/>
                <w:color w:val="auto"/>
                <w:highlight w:val="none"/>
              </w:rPr>
              <w:t>℃</w:t>
            </w:r>
            <w:r>
              <w:rPr>
                <w:rFonts w:hint="eastAsia" w:cs="Times New Roman"/>
                <w:color w:val="auto"/>
                <w:highlight w:val="none"/>
              </w:rPr>
              <w:t>）</w:t>
            </w:r>
            <w:r>
              <w:rPr>
                <w:rFonts w:cs="Times New Roman"/>
                <w:color w:val="auto"/>
                <w:highlight w:val="none"/>
              </w:rPr>
              <w:t>，使颗粒边硬，防止霉变，便于运输和贮存。</w:t>
            </w:r>
          </w:p>
          <w:p w14:paraId="0B7B6C72">
            <w:pPr>
              <w:ind w:firstLine="480"/>
              <w:rPr>
                <w:rFonts w:cs="Times New Roman"/>
                <w:color w:val="auto"/>
                <w:highlight w:val="none"/>
              </w:rPr>
            </w:pPr>
            <w:r>
              <w:rPr>
                <w:rFonts w:cs="Times New Roman"/>
                <w:color w:val="auto"/>
                <w:highlight w:val="none"/>
              </w:rPr>
              <w:t>⑤冷却筛分</w:t>
            </w:r>
          </w:p>
          <w:p w14:paraId="18FC0F3C">
            <w:pPr>
              <w:ind w:firstLine="480"/>
              <w:rPr>
                <w:rFonts w:cs="Times New Roman"/>
                <w:color w:val="auto"/>
                <w:highlight w:val="none"/>
              </w:rPr>
            </w:pPr>
            <w:r>
              <w:rPr>
                <w:rFonts w:hint="eastAsia" w:cs="Times New Roman"/>
                <w:color w:val="auto"/>
                <w:highlight w:val="none"/>
              </w:rPr>
              <w:t>从制粒机刚出来的饲料颗粒直接落入冷却分级筛的进料口，经冷却器冷却后落入分级筛筛分，筛分得到合格饲料颗粒、大杂、细粉和碎粒</w:t>
            </w:r>
          </w:p>
          <w:p w14:paraId="18E11EA8">
            <w:pPr>
              <w:ind w:firstLine="480"/>
              <w:rPr>
                <w:rFonts w:cs="Times New Roman"/>
                <w:color w:val="auto"/>
                <w:highlight w:val="none"/>
              </w:rPr>
            </w:pPr>
            <w:r>
              <w:rPr>
                <w:rFonts w:hint="eastAsia" w:cs="Times New Roman"/>
                <w:color w:val="auto"/>
                <w:highlight w:val="none"/>
              </w:rPr>
              <w:t>冷却分级筛的冷却器采用逆流式风冷技术，能将饲料颗粒冷却至</w:t>
            </w:r>
            <w:r>
              <w:rPr>
                <w:rFonts w:cs="Times New Roman"/>
                <w:color w:val="auto"/>
                <w:highlight w:val="none"/>
              </w:rPr>
              <w:t>1</w:t>
            </w:r>
            <w:r>
              <w:rPr>
                <w:rFonts w:hint="eastAsia" w:cs="Times New Roman"/>
                <w:color w:val="auto"/>
                <w:highlight w:val="none"/>
              </w:rPr>
              <w:t>2-</w:t>
            </w:r>
            <w:r>
              <w:rPr>
                <w:rFonts w:cs="Times New Roman"/>
                <w:color w:val="auto"/>
                <w:highlight w:val="none"/>
              </w:rPr>
              <w:t>1</w:t>
            </w:r>
            <w:r>
              <w:rPr>
                <w:rFonts w:hint="eastAsia" w:cs="Times New Roman"/>
                <w:color w:val="auto"/>
                <w:highlight w:val="none"/>
              </w:rPr>
              <w:t>4</w:t>
            </w:r>
            <w:r>
              <w:rPr>
                <w:rFonts w:cs="Times New Roman"/>
                <w:color w:val="auto"/>
                <w:highlight w:val="none"/>
              </w:rPr>
              <w:t>%</w:t>
            </w:r>
            <w:r>
              <w:rPr>
                <w:rFonts w:hint="eastAsia" w:cs="Times New Roman"/>
                <w:color w:val="auto"/>
                <w:highlight w:val="none"/>
              </w:rPr>
              <w:t>的安全储存含水率。分级筛采用二级振动筛分技术，一级筛余物为大杂（6mm以上颗粒），二级筛余物为成品饲料颗粒（4-6mm颗粒），剩下的为细粉、碎粒（4mm以下颗粒）。</w:t>
            </w:r>
          </w:p>
          <w:p w14:paraId="0F61CCCE">
            <w:pPr>
              <w:ind w:firstLine="480"/>
              <w:rPr>
                <w:rFonts w:cs="Times New Roman"/>
                <w:color w:val="auto"/>
                <w:highlight w:val="none"/>
              </w:rPr>
            </w:pPr>
            <w:r>
              <w:rPr>
                <w:rFonts w:cs="Times New Roman"/>
                <w:color w:val="auto"/>
                <w:highlight w:val="none"/>
              </w:rPr>
              <w:t>⑥</w:t>
            </w:r>
            <w:r>
              <w:rPr>
                <w:rFonts w:hint="eastAsia" w:cs="Times New Roman"/>
                <w:color w:val="auto"/>
                <w:highlight w:val="none"/>
              </w:rPr>
              <w:t>检验</w:t>
            </w:r>
          </w:p>
          <w:p w14:paraId="35FAB009">
            <w:pPr>
              <w:ind w:firstLine="480"/>
              <w:rPr>
                <w:rFonts w:cs="Times New Roman"/>
                <w:color w:val="auto"/>
                <w:highlight w:val="none"/>
              </w:rPr>
            </w:pPr>
            <w:r>
              <w:rPr>
                <w:rFonts w:hint="eastAsia" w:cs="Times New Roman"/>
                <w:color w:val="auto"/>
                <w:highlight w:val="none"/>
              </w:rPr>
              <w:t>筛分后的饲料颗粒由提升机输送至待检仓，待进一步检验，检验合格的饲料颗粒打包外售，不合规品回用于生产。</w:t>
            </w:r>
          </w:p>
          <w:p w14:paraId="6D4021C2">
            <w:pPr>
              <w:ind w:firstLine="480"/>
              <w:rPr>
                <w:rFonts w:cs="Times New Roman"/>
                <w:color w:val="auto"/>
                <w:highlight w:val="none"/>
              </w:rPr>
            </w:pPr>
            <w:r>
              <w:rPr>
                <w:rFonts w:hint="eastAsia" w:cs="Times New Roman"/>
                <w:color w:val="auto"/>
                <w:highlight w:val="none"/>
              </w:rPr>
              <w:t>项目每条饲料颗粒生产线设置1个待检仓和1个打包仓，单仓贮存能力均为35t（约</w:t>
            </w:r>
            <w:r>
              <w:rPr>
                <w:rFonts w:cs="Times New Roman"/>
                <w:color w:val="auto"/>
                <w:highlight w:val="none"/>
              </w:rPr>
              <w:t>15</w:t>
            </w:r>
            <w:r>
              <w:rPr>
                <w:rFonts w:hint="eastAsia" w:cs="Times New Roman"/>
                <w:color w:val="auto"/>
                <w:highlight w:val="none"/>
              </w:rPr>
              <w:t>天饲料颗粒产量）。采用“满仓待检、检后打包”的贮存模式，即待检仓用于接收并贮存饲料颗粒，打包仓用于打包工序；待检仓检验合格后转为打包仓投入打包工序，打包仓同上，循环往复。</w:t>
            </w:r>
          </w:p>
          <w:p w14:paraId="505BFD2C">
            <w:pPr>
              <w:ind w:firstLine="480"/>
              <w:rPr>
                <w:rFonts w:cs="Times New Roman"/>
                <w:color w:val="auto"/>
                <w:highlight w:val="none"/>
              </w:rPr>
            </w:pPr>
            <w:r>
              <w:rPr>
                <w:rFonts w:hint="eastAsia" w:cs="Times New Roman"/>
                <w:color w:val="auto"/>
                <w:highlight w:val="none"/>
              </w:rPr>
              <w:t>检验分为必检和抽检，其中，必检项目主要为饲料颗粒的产品质量标准，每天2次（600次/a，0.5kg/次样品），检验项目有：</w:t>
            </w:r>
            <w:r>
              <w:rPr>
                <w:rFonts w:cs="Times New Roman"/>
                <w:color w:val="auto"/>
                <w:highlight w:val="none"/>
              </w:rPr>
              <w:t>水分、粗蛋白、钙、磷、盐分</w:t>
            </w:r>
            <w:r>
              <w:rPr>
                <w:rFonts w:hint="eastAsia" w:cs="Times New Roman"/>
                <w:color w:val="auto"/>
                <w:highlight w:val="none"/>
              </w:rPr>
              <w:t>和混合均匀度；抽检项目主要为饲料颗粒的卫生标准，抽检为15天1次（20次/a，5kg/次样品），检验项目有霉菌毒素、重金属、沙门氏菌、违禁药物等。</w:t>
            </w:r>
          </w:p>
          <w:p w14:paraId="740C57D3">
            <w:pPr>
              <w:ind w:firstLine="480"/>
              <w:rPr>
                <w:rFonts w:cs="Times New Roman"/>
                <w:color w:val="auto"/>
                <w:highlight w:val="none"/>
              </w:rPr>
            </w:pPr>
            <w:r>
              <w:rPr>
                <w:rFonts w:cs="Times New Roman"/>
                <w:color w:val="auto"/>
                <w:highlight w:val="none"/>
              </w:rPr>
              <w:t>⑦</w:t>
            </w:r>
            <w:r>
              <w:rPr>
                <w:rFonts w:hint="eastAsia" w:cs="Times New Roman"/>
                <w:color w:val="auto"/>
                <w:highlight w:val="none"/>
              </w:rPr>
              <w:t>打包</w:t>
            </w:r>
          </w:p>
          <w:p w14:paraId="584FFDE8">
            <w:pPr>
              <w:ind w:firstLine="480"/>
              <w:rPr>
                <w:rFonts w:cs="Times New Roman"/>
                <w:color w:val="auto"/>
                <w:highlight w:val="none"/>
              </w:rPr>
            </w:pPr>
            <w:r>
              <w:rPr>
                <w:rFonts w:hint="eastAsia" w:cs="Times New Roman"/>
                <w:color w:val="auto"/>
                <w:highlight w:val="none"/>
              </w:rPr>
              <w:t>打包仓中的饲料颗粒沿下料管进入打包机，打包机进行定量、装袋，打包得到袋装饲料颗粒</w:t>
            </w:r>
            <w:r>
              <w:rPr>
                <w:rFonts w:cs="Times New Roman"/>
                <w:color w:val="auto"/>
                <w:highlight w:val="none"/>
              </w:rPr>
              <w:t>由叉车转运至</w:t>
            </w:r>
            <w:r>
              <w:rPr>
                <w:rFonts w:hint="eastAsia" w:cs="Times New Roman"/>
                <w:color w:val="auto"/>
                <w:highlight w:val="none"/>
              </w:rPr>
              <w:t>成品仓库</w:t>
            </w:r>
            <w:r>
              <w:rPr>
                <w:rFonts w:cs="Times New Roman"/>
                <w:color w:val="auto"/>
                <w:highlight w:val="none"/>
              </w:rPr>
              <w:t>。</w:t>
            </w:r>
          </w:p>
          <w:p w14:paraId="3A021811">
            <w:pPr>
              <w:pStyle w:val="2"/>
              <w:ind w:firstLine="482"/>
              <w:rPr>
                <w:rFonts w:cs="Times New Roman"/>
                <w:color w:val="auto"/>
                <w:highlight w:val="none"/>
              </w:rPr>
            </w:pPr>
            <w:r>
              <w:rPr>
                <w:rFonts w:cs="Times New Roman"/>
                <w:color w:val="auto"/>
                <w:highlight w:val="none"/>
              </w:rPr>
              <w:t>3、运营期污染物产生处置情况</w:t>
            </w:r>
          </w:p>
          <w:p w14:paraId="7D621159">
            <w:pPr>
              <w:ind w:firstLine="480"/>
              <w:rPr>
                <w:rFonts w:cs="Times New Roman"/>
                <w:color w:val="auto"/>
                <w:highlight w:val="none"/>
              </w:rPr>
            </w:pPr>
            <w:r>
              <w:rPr>
                <w:rFonts w:cs="Times New Roman"/>
                <w:color w:val="auto"/>
                <w:highlight w:val="none"/>
              </w:rPr>
              <w:t>运营期主要污染物有废气、废水、固体废物和噪声，产生情况详见下表。</w:t>
            </w:r>
          </w:p>
          <w:p w14:paraId="364086FB">
            <w:pPr>
              <w:pStyle w:val="14"/>
              <w:spacing w:before="156"/>
              <w:rPr>
                <w:rFonts w:cs="Times New Roman"/>
                <w:color w:val="auto"/>
                <w:highlight w:val="none"/>
              </w:rPr>
            </w:pPr>
            <w:r>
              <w:rPr>
                <w:rFonts w:cs="Times New Roman"/>
                <w:color w:val="auto"/>
                <w:highlight w:val="none"/>
              </w:rPr>
              <w:t>表2-1</w:t>
            </w:r>
            <w:r>
              <w:rPr>
                <w:rFonts w:hint="eastAsia" w:cs="Times New Roman"/>
                <w:color w:val="auto"/>
                <w:highlight w:val="none"/>
                <w:lang w:val="en-US" w:eastAsia="zh-CN"/>
              </w:rPr>
              <w:t>0</w:t>
            </w:r>
            <w:r>
              <w:rPr>
                <w:rFonts w:cs="Times New Roman"/>
                <w:color w:val="auto"/>
                <w:highlight w:val="none"/>
              </w:rPr>
              <w:t xml:space="preserve">  污染物产生环节一览表</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8"/>
              <w:gridCol w:w="1345"/>
              <w:gridCol w:w="720"/>
              <w:gridCol w:w="1080"/>
              <w:gridCol w:w="1455"/>
              <w:gridCol w:w="3845"/>
            </w:tblGrid>
            <w:tr w14:paraId="4B4CF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4" w:type="pct"/>
                  <w:gridSpan w:val="2"/>
                  <w:vAlign w:val="center"/>
                </w:tcPr>
                <w:p w14:paraId="64872A91">
                  <w:pPr>
                    <w:pStyle w:val="13"/>
                    <w:rPr>
                      <w:rFonts w:cs="Times New Roman"/>
                      <w:b/>
                      <w:bCs/>
                      <w:color w:val="auto"/>
                      <w:highlight w:val="none"/>
                    </w:rPr>
                  </w:pPr>
                  <w:r>
                    <w:rPr>
                      <w:rFonts w:cs="Times New Roman"/>
                      <w:b/>
                      <w:bCs/>
                      <w:color w:val="auto"/>
                      <w:highlight w:val="none"/>
                    </w:rPr>
                    <w:t>污染项目</w:t>
                  </w:r>
                </w:p>
              </w:tc>
              <w:tc>
                <w:tcPr>
                  <w:tcW w:w="406" w:type="pct"/>
                  <w:vAlign w:val="center"/>
                </w:tcPr>
                <w:p w14:paraId="3078DF48">
                  <w:pPr>
                    <w:pStyle w:val="13"/>
                    <w:rPr>
                      <w:rFonts w:cs="Times New Roman"/>
                      <w:b/>
                      <w:bCs/>
                      <w:color w:val="auto"/>
                      <w:highlight w:val="none"/>
                    </w:rPr>
                  </w:pPr>
                  <w:r>
                    <w:rPr>
                      <w:rFonts w:cs="Times New Roman"/>
                      <w:b/>
                      <w:bCs/>
                      <w:color w:val="auto"/>
                      <w:highlight w:val="none"/>
                    </w:rPr>
                    <w:t>污染代码</w:t>
                  </w:r>
                </w:p>
              </w:tc>
              <w:tc>
                <w:tcPr>
                  <w:tcW w:w="609" w:type="pct"/>
                  <w:vAlign w:val="center"/>
                </w:tcPr>
                <w:p w14:paraId="281AA87F">
                  <w:pPr>
                    <w:pStyle w:val="13"/>
                    <w:rPr>
                      <w:rFonts w:cs="Times New Roman"/>
                      <w:b/>
                      <w:bCs/>
                      <w:color w:val="auto"/>
                      <w:highlight w:val="none"/>
                    </w:rPr>
                  </w:pPr>
                  <w:r>
                    <w:rPr>
                      <w:rFonts w:cs="Times New Roman"/>
                      <w:b/>
                      <w:bCs/>
                      <w:color w:val="auto"/>
                      <w:highlight w:val="none"/>
                    </w:rPr>
                    <w:t>产污环节</w:t>
                  </w:r>
                </w:p>
              </w:tc>
              <w:tc>
                <w:tcPr>
                  <w:tcW w:w="820" w:type="pct"/>
                  <w:vAlign w:val="center"/>
                </w:tcPr>
                <w:p w14:paraId="21BED3B9">
                  <w:pPr>
                    <w:pStyle w:val="13"/>
                    <w:rPr>
                      <w:rFonts w:cs="Times New Roman"/>
                      <w:b/>
                      <w:bCs/>
                      <w:color w:val="auto"/>
                      <w:highlight w:val="none"/>
                    </w:rPr>
                  </w:pPr>
                  <w:r>
                    <w:rPr>
                      <w:rFonts w:cs="Times New Roman"/>
                      <w:b/>
                      <w:bCs/>
                      <w:color w:val="auto"/>
                      <w:highlight w:val="none"/>
                    </w:rPr>
                    <w:t>主要污染因子</w:t>
                  </w:r>
                </w:p>
              </w:tc>
              <w:tc>
                <w:tcPr>
                  <w:tcW w:w="2169" w:type="pct"/>
                  <w:vAlign w:val="center"/>
                </w:tcPr>
                <w:p w14:paraId="30CD33E7">
                  <w:pPr>
                    <w:pStyle w:val="13"/>
                    <w:rPr>
                      <w:rFonts w:cs="Times New Roman"/>
                      <w:b/>
                      <w:bCs/>
                      <w:color w:val="auto"/>
                      <w:highlight w:val="none"/>
                    </w:rPr>
                  </w:pPr>
                  <w:r>
                    <w:rPr>
                      <w:rFonts w:cs="Times New Roman"/>
                      <w:b/>
                      <w:bCs/>
                      <w:color w:val="auto"/>
                      <w:highlight w:val="none"/>
                    </w:rPr>
                    <w:t>污染治理措施</w:t>
                  </w:r>
                </w:p>
              </w:tc>
            </w:tr>
            <w:tr w14:paraId="1FCD1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5" w:type="pct"/>
                  <w:vMerge w:val="restart"/>
                  <w:vAlign w:val="center"/>
                </w:tcPr>
                <w:p w14:paraId="63381142">
                  <w:pPr>
                    <w:pStyle w:val="13"/>
                    <w:rPr>
                      <w:rFonts w:cs="Times New Roman"/>
                      <w:color w:val="auto"/>
                      <w:highlight w:val="none"/>
                    </w:rPr>
                  </w:pPr>
                  <w:r>
                    <w:rPr>
                      <w:rFonts w:cs="Times New Roman"/>
                      <w:color w:val="auto"/>
                      <w:highlight w:val="none"/>
                    </w:rPr>
                    <w:t>废气</w:t>
                  </w:r>
                </w:p>
              </w:tc>
              <w:tc>
                <w:tcPr>
                  <w:tcW w:w="758" w:type="pct"/>
                  <w:vAlign w:val="center"/>
                </w:tcPr>
                <w:p w14:paraId="78FB0D34">
                  <w:pPr>
                    <w:pStyle w:val="13"/>
                    <w:rPr>
                      <w:color w:val="auto"/>
                      <w:highlight w:val="none"/>
                    </w:rPr>
                  </w:pPr>
                  <w:r>
                    <w:rPr>
                      <w:color w:val="auto"/>
                      <w:highlight w:val="none"/>
                    </w:rPr>
                    <w:t>秸秆饲料生产废气</w:t>
                  </w:r>
                </w:p>
              </w:tc>
              <w:tc>
                <w:tcPr>
                  <w:tcW w:w="406" w:type="pct"/>
                  <w:vAlign w:val="center"/>
                </w:tcPr>
                <w:p w14:paraId="52368A3C">
                  <w:pPr>
                    <w:pStyle w:val="13"/>
                    <w:rPr>
                      <w:rFonts w:cs="Times New Roman"/>
                      <w:color w:val="auto"/>
                      <w:highlight w:val="none"/>
                    </w:rPr>
                  </w:pPr>
                  <w:r>
                    <w:rPr>
                      <w:rFonts w:cs="Times New Roman"/>
                      <w:color w:val="auto"/>
                      <w:highlight w:val="none"/>
                    </w:rPr>
                    <w:t>G1</w:t>
                  </w:r>
                </w:p>
              </w:tc>
              <w:tc>
                <w:tcPr>
                  <w:tcW w:w="609" w:type="pct"/>
                  <w:vAlign w:val="center"/>
                </w:tcPr>
                <w:p w14:paraId="116213DD">
                  <w:pPr>
                    <w:pStyle w:val="13"/>
                    <w:rPr>
                      <w:rFonts w:cs="Times New Roman"/>
                      <w:color w:val="auto"/>
                      <w:highlight w:val="none"/>
                    </w:rPr>
                  </w:pPr>
                  <w:r>
                    <w:rPr>
                      <w:rFonts w:hint="eastAsia" w:cs="Times New Roman"/>
                      <w:color w:val="auto"/>
                      <w:highlight w:val="none"/>
                    </w:rPr>
                    <w:t>秸秆饲料生产线</w:t>
                  </w:r>
                </w:p>
              </w:tc>
              <w:tc>
                <w:tcPr>
                  <w:tcW w:w="820" w:type="pct"/>
                  <w:vAlign w:val="center"/>
                </w:tcPr>
                <w:p w14:paraId="7AA0C69F">
                  <w:pPr>
                    <w:pStyle w:val="13"/>
                    <w:rPr>
                      <w:rFonts w:cs="Times New Roman"/>
                      <w:color w:val="auto"/>
                      <w:highlight w:val="none"/>
                    </w:rPr>
                  </w:pPr>
                  <w:r>
                    <w:rPr>
                      <w:rFonts w:cs="Times New Roman"/>
                      <w:color w:val="auto"/>
                      <w:highlight w:val="none"/>
                    </w:rPr>
                    <w:t>颗粒物</w:t>
                  </w:r>
                </w:p>
              </w:tc>
              <w:tc>
                <w:tcPr>
                  <w:tcW w:w="2169" w:type="pct"/>
                  <w:vAlign w:val="center"/>
                </w:tcPr>
                <w:p w14:paraId="04F0AA97">
                  <w:pPr>
                    <w:pStyle w:val="13"/>
                    <w:rPr>
                      <w:rFonts w:cs="Times New Roman"/>
                      <w:color w:val="auto"/>
                      <w:highlight w:val="none"/>
                    </w:rPr>
                  </w:pPr>
                  <w:r>
                    <w:rPr>
                      <w:rFonts w:hint="eastAsia" w:cs="Times New Roman"/>
                      <w:color w:val="auto"/>
                      <w:highlight w:val="none"/>
                    </w:rPr>
                    <w:t>通过在清理筛、磁选机、破碎机、秸秆打包机产污处设置集气罩收集</w:t>
                  </w:r>
                  <w:r>
                    <w:rPr>
                      <w:color w:val="auto"/>
                      <w:highlight w:val="none"/>
                    </w:rPr>
                    <w:t>秸秆饲料生产废气</w:t>
                  </w:r>
                  <w:r>
                    <w:rPr>
                      <w:rFonts w:hint="eastAsia"/>
                      <w:color w:val="auto"/>
                      <w:highlight w:val="none"/>
                    </w:rPr>
                    <w:t>并入</w:t>
                  </w:r>
                  <w:r>
                    <w:rPr>
                      <w:rFonts w:cs="Times New Roman"/>
                      <w:color w:val="auto"/>
                      <w:highlight w:val="none"/>
                    </w:rPr>
                    <w:t>一根</w:t>
                  </w:r>
                  <w:r>
                    <w:rPr>
                      <w:rFonts w:hint="eastAsia"/>
                      <w:color w:val="auto"/>
                      <w:highlight w:val="none"/>
                    </w:rPr>
                    <w:t>管道，经布袋除尘器处理后由</w:t>
                  </w:r>
                  <w:r>
                    <w:rPr>
                      <w:rFonts w:cs="Times New Roman"/>
                      <w:color w:val="auto"/>
                      <w:highlight w:val="none"/>
                    </w:rPr>
                    <w:t>15m高排气筒DA001排放。</w:t>
                  </w:r>
                </w:p>
              </w:tc>
            </w:tr>
            <w:tr w14:paraId="1ED3C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35" w:type="pct"/>
                  <w:vMerge w:val="continue"/>
                  <w:vAlign w:val="center"/>
                </w:tcPr>
                <w:p w14:paraId="1A8B04CB">
                  <w:pPr>
                    <w:pStyle w:val="13"/>
                    <w:rPr>
                      <w:rFonts w:cs="Times New Roman"/>
                      <w:color w:val="auto"/>
                      <w:highlight w:val="none"/>
                    </w:rPr>
                  </w:pPr>
                </w:p>
              </w:tc>
              <w:tc>
                <w:tcPr>
                  <w:tcW w:w="758" w:type="pct"/>
                  <w:vAlign w:val="center"/>
                </w:tcPr>
                <w:p w14:paraId="6243A80D">
                  <w:pPr>
                    <w:pStyle w:val="13"/>
                    <w:rPr>
                      <w:color w:val="auto"/>
                      <w:highlight w:val="none"/>
                    </w:rPr>
                  </w:pPr>
                  <w:r>
                    <w:rPr>
                      <w:color w:val="auto"/>
                      <w:highlight w:val="none"/>
                    </w:rPr>
                    <w:t>饲料颗粒生产废气</w:t>
                  </w:r>
                </w:p>
              </w:tc>
              <w:tc>
                <w:tcPr>
                  <w:tcW w:w="406" w:type="pct"/>
                  <w:vAlign w:val="center"/>
                </w:tcPr>
                <w:p w14:paraId="5892DF6D">
                  <w:pPr>
                    <w:pStyle w:val="13"/>
                    <w:rPr>
                      <w:rFonts w:cs="Times New Roman"/>
                      <w:color w:val="auto"/>
                      <w:highlight w:val="none"/>
                    </w:rPr>
                  </w:pPr>
                  <w:r>
                    <w:rPr>
                      <w:rFonts w:cs="Times New Roman"/>
                      <w:color w:val="auto"/>
                      <w:highlight w:val="none"/>
                    </w:rPr>
                    <w:t>G2</w:t>
                  </w:r>
                </w:p>
              </w:tc>
              <w:tc>
                <w:tcPr>
                  <w:tcW w:w="609" w:type="pct"/>
                  <w:vAlign w:val="center"/>
                </w:tcPr>
                <w:p w14:paraId="1592373C">
                  <w:pPr>
                    <w:pStyle w:val="13"/>
                    <w:rPr>
                      <w:rFonts w:cs="Times New Roman"/>
                      <w:color w:val="auto"/>
                      <w:highlight w:val="none"/>
                    </w:rPr>
                  </w:pPr>
                  <w:r>
                    <w:rPr>
                      <w:rFonts w:hint="eastAsia" w:cs="Times New Roman"/>
                      <w:color w:val="auto"/>
                      <w:highlight w:val="none"/>
                    </w:rPr>
                    <w:t>饲料颗粒生产线</w:t>
                  </w:r>
                </w:p>
              </w:tc>
              <w:tc>
                <w:tcPr>
                  <w:tcW w:w="820" w:type="pct"/>
                  <w:vAlign w:val="center"/>
                </w:tcPr>
                <w:p w14:paraId="255DBC16">
                  <w:pPr>
                    <w:pStyle w:val="13"/>
                    <w:rPr>
                      <w:rFonts w:cs="Times New Roman"/>
                      <w:color w:val="auto"/>
                      <w:highlight w:val="none"/>
                    </w:rPr>
                  </w:pPr>
                  <w:r>
                    <w:rPr>
                      <w:rFonts w:cs="Times New Roman"/>
                      <w:color w:val="auto"/>
                      <w:highlight w:val="none"/>
                    </w:rPr>
                    <w:t>颗粒物</w:t>
                  </w:r>
                </w:p>
              </w:tc>
              <w:tc>
                <w:tcPr>
                  <w:tcW w:w="2169" w:type="pct"/>
                  <w:vAlign w:val="center"/>
                </w:tcPr>
                <w:p w14:paraId="18054FD1">
                  <w:pPr>
                    <w:pStyle w:val="13"/>
                    <w:rPr>
                      <w:rFonts w:cs="Times New Roman"/>
                      <w:color w:val="auto"/>
                      <w:highlight w:val="none"/>
                    </w:rPr>
                  </w:pPr>
                  <w:r>
                    <w:rPr>
                      <w:rFonts w:hint="eastAsia" w:cs="Times New Roman"/>
                      <w:color w:val="auto"/>
                      <w:highlight w:val="none"/>
                    </w:rPr>
                    <w:t>通过在混合机、制粒机、冷却分级筛产污处设置集气罩收集饲料颗粒生产废气，经布袋除尘器处理后由15m高排气筒DA002排放</w:t>
                  </w:r>
                  <w:r>
                    <w:rPr>
                      <w:rFonts w:cs="Times New Roman"/>
                      <w:color w:val="auto"/>
                      <w:highlight w:val="none"/>
                    </w:rPr>
                    <w:t>。</w:t>
                  </w:r>
                </w:p>
              </w:tc>
            </w:tr>
            <w:tr w14:paraId="0C7F3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35" w:type="pct"/>
                  <w:vMerge w:val="continue"/>
                  <w:vAlign w:val="center"/>
                </w:tcPr>
                <w:p w14:paraId="5E584744">
                  <w:pPr>
                    <w:pStyle w:val="13"/>
                    <w:rPr>
                      <w:rFonts w:cs="Times New Roman"/>
                      <w:color w:val="auto"/>
                      <w:highlight w:val="none"/>
                    </w:rPr>
                  </w:pPr>
                </w:p>
              </w:tc>
              <w:tc>
                <w:tcPr>
                  <w:tcW w:w="758" w:type="pct"/>
                  <w:vAlign w:val="center"/>
                </w:tcPr>
                <w:p w14:paraId="0B359910">
                  <w:pPr>
                    <w:pStyle w:val="13"/>
                    <w:rPr>
                      <w:color w:val="auto"/>
                      <w:highlight w:val="none"/>
                    </w:rPr>
                  </w:pPr>
                  <w:r>
                    <w:rPr>
                      <w:rFonts w:hint="eastAsia"/>
                      <w:color w:val="auto"/>
                      <w:highlight w:val="none"/>
                    </w:rPr>
                    <w:t>锅炉废气</w:t>
                  </w:r>
                </w:p>
              </w:tc>
              <w:tc>
                <w:tcPr>
                  <w:tcW w:w="406" w:type="pct"/>
                  <w:vAlign w:val="center"/>
                </w:tcPr>
                <w:p w14:paraId="357E6E43">
                  <w:pPr>
                    <w:pStyle w:val="13"/>
                    <w:rPr>
                      <w:rFonts w:cs="Times New Roman"/>
                      <w:color w:val="auto"/>
                      <w:highlight w:val="none"/>
                    </w:rPr>
                  </w:pPr>
                  <w:r>
                    <w:rPr>
                      <w:rFonts w:hint="eastAsia" w:cs="Times New Roman"/>
                      <w:color w:val="auto"/>
                      <w:highlight w:val="none"/>
                    </w:rPr>
                    <w:t>G</w:t>
                  </w:r>
                </w:p>
              </w:tc>
              <w:tc>
                <w:tcPr>
                  <w:tcW w:w="609" w:type="pct"/>
                  <w:vAlign w:val="center"/>
                </w:tcPr>
                <w:p w14:paraId="1FE63CD7">
                  <w:pPr>
                    <w:pStyle w:val="13"/>
                    <w:rPr>
                      <w:rFonts w:cs="Times New Roman"/>
                      <w:color w:val="auto"/>
                      <w:highlight w:val="none"/>
                    </w:rPr>
                  </w:pPr>
                  <w:r>
                    <w:rPr>
                      <w:rFonts w:hint="eastAsia" w:cs="Times New Roman"/>
                      <w:color w:val="auto"/>
                      <w:highlight w:val="none"/>
                    </w:rPr>
                    <w:t>锅炉</w:t>
                  </w:r>
                </w:p>
              </w:tc>
              <w:tc>
                <w:tcPr>
                  <w:tcW w:w="820" w:type="pct"/>
                  <w:vAlign w:val="center"/>
                </w:tcPr>
                <w:p w14:paraId="44A93B4A">
                  <w:pPr>
                    <w:pStyle w:val="13"/>
                    <w:rPr>
                      <w:rFonts w:cs="Times New Roman"/>
                      <w:color w:val="auto"/>
                      <w:highlight w:val="none"/>
                    </w:rPr>
                  </w:pPr>
                  <w:r>
                    <w:rPr>
                      <w:rFonts w:hint="eastAsia" w:cs="Times New Roman"/>
                      <w:color w:val="auto"/>
                      <w:highlight w:val="none"/>
                    </w:rPr>
                    <w:t>颗粒物、氮氧化物、二氧化硫、烟气黑度</w:t>
                  </w:r>
                </w:p>
              </w:tc>
              <w:tc>
                <w:tcPr>
                  <w:tcW w:w="2169" w:type="pct"/>
                  <w:vAlign w:val="center"/>
                </w:tcPr>
                <w:p w14:paraId="5B3E3D23">
                  <w:pPr>
                    <w:pStyle w:val="13"/>
                    <w:rPr>
                      <w:rFonts w:cs="Times New Roman"/>
                      <w:color w:val="auto"/>
                      <w:highlight w:val="none"/>
                    </w:rPr>
                  </w:pPr>
                  <w:r>
                    <w:rPr>
                      <w:rFonts w:hint="eastAsia" w:cs="Times New Roman"/>
                      <w:color w:val="auto"/>
                      <w:highlight w:val="none"/>
                    </w:rPr>
                    <w:t>采用低氮燃烧的锅炉废气经布袋除尘器处理后由30m高排气筒DA003排放，</w:t>
                  </w:r>
                </w:p>
              </w:tc>
            </w:tr>
            <w:tr w14:paraId="1F801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235" w:type="pct"/>
                  <w:vMerge w:val="restart"/>
                  <w:vAlign w:val="center"/>
                </w:tcPr>
                <w:p w14:paraId="1B5D2CAD">
                  <w:pPr>
                    <w:pStyle w:val="13"/>
                    <w:rPr>
                      <w:rFonts w:cs="Times New Roman"/>
                      <w:color w:val="auto"/>
                      <w:highlight w:val="none"/>
                    </w:rPr>
                  </w:pPr>
                  <w:r>
                    <w:rPr>
                      <w:rFonts w:cs="Times New Roman"/>
                      <w:color w:val="auto"/>
                      <w:highlight w:val="none"/>
                    </w:rPr>
                    <w:t>废水</w:t>
                  </w:r>
                </w:p>
              </w:tc>
              <w:tc>
                <w:tcPr>
                  <w:tcW w:w="758" w:type="pct"/>
                  <w:vAlign w:val="center"/>
                </w:tcPr>
                <w:p w14:paraId="162BFC40">
                  <w:pPr>
                    <w:pStyle w:val="13"/>
                    <w:rPr>
                      <w:rFonts w:hint="default" w:eastAsia="宋体" w:cs="Times New Roman"/>
                      <w:color w:val="auto"/>
                      <w:highlight w:val="none"/>
                      <w:lang w:val="en-US" w:eastAsia="zh-CN"/>
                    </w:rPr>
                  </w:pPr>
                  <w:r>
                    <w:rPr>
                      <w:rFonts w:hint="eastAsia" w:cs="Times New Roman"/>
                      <w:color w:val="auto"/>
                      <w:highlight w:val="none"/>
                      <w:lang w:val="en-US" w:eastAsia="zh-CN"/>
                    </w:rPr>
                    <w:t>调质废水</w:t>
                  </w:r>
                </w:p>
              </w:tc>
              <w:tc>
                <w:tcPr>
                  <w:tcW w:w="406" w:type="pct"/>
                  <w:vAlign w:val="center"/>
                </w:tcPr>
                <w:p w14:paraId="6D0EBD35">
                  <w:pPr>
                    <w:pStyle w:val="13"/>
                    <w:rPr>
                      <w:rFonts w:hint="default" w:eastAsia="宋体" w:cs="Times New Roman"/>
                      <w:color w:val="auto"/>
                      <w:highlight w:val="none"/>
                      <w:lang w:val="en-US" w:eastAsia="zh-CN"/>
                    </w:rPr>
                  </w:pPr>
                  <w:r>
                    <w:rPr>
                      <w:rFonts w:hint="eastAsia" w:cs="Times New Roman"/>
                      <w:color w:val="auto"/>
                      <w:highlight w:val="none"/>
                      <w:lang w:val="en-US" w:eastAsia="zh-CN"/>
                    </w:rPr>
                    <w:t>W1</w:t>
                  </w:r>
                </w:p>
              </w:tc>
              <w:tc>
                <w:tcPr>
                  <w:tcW w:w="609" w:type="pct"/>
                  <w:vAlign w:val="center"/>
                </w:tcPr>
                <w:p w14:paraId="153194B7">
                  <w:pPr>
                    <w:pStyle w:val="13"/>
                    <w:rPr>
                      <w:rFonts w:hint="default" w:eastAsia="宋体" w:cs="Times New Roman"/>
                      <w:color w:val="auto"/>
                      <w:highlight w:val="none"/>
                      <w:lang w:val="en-US" w:eastAsia="zh-CN"/>
                    </w:rPr>
                  </w:pPr>
                  <w:r>
                    <w:rPr>
                      <w:rFonts w:hint="eastAsia" w:cs="Times New Roman"/>
                      <w:color w:val="auto"/>
                      <w:highlight w:val="none"/>
                      <w:lang w:val="en-US" w:eastAsia="zh-CN"/>
                    </w:rPr>
                    <w:t>软水制备</w:t>
                  </w:r>
                </w:p>
              </w:tc>
              <w:tc>
                <w:tcPr>
                  <w:tcW w:w="820" w:type="pct"/>
                  <w:vMerge w:val="restart"/>
                  <w:vAlign w:val="center"/>
                </w:tcPr>
                <w:p w14:paraId="0FA771FA">
                  <w:pPr>
                    <w:pStyle w:val="13"/>
                    <w:rPr>
                      <w:rFonts w:cs="Times New Roman"/>
                      <w:color w:val="auto"/>
                      <w:highlight w:val="none"/>
                    </w:rPr>
                  </w:pPr>
                  <w:r>
                    <w:rPr>
                      <w:rFonts w:hint="eastAsia" w:cs="Times New Roman"/>
                      <w:color w:val="auto"/>
                      <w:highlight w:val="none"/>
                    </w:rPr>
                    <w:t>pH、色度、SS、BOD</w:t>
                  </w:r>
                  <w:r>
                    <w:rPr>
                      <w:rFonts w:hint="eastAsia" w:cs="Times New Roman"/>
                      <w:color w:val="auto"/>
                      <w:highlight w:val="none"/>
                      <w:vertAlign w:val="subscript"/>
                    </w:rPr>
                    <w:t>5</w:t>
                  </w:r>
                  <w:r>
                    <w:rPr>
                      <w:rFonts w:hint="eastAsia" w:cs="Times New Roman"/>
                      <w:color w:val="auto"/>
                      <w:highlight w:val="none"/>
                    </w:rPr>
                    <w:t>、COD、NH</w:t>
                  </w:r>
                  <w:r>
                    <w:rPr>
                      <w:rFonts w:hint="eastAsia" w:cs="Times New Roman"/>
                      <w:color w:val="auto"/>
                      <w:highlight w:val="none"/>
                      <w:vertAlign w:val="subscript"/>
                    </w:rPr>
                    <w:t>3</w:t>
                  </w:r>
                  <w:r>
                    <w:rPr>
                      <w:rFonts w:hint="eastAsia" w:cs="Times New Roman"/>
                      <w:color w:val="auto"/>
                      <w:highlight w:val="none"/>
                    </w:rPr>
                    <w:t>-N、TN、TP、动植物油</w:t>
                  </w:r>
                </w:p>
              </w:tc>
              <w:tc>
                <w:tcPr>
                  <w:tcW w:w="2169" w:type="pct"/>
                  <w:vMerge w:val="restart"/>
                  <w:vAlign w:val="center"/>
                </w:tcPr>
                <w:p w14:paraId="14D583E5">
                  <w:pPr>
                    <w:pStyle w:val="13"/>
                    <w:rPr>
                      <w:rFonts w:cs="Times New Roman"/>
                      <w:color w:val="auto"/>
                      <w:highlight w:val="none"/>
                    </w:rPr>
                  </w:pPr>
                  <w:r>
                    <w:rPr>
                      <w:rFonts w:hint="eastAsia" w:cs="Times New Roman"/>
                      <w:color w:val="auto"/>
                      <w:highlight w:val="none"/>
                      <w:lang w:eastAsia="zh-CN"/>
                    </w:rPr>
                    <w:t>生活污水经隔油池、化粪池处理达酉华镇污水处理站接管标准后，与调质废水一起纳管排入酉华镇污水处理站处理，达到《城镇污水处理站污染物排放标准》（GB 18918-2002）一级A标准后排入七星河</w:t>
                  </w:r>
                  <w:r>
                    <w:rPr>
                      <w:rFonts w:cs="Times New Roman"/>
                      <w:color w:val="auto"/>
                      <w:highlight w:val="none"/>
                    </w:rPr>
                    <w:t>。</w:t>
                  </w:r>
                </w:p>
              </w:tc>
            </w:tr>
            <w:tr w14:paraId="4AD08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5" w:type="pct"/>
                  <w:vMerge w:val="continue"/>
                  <w:vAlign w:val="center"/>
                </w:tcPr>
                <w:p w14:paraId="3D3063C0">
                  <w:pPr>
                    <w:pStyle w:val="13"/>
                    <w:rPr>
                      <w:rFonts w:cs="Times New Roman"/>
                      <w:color w:val="auto"/>
                      <w:highlight w:val="none"/>
                    </w:rPr>
                  </w:pPr>
                </w:p>
              </w:tc>
              <w:tc>
                <w:tcPr>
                  <w:tcW w:w="758" w:type="pct"/>
                  <w:vAlign w:val="center"/>
                </w:tcPr>
                <w:p w14:paraId="046FA0B5">
                  <w:pPr>
                    <w:pStyle w:val="13"/>
                    <w:rPr>
                      <w:rFonts w:cs="Times New Roman"/>
                      <w:color w:val="auto"/>
                      <w:highlight w:val="none"/>
                    </w:rPr>
                  </w:pPr>
                  <w:r>
                    <w:rPr>
                      <w:rFonts w:cs="Times New Roman"/>
                      <w:color w:val="auto"/>
                      <w:highlight w:val="none"/>
                    </w:rPr>
                    <w:t>生活污水</w:t>
                  </w:r>
                </w:p>
              </w:tc>
              <w:tc>
                <w:tcPr>
                  <w:tcW w:w="406" w:type="pct"/>
                  <w:vAlign w:val="center"/>
                </w:tcPr>
                <w:p w14:paraId="4974FF11">
                  <w:pPr>
                    <w:pStyle w:val="13"/>
                    <w:rPr>
                      <w:rFonts w:hint="eastAsia" w:eastAsia="宋体" w:cs="Times New Roman"/>
                      <w:color w:val="auto"/>
                      <w:highlight w:val="none"/>
                      <w:lang w:val="en-US" w:eastAsia="zh-CN"/>
                    </w:rPr>
                  </w:pPr>
                  <w:r>
                    <w:rPr>
                      <w:rFonts w:cs="Times New Roman"/>
                      <w:color w:val="auto"/>
                      <w:highlight w:val="none"/>
                    </w:rPr>
                    <w:t>W</w:t>
                  </w:r>
                  <w:r>
                    <w:rPr>
                      <w:rFonts w:hint="eastAsia" w:cs="Times New Roman"/>
                      <w:color w:val="auto"/>
                      <w:highlight w:val="none"/>
                      <w:lang w:val="en-US" w:eastAsia="zh-CN"/>
                    </w:rPr>
                    <w:t>2</w:t>
                  </w:r>
                </w:p>
              </w:tc>
              <w:tc>
                <w:tcPr>
                  <w:tcW w:w="609" w:type="pct"/>
                  <w:vAlign w:val="center"/>
                </w:tcPr>
                <w:p w14:paraId="286A1BAC">
                  <w:pPr>
                    <w:pStyle w:val="13"/>
                    <w:rPr>
                      <w:rFonts w:cs="Times New Roman"/>
                      <w:color w:val="auto"/>
                      <w:highlight w:val="none"/>
                    </w:rPr>
                  </w:pPr>
                  <w:r>
                    <w:rPr>
                      <w:rFonts w:cs="Times New Roman"/>
                      <w:color w:val="auto"/>
                      <w:highlight w:val="none"/>
                    </w:rPr>
                    <w:t>员工生活</w:t>
                  </w:r>
                </w:p>
              </w:tc>
              <w:tc>
                <w:tcPr>
                  <w:tcW w:w="820" w:type="pct"/>
                  <w:vMerge w:val="continue"/>
                  <w:vAlign w:val="center"/>
                </w:tcPr>
                <w:p w14:paraId="09B46FED">
                  <w:pPr>
                    <w:pStyle w:val="13"/>
                    <w:rPr>
                      <w:rFonts w:cs="Times New Roman"/>
                      <w:color w:val="auto"/>
                      <w:highlight w:val="none"/>
                    </w:rPr>
                  </w:pPr>
                </w:p>
              </w:tc>
              <w:tc>
                <w:tcPr>
                  <w:tcW w:w="2169" w:type="pct"/>
                  <w:vMerge w:val="continue"/>
                  <w:vAlign w:val="center"/>
                </w:tcPr>
                <w:p w14:paraId="6A3693CA">
                  <w:pPr>
                    <w:pStyle w:val="13"/>
                    <w:rPr>
                      <w:rFonts w:cs="Times New Roman"/>
                      <w:color w:val="auto"/>
                      <w:highlight w:val="none"/>
                    </w:rPr>
                  </w:pPr>
                </w:p>
              </w:tc>
            </w:tr>
            <w:tr w14:paraId="6E015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5" w:type="pct"/>
                  <w:vMerge w:val="restart"/>
                  <w:vAlign w:val="center"/>
                </w:tcPr>
                <w:p w14:paraId="3D77C1D8">
                  <w:pPr>
                    <w:pStyle w:val="13"/>
                    <w:rPr>
                      <w:rFonts w:cs="Times New Roman"/>
                      <w:color w:val="auto"/>
                      <w:highlight w:val="none"/>
                    </w:rPr>
                  </w:pPr>
                  <w:r>
                    <w:rPr>
                      <w:rFonts w:cs="Times New Roman"/>
                      <w:color w:val="auto"/>
                      <w:highlight w:val="none"/>
                    </w:rPr>
                    <w:t>固废</w:t>
                  </w:r>
                </w:p>
              </w:tc>
              <w:tc>
                <w:tcPr>
                  <w:tcW w:w="758" w:type="pct"/>
                  <w:vAlign w:val="center"/>
                </w:tcPr>
                <w:p w14:paraId="3654516A">
                  <w:pPr>
                    <w:pStyle w:val="13"/>
                    <w:rPr>
                      <w:rFonts w:cs="Times New Roman"/>
                      <w:color w:val="auto"/>
                      <w:highlight w:val="none"/>
                    </w:rPr>
                  </w:pPr>
                  <w:r>
                    <w:rPr>
                      <w:rFonts w:hint="eastAsia" w:cs="Times New Roman"/>
                      <w:color w:val="auto"/>
                      <w:highlight w:val="none"/>
                    </w:rPr>
                    <w:t>筛分杂质</w:t>
                  </w:r>
                </w:p>
              </w:tc>
              <w:tc>
                <w:tcPr>
                  <w:tcW w:w="406" w:type="pct"/>
                  <w:vAlign w:val="center"/>
                </w:tcPr>
                <w:p w14:paraId="5BC41018">
                  <w:pPr>
                    <w:pStyle w:val="13"/>
                    <w:rPr>
                      <w:rFonts w:cs="Times New Roman"/>
                      <w:color w:val="auto"/>
                      <w:highlight w:val="none"/>
                    </w:rPr>
                  </w:pPr>
                  <w:r>
                    <w:rPr>
                      <w:rFonts w:cs="Times New Roman"/>
                      <w:color w:val="auto"/>
                      <w:highlight w:val="none"/>
                    </w:rPr>
                    <w:t>S1</w:t>
                  </w:r>
                </w:p>
              </w:tc>
              <w:tc>
                <w:tcPr>
                  <w:tcW w:w="609" w:type="pct"/>
                  <w:vAlign w:val="center"/>
                </w:tcPr>
                <w:p w14:paraId="0BAA5897">
                  <w:pPr>
                    <w:pStyle w:val="13"/>
                    <w:rPr>
                      <w:rFonts w:cs="Times New Roman"/>
                      <w:color w:val="auto"/>
                      <w:highlight w:val="none"/>
                    </w:rPr>
                  </w:pPr>
                  <w:r>
                    <w:rPr>
                      <w:rFonts w:hint="eastAsia" w:cs="Times New Roman"/>
                      <w:color w:val="auto"/>
                      <w:highlight w:val="none"/>
                    </w:rPr>
                    <w:t>筛分</w:t>
                  </w:r>
                </w:p>
              </w:tc>
              <w:tc>
                <w:tcPr>
                  <w:tcW w:w="820" w:type="pct"/>
                  <w:vAlign w:val="center"/>
                </w:tcPr>
                <w:p w14:paraId="2115539A">
                  <w:pPr>
                    <w:pStyle w:val="13"/>
                    <w:rPr>
                      <w:rFonts w:cs="Times New Roman"/>
                      <w:color w:val="auto"/>
                      <w:highlight w:val="none"/>
                    </w:rPr>
                  </w:pPr>
                  <w:r>
                    <w:rPr>
                      <w:rFonts w:hint="eastAsia" w:cs="Times New Roman"/>
                      <w:color w:val="auto"/>
                      <w:highlight w:val="none"/>
                    </w:rPr>
                    <w:t>泥块等杂物</w:t>
                  </w:r>
                </w:p>
              </w:tc>
              <w:tc>
                <w:tcPr>
                  <w:tcW w:w="2169" w:type="pct"/>
                  <w:vMerge w:val="restart"/>
                  <w:vAlign w:val="center"/>
                </w:tcPr>
                <w:p w14:paraId="4A34FE01">
                  <w:pPr>
                    <w:pStyle w:val="13"/>
                    <w:rPr>
                      <w:rFonts w:cs="Times New Roman"/>
                      <w:color w:val="auto"/>
                      <w:highlight w:val="none"/>
                    </w:rPr>
                  </w:pPr>
                  <w:r>
                    <w:rPr>
                      <w:rFonts w:cs="Times New Roman"/>
                      <w:color w:val="auto"/>
                      <w:highlight w:val="none"/>
                    </w:rPr>
                    <w:t>收集暂存于固废库，委托有资质单位定期处置。</w:t>
                  </w:r>
                </w:p>
              </w:tc>
            </w:tr>
            <w:tr w14:paraId="4DECC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5" w:type="pct"/>
                  <w:vMerge w:val="continue"/>
                  <w:vAlign w:val="center"/>
                </w:tcPr>
                <w:p w14:paraId="453384EE">
                  <w:pPr>
                    <w:pStyle w:val="13"/>
                    <w:rPr>
                      <w:rFonts w:cs="Times New Roman"/>
                      <w:color w:val="auto"/>
                      <w:highlight w:val="none"/>
                    </w:rPr>
                  </w:pPr>
                </w:p>
              </w:tc>
              <w:tc>
                <w:tcPr>
                  <w:tcW w:w="758" w:type="pct"/>
                  <w:vAlign w:val="center"/>
                </w:tcPr>
                <w:p w14:paraId="647F6DF5">
                  <w:pPr>
                    <w:pStyle w:val="13"/>
                    <w:rPr>
                      <w:rFonts w:cs="Times New Roman"/>
                      <w:color w:val="auto"/>
                      <w:highlight w:val="none"/>
                    </w:rPr>
                  </w:pPr>
                  <w:r>
                    <w:rPr>
                      <w:rFonts w:hint="eastAsia" w:cs="Times New Roman"/>
                      <w:color w:val="auto"/>
                      <w:highlight w:val="none"/>
                    </w:rPr>
                    <w:t>磁选杂质</w:t>
                  </w:r>
                </w:p>
              </w:tc>
              <w:tc>
                <w:tcPr>
                  <w:tcW w:w="406" w:type="pct"/>
                  <w:vAlign w:val="center"/>
                </w:tcPr>
                <w:p w14:paraId="07AA457F">
                  <w:pPr>
                    <w:pStyle w:val="13"/>
                    <w:rPr>
                      <w:rFonts w:cs="Times New Roman"/>
                      <w:color w:val="auto"/>
                      <w:highlight w:val="none"/>
                    </w:rPr>
                  </w:pPr>
                  <w:r>
                    <w:rPr>
                      <w:rFonts w:cs="Times New Roman"/>
                      <w:color w:val="auto"/>
                      <w:highlight w:val="none"/>
                    </w:rPr>
                    <w:t>S2</w:t>
                  </w:r>
                </w:p>
              </w:tc>
              <w:tc>
                <w:tcPr>
                  <w:tcW w:w="609" w:type="pct"/>
                  <w:vAlign w:val="center"/>
                </w:tcPr>
                <w:p w14:paraId="2A38C56C">
                  <w:pPr>
                    <w:pStyle w:val="13"/>
                    <w:rPr>
                      <w:rFonts w:cs="Times New Roman"/>
                      <w:color w:val="auto"/>
                      <w:highlight w:val="none"/>
                    </w:rPr>
                  </w:pPr>
                  <w:r>
                    <w:rPr>
                      <w:rFonts w:hint="eastAsia" w:cs="Times New Roman"/>
                      <w:color w:val="auto"/>
                      <w:highlight w:val="none"/>
                    </w:rPr>
                    <w:t>磁选</w:t>
                  </w:r>
                </w:p>
              </w:tc>
              <w:tc>
                <w:tcPr>
                  <w:tcW w:w="820" w:type="pct"/>
                  <w:vAlign w:val="center"/>
                </w:tcPr>
                <w:p w14:paraId="5EFA811F">
                  <w:pPr>
                    <w:pStyle w:val="13"/>
                    <w:rPr>
                      <w:rFonts w:cs="Times New Roman"/>
                      <w:color w:val="auto"/>
                      <w:highlight w:val="none"/>
                    </w:rPr>
                  </w:pPr>
                  <w:r>
                    <w:rPr>
                      <w:rFonts w:cs="Times New Roman"/>
                      <w:color w:val="auto"/>
                      <w:highlight w:val="none"/>
                    </w:rPr>
                    <w:t>废铁</w:t>
                  </w:r>
                </w:p>
              </w:tc>
              <w:tc>
                <w:tcPr>
                  <w:tcW w:w="2169" w:type="pct"/>
                  <w:vMerge w:val="continue"/>
                  <w:vAlign w:val="center"/>
                </w:tcPr>
                <w:p w14:paraId="4B3867A4">
                  <w:pPr>
                    <w:pStyle w:val="13"/>
                    <w:rPr>
                      <w:rFonts w:cs="Times New Roman"/>
                      <w:color w:val="auto"/>
                      <w:highlight w:val="none"/>
                    </w:rPr>
                  </w:pPr>
                </w:p>
              </w:tc>
            </w:tr>
            <w:tr w14:paraId="206B2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5" w:type="pct"/>
                  <w:vMerge w:val="continue"/>
                  <w:vAlign w:val="center"/>
                </w:tcPr>
                <w:p w14:paraId="10D5C274">
                  <w:pPr>
                    <w:pStyle w:val="13"/>
                    <w:rPr>
                      <w:rFonts w:cs="Times New Roman"/>
                      <w:color w:val="auto"/>
                      <w:highlight w:val="none"/>
                    </w:rPr>
                  </w:pPr>
                </w:p>
              </w:tc>
              <w:tc>
                <w:tcPr>
                  <w:tcW w:w="758" w:type="pct"/>
                  <w:vAlign w:val="center"/>
                </w:tcPr>
                <w:p w14:paraId="73919755">
                  <w:pPr>
                    <w:pStyle w:val="13"/>
                    <w:rPr>
                      <w:rFonts w:cs="Times New Roman"/>
                      <w:color w:val="auto"/>
                      <w:highlight w:val="none"/>
                    </w:rPr>
                  </w:pPr>
                  <w:r>
                    <w:rPr>
                      <w:rFonts w:hint="eastAsia" w:cs="Times New Roman"/>
                      <w:color w:val="auto"/>
                      <w:highlight w:val="none"/>
                    </w:rPr>
                    <w:t>废包装材料</w:t>
                  </w:r>
                </w:p>
              </w:tc>
              <w:tc>
                <w:tcPr>
                  <w:tcW w:w="406" w:type="pct"/>
                  <w:vAlign w:val="center"/>
                </w:tcPr>
                <w:p w14:paraId="336784C0">
                  <w:pPr>
                    <w:pStyle w:val="13"/>
                    <w:rPr>
                      <w:rFonts w:cs="Times New Roman"/>
                      <w:color w:val="auto"/>
                      <w:highlight w:val="none"/>
                    </w:rPr>
                  </w:pPr>
                  <w:r>
                    <w:rPr>
                      <w:rFonts w:cs="Times New Roman"/>
                      <w:color w:val="auto"/>
                      <w:highlight w:val="none"/>
                    </w:rPr>
                    <w:t>S3</w:t>
                  </w:r>
                </w:p>
              </w:tc>
              <w:tc>
                <w:tcPr>
                  <w:tcW w:w="609" w:type="pct"/>
                  <w:vAlign w:val="center"/>
                </w:tcPr>
                <w:p w14:paraId="255C90BE">
                  <w:pPr>
                    <w:pStyle w:val="13"/>
                    <w:rPr>
                      <w:rFonts w:cs="Times New Roman"/>
                      <w:color w:val="auto"/>
                      <w:highlight w:val="none"/>
                    </w:rPr>
                  </w:pPr>
                  <w:r>
                    <w:rPr>
                      <w:rFonts w:hint="eastAsia" w:cs="Times New Roman"/>
                      <w:color w:val="auto"/>
                      <w:highlight w:val="none"/>
                    </w:rPr>
                    <w:t>/</w:t>
                  </w:r>
                </w:p>
              </w:tc>
              <w:tc>
                <w:tcPr>
                  <w:tcW w:w="820" w:type="pct"/>
                  <w:vAlign w:val="center"/>
                </w:tcPr>
                <w:p w14:paraId="6B299E70">
                  <w:pPr>
                    <w:pStyle w:val="13"/>
                    <w:rPr>
                      <w:rFonts w:cs="Times New Roman"/>
                      <w:color w:val="auto"/>
                      <w:highlight w:val="none"/>
                    </w:rPr>
                  </w:pPr>
                  <w:r>
                    <w:rPr>
                      <w:rFonts w:cs="Times New Roman"/>
                      <w:color w:val="auto"/>
                      <w:highlight w:val="none"/>
                    </w:rPr>
                    <w:t>废包装材料</w:t>
                  </w:r>
                </w:p>
              </w:tc>
              <w:tc>
                <w:tcPr>
                  <w:tcW w:w="2169" w:type="pct"/>
                  <w:vMerge w:val="continue"/>
                  <w:vAlign w:val="center"/>
                </w:tcPr>
                <w:p w14:paraId="36B03197">
                  <w:pPr>
                    <w:pStyle w:val="13"/>
                    <w:rPr>
                      <w:rFonts w:cs="Times New Roman"/>
                      <w:color w:val="auto"/>
                      <w:highlight w:val="none"/>
                    </w:rPr>
                  </w:pPr>
                </w:p>
              </w:tc>
            </w:tr>
            <w:tr w14:paraId="1BCC9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5" w:type="pct"/>
                  <w:vMerge w:val="continue"/>
                  <w:vAlign w:val="center"/>
                </w:tcPr>
                <w:p w14:paraId="4ACD75D3">
                  <w:pPr>
                    <w:pStyle w:val="13"/>
                    <w:rPr>
                      <w:rFonts w:cs="Times New Roman"/>
                      <w:color w:val="auto"/>
                      <w:highlight w:val="none"/>
                    </w:rPr>
                  </w:pPr>
                </w:p>
              </w:tc>
              <w:tc>
                <w:tcPr>
                  <w:tcW w:w="758" w:type="pct"/>
                  <w:vAlign w:val="center"/>
                </w:tcPr>
                <w:p w14:paraId="472DF73E">
                  <w:pPr>
                    <w:pStyle w:val="13"/>
                    <w:rPr>
                      <w:rFonts w:cs="Times New Roman"/>
                      <w:color w:val="auto"/>
                      <w:highlight w:val="none"/>
                    </w:rPr>
                  </w:pPr>
                  <w:r>
                    <w:rPr>
                      <w:rFonts w:hint="eastAsia" w:cs="Times New Roman"/>
                      <w:color w:val="auto"/>
                      <w:highlight w:val="none"/>
                    </w:rPr>
                    <w:t>炉渣</w:t>
                  </w:r>
                </w:p>
              </w:tc>
              <w:tc>
                <w:tcPr>
                  <w:tcW w:w="406" w:type="pct"/>
                  <w:vAlign w:val="center"/>
                </w:tcPr>
                <w:p w14:paraId="4972EC53">
                  <w:pPr>
                    <w:pStyle w:val="13"/>
                    <w:rPr>
                      <w:rFonts w:cs="Times New Roman"/>
                      <w:color w:val="auto"/>
                      <w:highlight w:val="none"/>
                    </w:rPr>
                  </w:pPr>
                  <w:r>
                    <w:rPr>
                      <w:rFonts w:hint="eastAsia" w:cs="Times New Roman"/>
                      <w:color w:val="auto"/>
                      <w:highlight w:val="none"/>
                    </w:rPr>
                    <w:t>S5</w:t>
                  </w:r>
                </w:p>
              </w:tc>
              <w:tc>
                <w:tcPr>
                  <w:tcW w:w="609" w:type="pct"/>
                  <w:vAlign w:val="center"/>
                </w:tcPr>
                <w:p w14:paraId="58E10E15">
                  <w:pPr>
                    <w:pStyle w:val="13"/>
                    <w:rPr>
                      <w:rFonts w:cs="Times New Roman"/>
                      <w:color w:val="auto"/>
                      <w:highlight w:val="none"/>
                    </w:rPr>
                  </w:pPr>
                  <w:r>
                    <w:rPr>
                      <w:rFonts w:hint="eastAsia" w:cs="Times New Roman"/>
                      <w:color w:val="auto"/>
                      <w:highlight w:val="none"/>
                    </w:rPr>
                    <w:t>蒸汽锅炉</w:t>
                  </w:r>
                </w:p>
              </w:tc>
              <w:tc>
                <w:tcPr>
                  <w:tcW w:w="820" w:type="pct"/>
                  <w:vAlign w:val="center"/>
                </w:tcPr>
                <w:p w14:paraId="4CE624FA">
                  <w:pPr>
                    <w:pStyle w:val="13"/>
                    <w:rPr>
                      <w:rFonts w:cs="Times New Roman"/>
                      <w:color w:val="auto"/>
                      <w:highlight w:val="none"/>
                    </w:rPr>
                  </w:pPr>
                  <w:r>
                    <w:rPr>
                      <w:rFonts w:hint="eastAsia" w:cs="Times New Roman"/>
                      <w:color w:val="auto"/>
                      <w:highlight w:val="none"/>
                    </w:rPr>
                    <w:t>炉渣</w:t>
                  </w:r>
                </w:p>
              </w:tc>
              <w:tc>
                <w:tcPr>
                  <w:tcW w:w="2169" w:type="pct"/>
                  <w:vMerge w:val="continue"/>
                  <w:vAlign w:val="center"/>
                </w:tcPr>
                <w:p w14:paraId="3425737F">
                  <w:pPr>
                    <w:pStyle w:val="13"/>
                    <w:rPr>
                      <w:rFonts w:cs="Times New Roman"/>
                      <w:color w:val="auto"/>
                      <w:highlight w:val="none"/>
                    </w:rPr>
                  </w:pPr>
                </w:p>
              </w:tc>
            </w:tr>
            <w:tr w14:paraId="528F2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5" w:type="pct"/>
                  <w:vMerge w:val="continue"/>
                  <w:vAlign w:val="center"/>
                </w:tcPr>
                <w:p w14:paraId="140E40EB">
                  <w:pPr>
                    <w:pStyle w:val="13"/>
                    <w:rPr>
                      <w:rFonts w:cs="Times New Roman"/>
                      <w:color w:val="auto"/>
                      <w:highlight w:val="none"/>
                    </w:rPr>
                  </w:pPr>
                </w:p>
              </w:tc>
              <w:tc>
                <w:tcPr>
                  <w:tcW w:w="758" w:type="pct"/>
                  <w:vAlign w:val="center"/>
                </w:tcPr>
                <w:p w14:paraId="01DD430E">
                  <w:pPr>
                    <w:pStyle w:val="13"/>
                    <w:rPr>
                      <w:rFonts w:cs="Times New Roman"/>
                      <w:color w:val="auto"/>
                      <w:highlight w:val="none"/>
                    </w:rPr>
                  </w:pPr>
                  <w:r>
                    <w:rPr>
                      <w:rFonts w:hint="eastAsia" w:cs="Times New Roman"/>
                      <w:color w:val="auto"/>
                      <w:highlight w:val="none"/>
                    </w:rPr>
                    <w:t>除尘粉尘</w:t>
                  </w:r>
                </w:p>
              </w:tc>
              <w:tc>
                <w:tcPr>
                  <w:tcW w:w="406" w:type="pct"/>
                  <w:vAlign w:val="center"/>
                </w:tcPr>
                <w:p w14:paraId="20620EBC">
                  <w:pPr>
                    <w:pStyle w:val="13"/>
                    <w:rPr>
                      <w:rFonts w:cs="Times New Roman"/>
                      <w:color w:val="auto"/>
                      <w:highlight w:val="none"/>
                    </w:rPr>
                  </w:pPr>
                  <w:r>
                    <w:rPr>
                      <w:rFonts w:cs="Times New Roman"/>
                      <w:color w:val="auto"/>
                      <w:highlight w:val="none"/>
                    </w:rPr>
                    <w:t>S4</w:t>
                  </w:r>
                </w:p>
              </w:tc>
              <w:tc>
                <w:tcPr>
                  <w:tcW w:w="609" w:type="pct"/>
                  <w:vAlign w:val="center"/>
                </w:tcPr>
                <w:p w14:paraId="6CDC00F0">
                  <w:pPr>
                    <w:pStyle w:val="13"/>
                    <w:rPr>
                      <w:rFonts w:cs="Times New Roman"/>
                      <w:color w:val="auto"/>
                      <w:highlight w:val="none"/>
                    </w:rPr>
                  </w:pPr>
                  <w:r>
                    <w:rPr>
                      <w:rFonts w:cs="Times New Roman"/>
                      <w:color w:val="auto"/>
                      <w:highlight w:val="none"/>
                    </w:rPr>
                    <w:t>废气处理</w:t>
                  </w:r>
                </w:p>
              </w:tc>
              <w:tc>
                <w:tcPr>
                  <w:tcW w:w="820" w:type="pct"/>
                  <w:vAlign w:val="center"/>
                </w:tcPr>
                <w:p w14:paraId="4F1CE256">
                  <w:pPr>
                    <w:pStyle w:val="13"/>
                    <w:rPr>
                      <w:rFonts w:cs="Times New Roman"/>
                      <w:color w:val="auto"/>
                      <w:highlight w:val="none"/>
                    </w:rPr>
                  </w:pPr>
                  <w:r>
                    <w:rPr>
                      <w:rFonts w:hint="eastAsia" w:cs="Times New Roman"/>
                      <w:color w:val="auto"/>
                      <w:highlight w:val="none"/>
                    </w:rPr>
                    <w:t>除尘器粉尘</w:t>
                  </w:r>
                </w:p>
              </w:tc>
              <w:tc>
                <w:tcPr>
                  <w:tcW w:w="2169" w:type="pct"/>
                  <w:vAlign w:val="center"/>
                </w:tcPr>
                <w:p w14:paraId="2223CD7E">
                  <w:pPr>
                    <w:pStyle w:val="13"/>
                    <w:rPr>
                      <w:rFonts w:cs="Times New Roman"/>
                      <w:color w:val="auto"/>
                      <w:highlight w:val="none"/>
                    </w:rPr>
                  </w:pPr>
                  <w:r>
                    <w:rPr>
                      <w:rFonts w:hint="eastAsia" w:cs="Times New Roman"/>
                      <w:color w:val="auto"/>
                      <w:highlight w:val="none"/>
                    </w:rPr>
                    <w:t>收集后回用于生产。</w:t>
                  </w:r>
                </w:p>
              </w:tc>
            </w:tr>
            <w:tr w14:paraId="2375A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5" w:type="pct"/>
                  <w:vMerge w:val="continue"/>
                  <w:vAlign w:val="center"/>
                </w:tcPr>
                <w:p w14:paraId="5838FB5B">
                  <w:pPr>
                    <w:pStyle w:val="13"/>
                    <w:rPr>
                      <w:rFonts w:cs="Times New Roman"/>
                      <w:color w:val="auto"/>
                      <w:highlight w:val="none"/>
                    </w:rPr>
                  </w:pPr>
                </w:p>
              </w:tc>
              <w:tc>
                <w:tcPr>
                  <w:tcW w:w="758" w:type="pct"/>
                  <w:vAlign w:val="center"/>
                </w:tcPr>
                <w:p w14:paraId="1D0FBD0F">
                  <w:pPr>
                    <w:pStyle w:val="13"/>
                    <w:rPr>
                      <w:rFonts w:cs="Times New Roman"/>
                      <w:color w:val="auto"/>
                      <w:highlight w:val="none"/>
                    </w:rPr>
                  </w:pPr>
                  <w:r>
                    <w:rPr>
                      <w:rFonts w:hint="eastAsia" w:cs="Times New Roman"/>
                      <w:color w:val="auto"/>
                      <w:highlight w:val="none"/>
                    </w:rPr>
                    <w:t>废矿物油</w:t>
                  </w:r>
                </w:p>
              </w:tc>
              <w:tc>
                <w:tcPr>
                  <w:tcW w:w="406" w:type="pct"/>
                  <w:vAlign w:val="center"/>
                </w:tcPr>
                <w:p w14:paraId="7FD4AA9B">
                  <w:pPr>
                    <w:pStyle w:val="13"/>
                    <w:rPr>
                      <w:rFonts w:cs="Times New Roman"/>
                      <w:color w:val="auto"/>
                      <w:highlight w:val="none"/>
                    </w:rPr>
                  </w:pPr>
                  <w:r>
                    <w:rPr>
                      <w:rFonts w:cs="Times New Roman"/>
                      <w:color w:val="auto"/>
                      <w:highlight w:val="none"/>
                    </w:rPr>
                    <w:t>S</w:t>
                  </w:r>
                  <w:r>
                    <w:rPr>
                      <w:rFonts w:hint="eastAsia" w:cs="Times New Roman"/>
                      <w:color w:val="auto"/>
                      <w:highlight w:val="none"/>
                    </w:rPr>
                    <w:t>6</w:t>
                  </w:r>
                </w:p>
              </w:tc>
              <w:tc>
                <w:tcPr>
                  <w:tcW w:w="609" w:type="pct"/>
                  <w:vAlign w:val="center"/>
                </w:tcPr>
                <w:p w14:paraId="1CA20B6D">
                  <w:pPr>
                    <w:pStyle w:val="13"/>
                    <w:rPr>
                      <w:rFonts w:cs="Times New Roman"/>
                      <w:color w:val="auto"/>
                      <w:highlight w:val="none"/>
                    </w:rPr>
                  </w:pPr>
                  <w:r>
                    <w:rPr>
                      <w:rFonts w:hint="eastAsia" w:cs="Times New Roman"/>
                      <w:color w:val="auto"/>
                      <w:highlight w:val="none"/>
                    </w:rPr>
                    <w:t>设备维护</w:t>
                  </w:r>
                </w:p>
              </w:tc>
              <w:tc>
                <w:tcPr>
                  <w:tcW w:w="820" w:type="pct"/>
                  <w:vAlign w:val="center"/>
                </w:tcPr>
                <w:p w14:paraId="0F9D05AE">
                  <w:pPr>
                    <w:pStyle w:val="13"/>
                    <w:rPr>
                      <w:rFonts w:cs="Times New Roman"/>
                      <w:color w:val="auto"/>
                      <w:highlight w:val="none"/>
                    </w:rPr>
                  </w:pPr>
                  <w:r>
                    <w:rPr>
                      <w:rFonts w:hint="eastAsia" w:cs="Times New Roman"/>
                      <w:color w:val="auto"/>
                      <w:highlight w:val="none"/>
                    </w:rPr>
                    <w:t>废机油、废液压油</w:t>
                  </w:r>
                </w:p>
              </w:tc>
              <w:tc>
                <w:tcPr>
                  <w:tcW w:w="2169" w:type="pct"/>
                  <w:vAlign w:val="center"/>
                </w:tcPr>
                <w:p w14:paraId="15EF96B7">
                  <w:pPr>
                    <w:pStyle w:val="13"/>
                    <w:rPr>
                      <w:rFonts w:cs="Times New Roman"/>
                      <w:color w:val="auto"/>
                      <w:highlight w:val="none"/>
                    </w:rPr>
                  </w:pPr>
                  <w:r>
                    <w:rPr>
                      <w:rFonts w:cs="Times New Roman"/>
                      <w:color w:val="auto"/>
                      <w:highlight w:val="none"/>
                    </w:rPr>
                    <w:t>收集暂存于危废库，委托有资质单位定期处置。</w:t>
                  </w:r>
                </w:p>
              </w:tc>
            </w:tr>
            <w:tr w14:paraId="37CED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5" w:type="pct"/>
                  <w:vMerge w:val="continue"/>
                  <w:vAlign w:val="center"/>
                </w:tcPr>
                <w:p w14:paraId="74AC357B">
                  <w:pPr>
                    <w:pStyle w:val="13"/>
                    <w:rPr>
                      <w:rFonts w:cs="Times New Roman"/>
                      <w:color w:val="auto"/>
                      <w:highlight w:val="none"/>
                    </w:rPr>
                  </w:pPr>
                </w:p>
              </w:tc>
              <w:tc>
                <w:tcPr>
                  <w:tcW w:w="758" w:type="pct"/>
                  <w:vAlign w:val="center"/>
                </w:tcPr>
                <w:p w14:paraId="0D8C9F68">
                  <w:pPr>
                    <w:pStyle w:val="13"/>
                    <w:rPr>
                      <w:rFonts w:cs="Times New Roman"/>
                      <w:color w:val="auto"/>
                      <w:highlight w:val="none"/>
                    </w:rPr>
                  </w:pPr>
                  <w:r>
                    <w:rPr>
                      <w:rFonts w:cs="Times New Roman"/>
                      <w:color w:val="auto"/>
                      <w:highlight w:val="none"/>
                    </w:rPr>
                    <w:t>生活垃圾</w:t>
                  </w:r>
                </w:p>
              </w:tc>
              <w:tc>
                <w:tcPr>
                  <w:tcW w:w="406" w:type="pct"/>
                  <w:vAlign w:val="center"/>
                </w:tcPr>
                <w:p w14:paraId="66CC05A9">
                  <w:pPr>
                    <w:pStyle w:val="13"/>
                    <w:rPr>
                      <w:rFonts w:cs="Times New Roman"/>
                      <w:color w:val="auto"/>
                      <w:highlight w:val="none"/>
                    </w:rPr>
                  </w:pPr>
                  <w:r>
                    <w:rPr>
                      <w:rFonts w:hint="eastAsia" w:cs="Times New Roman"/>
                      <w:color w:val="auto"/>
                      <w:highlight w:val="none"/>
                    </w:rPr>
                    <w:t>S7</w:t>
                  </w:r>
                </w:p>
              </w:tc>
              <w:tc>
                <w:tcPr>
                  <w:tcW w:w="609" w:type="pct"/>
                  <w:vAlign w:val="center"/>
                </w:tcPr>
                <w:p w14:paraId="3C021D08">
                  <w:pPr>
                    <w:pStyle w:val="13"/>
                    <w:rPr>
                      <w:rFonts w:cs="Times New Roman"/>
                      <w:color w:val="auto"/>
                      <w:highlight w:val="none"/>
                    </w:rPr>
                  </w:pPr>
                  <w:r>
                    <w:rPr>
                      <w:rFonts w:cs="Times New Roman"/>
                      <w:color w:val="auto"/>
                      <w:highlight w:val="none"/>
                    </w:rPr>
                    <w:t>员工生活</w:t>
                  </w:r>
                </w:p>
              </w:tc>
              <w:tc>
                <w:tcPr>
                  <w:tcW w:w="820" w:type="pct"/>
                  <w:vAlign w:val="center"/>
                </w:tcPr>
                <w:p w14:paraId="38208051">
                  <w:pPr>
                    <w:pStyle w:val="13"/>
                    <w:rPr>
                      <w:rFonts w:cs="Times New Roman"/>
                      <w:color w:val="auto"/>
                      <w:highlight w:val="none"/>
                    </w:rPr>
                  </w:pPr>
                  <w:r>
                    <w:rPr>
                      <w:rFonts w:cs="Times New Roman"/>
                      <w:color w:val="auto"/>
                      <w:highlight w:val="none"/>
                    </w:rPr>
                    <w:t>生活垃圾</w:t>
                  </w:r>
                </w:p>
              </w:tc>
              <w:tc>
                <w:tcPr>
                  <w:tcW w:w="2169" w:type="pct"/>
                  <w:vAlign w:val="center"/>
                </w:tcPr>
                <w:p w14:paraId="51E7770C">
                  <w:pPr>
                    <w:pStyle w:val="13"/>
                    <w:rPr>
                      <w:rFonts w:cs="Times New Roman"/>
                      <w:color w:val="auto"/>
                      <w:highlight w:val="none"/>
                    </w:rPr>
                  </w:pPr>
                  <w:r>
                    <w:rPr>
                      <w:rFonts w:cs="Times New Roman"/>
                      <w:color w:val="auto"/>
                      <w:highlight w:val="none"/>
                    </w:rPr>
                    <w:t>环卫部门定期清运。</w:t>
                  </w:r>
                </w:p>
              </w:tc>
            </w:tr>
            <w:tr w14:paraId="24D76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5" w:type="pct"/>
                  <w:vAlign w:val="center"/>
                </w:tcPr>
                <w:p w14:paraId="14F8C658">
                  <w:pPr>
                    <w:pStyle w:val="13"/>
                    <w:rPr>
                      <w:rFonts w:cs="Times New Roman"/>
                      <w:color w:val="auto"/>
                      <w:highlight w:val="none"/>
                    </w:rPr>
                  </w:pPr>
                  <w:r>
                    <w:rPr>
                      <w:rFonts w:cs="Times New Roman"/>
                      <w:color w:val="auto"/>
                      <w:highlight w:val="none"/>
                    </w:rPr>
                    <w:t>噪声</w:t>
                  </w:r>
                </w:p>
              </w:tc>
              <w:tc>
                <w:tcPr>
                  <w:tcW w:w="758" w:type="pct"/>
                  <w:vAlign w:val="center"/>
                </w:tcPr>
                <w:p w14:paraId="26DDCD1A">
                  <w:pPr>
                    <w:pStyle w:val="13"/>
                    <w:rPr>
                      <w:rFonts w:cs="Times New Roman"/>
                      <w:color w:val="auto"/>
                      <w:highlight w:val="none"/>
                    </w:rPr>
                  </w:pPr>
                  <w:r>
                    <w:rPr>
                      <w:rFonts w:cs="Times New Roman"/>
                      <w:color w:val="auto"/>
                      <w:highlight w:val="none"/>
                    </w:rPr>
                    <w:t>噪声</w:t>
                  </w:r>
                </w:p>
              </w:tc>
              <w:tc>
                <w:tcPr>
                  <w:tcW w:w="406" w:type="pct"/>
                  <w:vAlign w:val="center"/>
                </w:tcPr>
                <w:p w14:paraId="26121B97">
                  <w:pPr>
                    <w:pStyle w:val="13"/>
                    <w:rPr>
                      <w:rFonts w:cs="Times New Roman"/>
                      <w:color w:val="auto"/>
                      <w:highlight w:val="none"/>
                    </w:rPr>
                  </w:pPr>
                  <w:r>
                    <w:rPr>
                      <w:rFonts w:cs="Times New Roman"/>
                      <w:color w:val="auto"/>
                      <w:highlight w:val="none"/>
                    </w:rPr>
                    <w:t>N</w:t>
                  </w:r>
                </w:p>
              </w:tc>
              <w:tc>
                <w:tcPr>
                  <w:tcW w:w="609" w:type="pct"/>
                  <w:vAlign w:val="center"/>
                </w:tcPr>
                <w:p w14:paraId="1FB92BBA">
                  <w:pPr>
                    <w:pStyle w:val="13"/>
                    <w:rPr>
                      <w:rFonts w:cs="Times New Roman"/>
                      <w:color w:val="auto"/>
                      <w:highlight w:val="none"/>
                    </w:rPr>
                  </w:pPr>
                  <w:r>
                    <w:rPr>
                      <w:rFonts w:cs="Times New Roman"/>
                      <w:color w:val="auto"/>
                      <w:highlight w:val="none"/>
                    </w:rPr>
                    <w:t>噪声</w:t>
                  </w:r>
                </w:p>
              </w:tc>
              <w:tc>
                <w:tcPr>
                  <w:tcW w:w="820" w:type="pct"/>
                  <w:vAlign w:val="center"/>
                </w:tcPr>
                <w:p w14:paraId="1DCF3712">
                  <w:pPr>
                    <w:pStyle w:val="13"/>
                    <w:rPr>
                      <w:rFonts w:cs="Times New Roman"/>
                      <w:color w:val="auto"/>
                      <w:highlight w:val="none"/>
                    </w:rPr>
                  </w:pPr>
                  <w:r>
                    <w:rPr>
                      <w:rFonts w:cs="Times New Roman"/>
                      <w:color w:val="auto"/>
                      <w:highlight w:val="none"/>
                    </w:rPr>
                    <w:t>生产设备</w:t>
                  </w:r>
                </w:p>
              </w:tc>
              <w:tc>
                <w:tcPr>
                  <w:tcW w:w="2169" w:type="pct"/>
                  <w:vAlign w:val="center"/>
                </w:tcPr>
                <w:p w14:paraId="31805F5E">
                  <w:pPr>
                    <w:pStyle w:val="13"/>
                    <w:rPr>
                      <w:rFonts w:cs="Times New Roman"/>
                      <w:color w:val="auto"/>
                      <w:highlight w:val="none"/>
                    </w:rPr>
                  </w:pPr>
                  <w:r>
                    <w:rPr>
                      <w:rFonts w:cs="Times New Roman"/>
                      <w:color w:val="auto"/>
                      <w:highlight w:val="none"/>
                    </w:rPr>
                    <w:t>厂区合理布置，高噪声设备尽量布置在厂区中部；厂房隔声；安装减震垫；加强设备的维修管理。</w:t>
                  </w:r>
                </w:p>
              </w:tc>
            </w:tr>
          </w:tbl>
          <w:p w14:paraId="772F936B">
            <w:pPr>
              <w:ind w:firstLine="480"/>
              <w:rPr>
                <w:rFonts w:cs="Times New Roman"/>
                <w:color w:val="auto"/>
                <w:highlight w:val="none"/>
              </w:rPr>
            </w:pPr>
          </w:p>
        </w:tc>
      </w:tr>
      <w:tr w14:paraId="300AF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5" w:type="pct"/>
          </w:tcPr>
          <w:p w14:paraId="21D99CFF">
            <w:pPr>
              <w:pStyle w:val="13"/>
              <w:rPr>
                <w:rFonts w:cs="Times New Roman"/>
                <w:b/>
                <w:bCs/>
                <w:color w:val="auto"/>
                <w:sz w:val="24"/>
                <w:szCs w:val="24"/>
                <w:highlight w:val="none"/>
              </w:rPr>
            </w:pPr>
            <w:r>
              <w:rPr>
                <w:rFonts w:cs="Times New Roman"/>
                <w:b/>
                <w:bCs/>
                <w:color w:val="auto"/>
                <w:highlight w:val="none"/>
              </w:rPr>
              <w:t>与项目有关的原有环境污染问题</w:t>
            </w:r>
          </w:p>
        </w:tc>
        <w:tc>
          <w:tcPr>
            <w:tcW w:w="4664" w:type="pct"/>
          </w:tcPr>
          <w:p w14:paraId="3468B595">
            <w:pPr>
              <w:ind w:firstLine="480"/>
              <w:rPr>
                <w:rFonts w:cs="Times New Roman"/>
                <w:color w:val="auto"/>
                <w:highlight w:val="none"/>
              </w:rPr>
            </w:pPr>
            <w:r>
              <w:rPr>
                <w:rFonts w:cs="Times New Roman"/>
                <w:color w:val="auto"/>
                <w:highlight w:val="none"/>
              </w:rPr>
              <w:t>本项目为新建项目，项目选址为青阳县酉华镇金峰村金元组</w:t>
            </w:r>
            <w:r>
              <w:rPr>
                <w:rFonts w:hint="eastAsia" w:cs="Times New Roman"/>
                <w:color w:val="auto"/>
                <w:highlight w:val="none"/>
              </w:rPr>
              <w:t>安徽省青阳县荣华炉料</w:t>
            </w:r>
            <w:r>
              <w:rPr>
                <w:rFonts w:cs="Times New Roman"/>
                <w:color w:val="auto"/>
                <w:highlight w:val="none"/>
              </w:rPr>
              <w:t>有限公司</w:t>
            </w:r>
            <w:r>
              <w:rPr>
                <w:rFonts w:hint="eastAsia" w:cs="Times New Roman"/>
                <w:color w:val="auto"/>
                <w:highlight w:val="none"/>
              </w:rPr>
              <w:t>现有闲置的1.7443公顷土地</w:t>
            </w:r>
            <w:r>
              <w:rPr>
                <w:rFonts w:cs="Times New Roman"/>
                <w:color w:val="auto"/>
                <w:highlight w:val="none"/>
              </w:rPr>
              <w:t>，无与本项目有关的原有污染情况及主要环境问题。</w:t>
            </w:r>
          </w:p>
          <w:p w14:paraId="6E8468E1">
            <w:pPr>
              <w:ind w:firstLine="480"/>
              <w:rPr>
                <w:rFonts w:cs="Times New Roman"/>
                <w:color w:val="auto"/>
                <w:highlight w:val="none"/>
              </w:rPr>
            </w:pPr>
          </w:p>
          <w:p w14:paraId="614FC17F">
            <w:pPr>
              <w:ind w:firstLine="480"/>
              <w:rPr>
                <w:rFonts w:cs="Times New Roman"/>
                <w:color w:val="auto"/>
                <w:highlight w:val="none"/>
              </w:rPr>
            </w:pPr>
          </w:p>
        </w:tc>
      </w:tr>
    </w:tbl>
    <w:p w14:paraId="2EEE8CB9">
      <w:pPr>
        <w:ind w:firstLine="480"/>
        <w:rPr>
          <w:color w:val="auto"/>
          <w:highlight w:val="none"/>
        </w:rPr>
        <w:sectPr>
          <w:pgSz w:w="11906" w:h="16838"/>
          <w:pgMar w:top="1134" w:right="1247" w:bottom="1247" w:left="1134" w:header="851" w:footer="850" w:gutter="0"/>
          <w:cols w:space="425" w:num="1"/>
          <w:docGrid w:type="lines" w:linePitch="312" w:charSpace="0"/>
        </w:sectPr>
      </w:pPr>
    </w:p>
    <w:p w14:paraId="10996755">
      <w:pPr>
        <w:pStyle w:val="17"/>
        <w:rPr>
          <w:color w:val="auto"/>
          <w:highlight w:val="none"/>
        </w:rPr>
      </w:pPr>
      <w:r>
        <w:rPr>
          <w:rFonts w:hint="default"/>
          <w:color w:val="auto"/>
          <w:highlight w:val="none"/>
        </w:rPr>
        <w:t>三、区域环境质量现状、环境保护目标及评价标准</w:t>
      </w:r>
    </w:p>
    <w:tbl>
      <w:tblPr>
        <w:tblStyle w:val="1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2"/>
        <w:gridCol w:w="9287"/>
      </w:tblGrid>
      <w:tr w14:paraId="7498F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 w:type="pct"/>
          </w:tcPr>
          <w:p w14:paraId="681DDE5A">
            <w:pPr>
              <w:ind w:firstLine="0" w:firstLineChars="0"/>
              <w:rPr>
                <w:color w:val="auto"/>
                <w:highlight w:val="none"/>
              </w:rPr>
            </w:pPr>
            <w:r>
              <w:rPr>
                <w:b/>
                <w:bCs/>
                <w:color w:val="auto"/>
                <w:highlight w:val="none"/>
              </w:rPr>
              <w:t>区域环境质量现状</w:t>
            </w:r>
          </w:p>
        </w:tc>
        <w:tc>
          <w:tcPr>
            <w:tcW w:w="4767" w:type="pct"/>
          </w:tcPr>
          <w:p w14:paraId="5CE7FE8E">
            <w:pPr>
              <w:pStyle w:val="3"/>
              <w:ind w:firstLine="482"/>
              <w:rPr>
                <w:color w:val="auto"/>
                <w:highlight w:val="none"/>
              </w:rPr>
            </w:pPr>
            <w:r>
              <w:rPr>
                <w:rFonts w:hint="eastAsia"/>
                <w:color w:val="auto"/>
                <w:highlight w:val="none"/>
              </w:rPr>
              <w:t>1、</w:t>
            </w:r>
            <w:r>
              <w:rPr>
                <w:color w:val="auto"/>
                <w:highlight w:val="none"/>
              </w:rPr>
              <w:t>环境空气</w:t>
            </w:r>
            <w:r>
              <w:rPr>
                <w:rFonts w:hint="eastAsia"/>
                <w:color w:val="auto"/>
                <w:highlight w:val="none"/>
              </w:rPr>
              <w:t>质量现状</w:t>
            </w:r>
          </w:p>
          <w:p w14:paraId="4B1D81F3">
            <w:pPr>
              <w:pStyle w:val="3"/>
              <w:ind w:firstLine="482"/>
              <w:rPr>
                <w:color w:val="auto"/>
                <w:highlight w:val="none"/>
              </w:rPr>
            </w:pPr>
            <w:r>
              <w:rPr>
                <w:rFonts w:hint="eastAsia"/>
                <w:color w:val="auto"/>
                <w:highlight w:val="none"/>
              </w:rPr>
              <w:t>（1）</w:t>
            </w:r>
            <w:r>
              <w:rPr>
                <w:color w:val="auto"/>
                <w:highlight w:val="none"/>
              </w:rPr>
              <w:t>达标区判定</w:t>
            </w:r>
          </w:p>
          <w:p w14:paraId="460F247D">
            <w:pPr>
              <w:ind w:firstLine="480"/>
              <w:rPr>
                <w:color w:val="auto"/>
                <w:highlight w:val="none"/>
              </w:rPr>
            </w:pPr>
            <w:r>
              <w:rPr>
                <w:color w:val="auto"/>
                <w:highlight w:val="none"/>
              </w:rPr>
              <w:t>根据《环境影响评价技术导则大气环境》（HJ</w:t>
            </w:r>
            <w:r>
              <w:rPr>
                <w:rFonts w:hint="eastAsia"/>
                <w:color w:val="auto"/>
                <w:highlight w:val="none"/>
              </w:rPr>
              <w:t xml:space="preserve"> </w:t>
            </w:r>
            <w:r>
              <w:rPr>
                <w:color w:val="auto"/>
                <w:highlight w:val="none"/>
              </w:rPr>
              <w:t>2.2-2018），项目所在区域达标情况判定优先采用国家或地方生态环境主管部门公开发布的环境质量公告或环境质量报告中的数据或结论。项目所在区域SO</w:t>
            </w:r>
            <w:r>
              <w:rPr>
                <w:color w:val="auto"/>
                <w:highlight w:val="none"/>
                <w:vertAlign w:val="subscript"/>
              </w:rPr>
              <w:t>2</w:t>
            </w:r>
            <w:r>
              <w:rPr>
                <w:color w:val="auto"/>
                <w:highlight w:val="none"/>
              </w:rPr>
              <w:t>、NO</w:t>
            </w:r>
            <w:r>
              <w:rPr>
                <w:color w:val="auto"/>
                <w:highlight w:val="none"/>
                <w:vertAlign w:val="subscript"/>
              </w:rPr>
              <w:t>2</w:t>
            </w:r>
            <w:r>
              <w:rPr>
                <w:color w:val="auto"/>
                <w:highlight w:val="none"/>
              </w:rPr>
              <w:t>、PM</w:t>
            </w:r>
            <w:r>
              <w:rPr>
                <w:color w:val="auto"/>
                <w:highlight w:val="none"/>
                <w:vertAlign w:val="subscript"/>
              </w:rPr>
              <w:t>10</w:t>
            </w:r>
            <w:r>
              <w:rPr>
                <w:color w:val="auto"/>
                <w:highlight w:val="none"/>
              </w:rPr>
              <w:t>、PM</w:t>
            </w:r>
            <w:r>
              <w:rPr>
                <w:color w:val="auto"/>
                <w:highlight w:val="none"/>
                <w:vertAlign w:val="subscript"/>
              </w:rPr>
              <w:t>2.5</w:t>
            </w:r>
            <w:r>
              <w:rPr>
                <w:color w:val="auto"/>
                <w:highlight w:val="none"/>
              </w:rPr>
              <w:t>、CO和O</w:t>
            </w:r>
            <w:r>
              <w:rPr>
                <w:color w:val="auto"/>
                <w:highlight w:val="none"/>
                <w:vertAlign w:val="subscript"/>
              </w:rPr>
              <w:t>3</w:t>
            </w:r>
            <w:r>
              <w:rPr>
                <w:color w:val="auto"/>
                <w:highlight w:val="none"/>
              </w:rPr>
              <w:t>环境质量现状引用《202</w:t>
            </w:r>
            <w:r>
              <w:rPr>
                <w:rFonts w:hint="eastAsia"/>
                <w:color w:val="auto"/>
                <w:highlight w:val="none"/>
              </w:rPr>
              <w:t>4</w:t>
            </w:r>
            <w:r>
              <w:rPr>
                <w:color w:val="auto"/>
                <w:highlight w:val="none"/>
              </w:rPr>
              <w:t>年青阳县环境质量状况公报》中相关数据，六项污染物全部达标即为城市环境空气质量达标。</w:t>
            </w:r>
          </w:p>
          <w:p w14:paraId="4DF7A7C0">
            <w:pPr>
              <w:ind w:firstLine="480"/>
              <w:rPr>
                <w:color w:val="auto"/>
                <w:highlight w:val="none"/>
              </w:rPr>
            </w:pPr>
            <w:r>
              <w:rPr>
                <w:color w:val="auto"/>
                <w:highlight w:val="none"/>
              </w:rPr>
              <w:t>2024年，青阳县城区环境空气质量达到优、良天数共341天，优良率93.4%，较去年同期相比提高了1.1%。影响城区环境空气质量的主要污染物是可吸入颗粒物、细颗粒物和臭氧。环境空气中二氧化硫（SO</w:t>
            </w:r>
            <w:r>
              <w:rPr>
                <w:color w:val="auto"/>
                <w:highlight w:val="none"/>
                <w:vertAlign w:val="subscript"/>
              </w:rPr>
              <w:t>2</w:t>
            </w:r>
            <w:r>
              <w:rPr>
                <w:color w:val="auto"/>
                <w:highlight w:val="none"/>
              </w:rPr>
              <w:t>）、二氧化氮（NO</w:t>
            </w:r>
            <w:r>
              <w:rPr>
                <w:color w:val="auto"/>
                <w:highlight w:val="none"/>
                <w:vertAlign w:val="subscript"/>
              </w:rPr>
              <w:t>2</w:t>
            </w:r>
            <w:r>
              <w:rPr>
                <w:color w:val="auto"/>
                <w:highlight w:val="none"/>
              </w:rPr>
              <w:t>）、可吸入颗粒物（PM</w:t>
            </w:r>
            <w:r>
              <w:rPr>
                <w:color w:val="auto"/>
                <w:highlight w:val="none"/>
                <w:vertAlign w:val="subscript"/>
              </w:rPr>
              <w:t>10</w:t>
            </w:r>
            <w:r>
              <w:rPr>
                <w:color w:val="auto"/>
                <w:highlight w:val="none"/>
              </w:rPr>
              <w:t>）、细颗粒物（PM</w:t>
            </w:r>
            <w:r>
              <w:rPr>
                <w:color w:val="auto"/>
                <w:highlight w:val="none"/>
                <w:vertAlign w:val="subscript"/>
              </w:rPr>
              <w:t>2.5</w:t>
            </w:r>
            <w:r>
              <w:rPr>
                <w:color w:val="auto"/>
                <w:highlight w:val="none"/>
              </w:rPr>
              <w:t>）年均浓度分别为7微克/立方米、17微克/立方米、54微克/立方米、29微克/立方米，一氧化碳（CO）24小时平均第95百分位数浓度为1.1毫克/立方米，臭氧（O</w:t>
            </w:r>
            <w:r>
              <w:rPr>
                <w:color w:val="auto"/>
                <w:highlight w:val="none"/>
                <w:vertAlign w:val="subscript"/>
              </w:rPr>
              <w:t>3</w:t>
            </w:r>
            <w:r>
              <w:rPr>
                <w:color w:val="auto"/>
                <w:highlight w:val="none"/>
              </w:rPr>
              <w:t>）日最大八小时平均第90百分位数浓度为138微克/立方米。PM</w:t>
            </w:r>
            <w:r>
              <w:rPr>
                <w:color w:val="auto"/>
                <w:highlight w:val="none"/>
                <w:vertAlign w:val="subscript"/>
              </w:rPr>
              <w:t>10</w:t>
            </w:r>
            <w:r>
              <w:rPr>
                <w:color w:val="auto"/>
                <w:highlight w:val="none"/>
              </w:rPr>
              <w:t>较去年同期相比保持不变，PM</w:t>
            </w:r>
            <w:r>
              <w:rPr>
                <w:color w:val="auto"/>
                <w:highlight w:val="none"/>
                <w:vertAlign w:val="subscript"/>
              </w:rPr>
              <w:t>2.5</w:t>
            </w:r>
            <w:r>
              <w:rPr>
                <w:color w:val="auto"/>
                <w:highlight w:val="none"/>
              </w:rPr>
              <w:t>较去年同期相比上升了7.4％。城区降水pH值年均值为7.34，全年未出现酸雨。城区空气降尘量为1.9吨/平方千米•月。</w:t>
            </w:r>
          </w:p>
          <w:p w14:paraId="30EB5082">
            <w:pPr>
              <w:ind w:firstLine="480"/>
              <w:rPr>
                <w:color w:val="auto"/>
                <w:highlight w:val="none"/>
              </w:rPr>
            </w:pPr>
            <w:r>
              <w:rPr>
                <w:color w:val="auto"/>
                <w:highlight w:val="none"/>
              </w:rPr>
              <w:t>项目所在区域空气质量现状评价结果详见下表</w:t>
            </w:r>
            <w:r>
              <w:rPr>
                <w:rFonts w:hint="eastAsia"/>
                <w:color w:val="auto"/>
                <w:highlight w:val="none"/>
              </w:rPr>
              <w:t>。</w:t>
            </w:r>
          </w:p>
          <w:p w14:paraId="4E7C6A4F">
            <w:pPr>
              <w:pStyle w:val="14"/>
              <w:spacing w:before="156"/>
              <w:rPr>
                <w:color w:val="auto"/>
                <w:highlight w:val="none"/>
              </w:rPr>
            </w:pPr>
            <w:r>
              <w:rPr>
                <w:color w:val="auto"/>
                <w:highlight w:val="none"/>
              </w:rPr>
              <w:t>表</w:t>
            </w:r>
            <w:r>
              <w:rPr>
                <w:rFonts w:hint="eastAsia"/>
                <w:color w:val="auto"/>
                <w:highlight w:val="none"/>
              </w:rPr>
              <w:t xml:space="preserve">3-1  </w:t>
            </w:r>
            <w:r>
              <w:rPr>
                <w:color w:val="auto"/>
                <w:highlight w:val="none"/>
              </w:rPr>
              <w:t>项目所在区域空气质量现状评价结果一览表</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2046"/>
              <w:gridCol w:w="1859"/>
              <w:gridCol w:w="1711"/>
              <w:gridCol w:w="1352"/>
              <w:gridCol w:w="1133"/>
            </w:tblGrid>
            <w:tr w14:paraId="751DF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27" w:type="pct"/>
                  <w:vAlign w:val="center"/>
                </w:tcPr>
                <w:p w14:paraId="160745CC">
                  <w:pPr>
                    <w:pStyle w:val="13"/>
                    <w:rPr>
                      <w:b/>
                      <w:bCs/>
                      <w:color w:val="auto"/>
                      <w:highlight w:val="none"/>
                    </w:rPr>
                  </w:pPr>
                  <w:r>
                    <w:rPr>
                      <w:b/>
                      <w:bCs/>
                      <w:color w:val="auto"/>
                      <w:highlight w:val="none"/>
                    </w:rPr>
                    <w:t>污染物</w:t>
                  </w:r>
                </w:p>
              </w:tc>
              <w:tc>
                <w:tcPr>
                  <w:tcW w:w="1129" w:type="pct"/>
                  <w:vAlign w:val="center"/>
                </w:tcPr>
                <w:p w14:paraId="300D6892">
                  <w:pPr>
                    <w:pStyle w:val="13"/>
                    <w:rPr>
                      <w:b/>
                      <w:bCs/>
                      <w:color w:val="auto"/>
                      <w:highlight w:val="none"/>
                    </w:rPr>
                  </w:pPr>
                  <w:r>
                    <w:rPr>
                      <w:b/>
                      <w:bCs/>
                      <w:color w:val="auto"/>
                      <w:highlight w:val="none"/>
                    </w:rPr>
                    <w:t>年评价指标</w:t>
                  </w:r>
                </w:p>
              </w:tc>
              <w:tc>
                <w:tcPr>
                  <w:tcW w:w="1026" w:type="pct"/>
                  <w:vAlign w:val="center"/>
                </w:tcPr>
                <w:p w14:paraId="0D716B21">
                  <w:pPr>
                    <w:pStyle w:val="13"/>
                    <w:rPr>
                      <w:b/>
                      <w:bCs/>
                      <w:color w:val="auto"/>
                      <w:highlight w:val="none"/>
                    </w:rPr>
                  </w:pPr>
                  <w:r>
                    <w:rPr>
                      <w:b/>
                      <w:bCs/>
                      <w:color w:val="auto"/>
                      <w:highlight w:val="none"/>
                    </w:rPr>
                    <w:t>现状浓度</w:t>
                  </w:r>
                  <w:r>
                    <w:rPr>
                      <w:rFonts w:hint="eastAsia"/>
                      <w:b/>
                      <w:bCs/>
                      <w:color w:val="auto"/>
                      <w:highlight w:val="none"/>
                    </w:rPr>
                    <w:t>（</w:t>
                  </w:r>
                  <w:r>
                    <w:rPr>
                      <w:b/>
                      <w:bCs/>
                      <w:color w:val="auto"/>
                      <w:highlight w:val="none"/>
                    </w:rPr>
                    <w:t>μg/m³</w:t>
                  </w:r>
                  <w:r>
                    <w:rPr>
                      <w:rFonts w:hint="eastAsia"/>
                      <w:b/>
                      <w:bCs/>
                      <w:color w:val="auto"/>
                      <w:highlight w:val="none"/>
                    </w:rPr>
                    <w:t>）</w:t>
                  </w:r>
                </w:p>
              </w:tc>
              <w:tc>
                <w:tcPr>
                  <w:tcW w:w="944" w:type="pct"/>
                  <w:vAlign w:val="center"/>
                </w:tcPr>
                <w:p w14:paraId="53278C68">
                  <w:pPr>
                    <w:pStyle w:val="13"/>
                    <w:rPr>
                      <w:b/>
                      <w:bCs/>
                      <w:color w:val="auto"/>
                      <w:highlight w:val="none"/>
                    </w:rPr>
                  </w:pPr>
                  <w:r>
                    <w:rPr>
                      <w:b/>
                      <w:bCs/>
                      <w:color w:val="auto"/>
                      <w:highlight w:val="none"/>
                    </w:rPr>
                    <w:t>标准值</w:t>
                  </w:r>
                  <w:r>
                    <w:rPr>
                      <w:rFonts w:hint="eastAsia"/>
                      <w:b/>
                      <w:bCs/>
                      <w:color w:val="auto"/>
                      <w:highlight w:val="none"/>
                    </w:rPr>
                    <w:t>（</w:t>
                  </w:r>
                  <w:r>
                    <w:rPr>
                      <w:b/>
                      <w:bCs/>
                      <w:color w:val="auto"/>
                      <w:highlight w:val="none"/>
                    </w:rPr>
                    <w:t>μg/m³</w:t>
                  </w:r>
                  <w:r>
                    <w:rPr>
                      <w:rFonts w:hint="eastAsia"/>
                      <w:b/>
                      <w:bCs/>
                      <w:color w:val="auto"/>
                      <w:highlight w:val="none"/>
                    </w:rPr>
                    <w:t>）</w:t>
                  </w:r>
                </w:p>
              </w:tc>
              <w:tc>
                <w:tcPr>
                  <w:tcW w:w="746" w:type="pct"/>
                  <w:vAlign w:val="center"/>
                </w:tcPr>
                <w:p w14:paraId="2F424D32">
                  <w:pPr>
                    <w:pStyle w:val="13"/>
                    <w:rPr>
                      <w:b/>
                      <w:bCs/>
                      <w:color w:val="auto"/>
                      <w:highlight w:val="none"/>
                    </w:rPr>
                  </w:pPr>
                  <w:r>
                    <w:rPr>
                      <w:b/>
                      <w:bCs/>
                      <w:color w:val="auto"/>
                      <w:highlight w:val="none"/>
                    </w:rPr>
                    <w:t>占标率</w:t>
                  </w:r>
                  <w:r>
                    <w:rPr>
                      <w:rFonts w:hint="eastAsia"/>
                      <w:b/>
                      <w:bCs/>
                      <w:color w:val="auto"/>
                      <w:highlight w:val="none"/>
                    </w:rPr>
                    <w:t>（</w:t>
                  </w:r>
                  <w:r>
                    <w:rPr>
                      <w:b/>
                      <w:bCs/>
                      <w:color w:val="auto"/>
                      <w:highlight w:val="none"/>
                    </w:rPr>
                    <w:t>%</w:t>
                  </w:r>
                  <w:r>
                    <w:rPr>
                      <w:rFonts w:hint="eastAsia"/>
                      <w:b/>
                      <w:bCs/>
                      <w:color w:val="auto"/>
                      <w:highlight w:val="none"/>
                    </w:rPr>
                    <w:t>）</w:t>
                  </w:r>
                </w:p>
              </w:tc>
              <w:tc>
                <w:tcPr>
                  <w:tcW w:w="625" w:type="pct"/>
                  <w:vAlign w:val="center"/>
                </w:tcPr>
                <w:p w14:paraId="1D9841B8">
                  <w:pPr>
                    <w:pStyle w:val="13"/>
                    <w:rPr>
                      <w:b/>
                      <w:bCs/>
                      <w:color w:val="auto"/>
                      <w:highlight w:val="none"/>
                    </w:rPr>
                  </w:pPr>
                  <w:r>
                    <w:rPr>
                      <w:b/>
                      <w:bCs/>
                      <w:color w:val="auto"/>
                      <w:highlight w:val="none"/>
                    </w:rPr>
                    <w:t>达标情况</w:t>
                  </w:r>
                </w:p>
              </w:tc>
            </w:tr>
            <w:tr w14:paraId="39592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27" w:type="pct"/>
                  <w:vAlign w:val="center"/>
                </w:tcPr>
                <w:p w14:paraId="1ADC81F7">
                  <w:pPr>
                    <w:pStyle w:val="13"/>
                    <w:rPr>
                      <w:color w:val="auto"/>
                      <w:highlight w:val="none"/>
                    </w:rPr>
                  </w:pPr>
                  <w:r>
                    <w:rPr>
                      <w:color w:val="auto"/>
                      <w:highlight w:val="none"/>
                    </w:rPr>
                    <w:t>SO</w:t>
                  </w:r>
                  <w:r>
                    <w:rPr>
                      <w:color w:val="auto"/>
                      <w:highlight w:val="none"/>
                      <w:vertAlign w:val="subscript"/>
                    </w:rPr>
                    <w:t>2</w:t>
                  </w:r>
                </w:p>
              </w:tc>
              <w:tc>
                <w:tcPr>
                  <w:tcW w:w="1129" w:type="pct"/>
                  <w:vAlign w:val="center"/>
                </w:tcPr>
                <w:p w14:paraId="1872AF55">
                  <w:pPr>
                    <w:pStyle w:val="13"/>
                    <w:rPr>
                      <w:color w:val="auto"/>
                      <w:highlight w:val="none"/>
                    </w:rPr>
                  </w:pPr>
                  <w:r>
                    <w:rPr>
                      <w:color w:val="auto"/>
                      <w:highlight w:val="none"/>
                    </w:rPr>
                    <w:t>年平均质量浓度</w:t>
                  </w:r>
                </w:p>
              </w:tc>
              <w:tc>
                <w:tcPr>
                  <w:tcW w:w="1026" w:type="pct"/>
                  <w:vAlign w:val="center"/>
                </w:tcPr>
                <w:p w14:paraId="02BD181D">
                  <w:pPr>
                    <w:pStyle w:val="13"/>
                    <w:rPr>
                      <w:color w:val="auto"/>
                      <w:highlight w:val="none"/>
                    </w:rPr>
                  </w:pPr>
                  <w:r>
                    <w:rPr>
                      <w:rFonts w:hint="eastAsia"/>
                      <w:color w:val="auto"/>
                      <w:highlight w:val="none"/>
                    </w:rPr>
                    <w:t>7</w:t>
                  </w:r>
                </w:p>
              </w:tc>
              <w:tc>
                <w:tcPr>
                  <w:tcW w:w="944" w:type="pct"/>
                  <w:vAlign w:val="center"/>
                </w:tcPr>
                <w:p w14:paraId="2B52C7E9">
                  <w:pPr>
                    <w:pStyle w:val="13"/>
                    <w:rPr>
                      <w:color w:val="auto"/>
                      <w:highlight w:val="none"/>
                    </w:rPr>
                  </w:pPr>
                  <w:r>
                    <w:rPr>
                      <w:color w:val="auto"/>
                      <w:highlight w:val="none"/>
                    </w:rPr>
                    <w:t>60</w:t>
                  </w:r>
                </w:p>
              </w:tc>
              <w:tc>
                <w:tcPr>
                  <w:tcW w:w="1352" w:type="dxa"/>
                  <w:vAlign w:val="center"/>
                </w:tcPr>
                <w:p w14:paraId="21CBF20B">
                  <w:pPr>
                    <w:pStyle w:val="13"/>
                    <w:rPr>
                      <w:color w:val="auto"/>
                      <w:highlight w:val="none"/>
                    </w:rPr>
                  </w:pPr>
                  <w:r>
                    <w:rPr>
                      <w:color w:val="auto"/>
                      <w:highlight w:val="none"/>
                    </w:rPr>
                    <w:t>11.67</w:t>
                  </w:r>
                </w:p>
              </w:tc>
              <w:tc>
                <w:tcPr>
                  <w:tcW w:w="625" w:type="pct"/>
                  <w:vAlign w:val="center"/>
                </w:tcPr>
                <w:p w14:paraId="2811438C">
                  <w:pPr>
                    <w:pStyle w:val="13"/>
                    <w:rPr>
                      <w:color w:val="auto"/>
                      <w:highlight w:val="none"/>
                    </w:rPr>
                  </w:pPr>
                  <w:r>
                    <w:rPr>
                      <w:rFonts w:hint="eastAsia"/>
                      <w:color w:val="auto"/>
                      <w:highlight w:val="none"/>
                    </w:rPr>
                    <w:t>达标</w:t>
                  </w:r>
                </w:p>
              </w:tc>
            </w:tr>
            <w:tr w14:paraId="66423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27" w:type="pct"/>
                  <w:vAlign w:val="center"/>
                </w:tcPr>
                <w:p w14:paraId="2CC045C5">
                  <w:pPr>
                    <w:pStyle w:val="13"/>
                    <w:rPr>
                      <w:color w:val="auto"/>
                      <w:highlight w:val="none"/>
                    </w:rPr>
                  </w:pPr>
                  <w:r>
                    <w:rPr>
                      <w:color w:val="auto"/>
                      <w:highlight w:val="none"/>
                    </w:rPr>
                    <w:t>NO</w:t>
                  </w:r>
                  <w:r>
                    <w:rPr>
                      <w:color w:val="auto"/>
                      <w:highlight w:val="none"/>
                      <w:vertAlign w:val="subscript"/>
                    </w:rPr>
                    <w:t>2</w:t>
                  </w:r>
                </w:p>
              </w:tc>
              <w:tc>
                <w:tcPr>
                  <w:tcW w:w="1129" w:type="pct"/>
                  <w:vAlign w:val="center"/>
                </w:tcPr>
                <w:p w14:paraId="6741652A">
                  <w:pPr>
                    <w:pStyle w:val="13"/>
                    <w:rPr>
                      <w:color w:val="auto"/>
                      <w:highlight w:val="none"/>
                    </w:rPr>
                  </w:pPr>
                  <w:r>
                    <w:rPr>
                      <w:color w:val="auto"/>
                      <w:highlight w:val="none"/>
                    </w:rPr>
                    <w:t>年平均质量浓度</w:t>
                  </w:r>
                </w:p>
              </w:tc>
              <w:tc>
                <w:tcPr>
                  <w:tcW w:w="1026" w:type="pct"/>
                  <w:vAlign w:val="center"/>
                </w:tcPr>
                <w:p w14:paraId="52D2EADA">
                  <w:pPr>
                    <w:pStyle w:val="13"/>
                    <w:rPr>
                      <w:color w:val="auto"/>
                      <w:highlight w:val="none"/>
                    </w:rPr>
                  </w:pPr>
                  <w:r>
                    <w:rPr>
                      <w:rFonts w:hint="eastAsia"/>
                      <w:color w:val="auto"/>
                      <w:highlight w:val="none"/>
                    </w:rPr>
                    <w:t>17</w:t>
                  </w:r>
                </w:p>
              </w:tc>
              <w:tc>
                <w:tcPr>
                  <w:tcW w:w="944" w:type="pct"/>
                  <w:vAlign w:val="center"/>
                </w:tcPr>
                <w:p w14:paraId="00888AEF">
                  <w:pPr>
                    <w:pStyle w:val="13"/>
                    <w:rPr>
                      <w:color w:val="auto"/>
                      <w:highlight w:val="none"/>
                    </w:rPr>
                  </w:pPr>
                  <w:r>
                    <w:rPr>
                      <w:color w:val="auto"/>
                      <w:highlight w:val="none"/>
                    </w:rPr>
                    <w:t>40</w:t>
                  </w:r>
                </w:p>
              </w:tc>
              <w:tc>
                <w:tcPr>
                  <w:tcW w:w="1352" w:type="dxa"/>
                  <w:vAlign w:val="center"/>
                </w:tcPr>
                <w:p w14:paraId="1146AF38">
                  <w:pPr>
                    <w:pStyle w:val="13"/>
                    <w:rPr>
                      <w:color w:val="auto"/>
                      <w:highlight w:val="none"/>
                    </w:rPr>
                  </w:pPr>
                  <w:r>
                    <w:rPr>
                      <w:color w:val="auto"/>
                      <w:highlight w:val="none"/>
                    </w:rPr>
                    <w:t>42.5</w:t>
                  </w:r>
                </w:p>
              </w:tc>
              <w:tc>
                <w:tcPr>
                  <w:tcW w:w="625" w:type="pct"/>
                  <w:vAlign w:val="center"/>
                </w:tcPr>
                <w:p w14:paraId="5FBCBA41">
                  <w:pPr>
                    <w:pStyle w:val="13"/>
                    <w:rPr>
                      <w:color w:val="auto"/>
                      <w:highlight w:val="none"/>
                    </w:rPr>
                  </w:pPr>
                  <w:r>
                    <w:rPr>
                      <w:rFonts w:hint="eastAsia"/>
                      <w:color w:val="auto"/>
                      <w:highlight w:val="none"/>
                    </w:rPr>
                    <w:t>达标</w:t>
                  </w:r>
                </w:p>
              </w:tc>
            </w:tr>
            <w:tr w14:paraId="323B6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27" w:type="pct"/>
                  <w:vAlign w:val="center"/>
                </w:tcPr>
                <w:p w14:paraId="16242759">
                  <w:pPr>
                    <w:pStyle w:val="13"/>
                    <w:rPr>
                      <w:color w:val="auto"/>
                      <w:highlight w:val="none"/>
                    </w:rPr>
                  </w:pPr>
                  <w:r>
                    <w:rPr>
                      <w:color w:val="auto"/>
                      <w:highlight w:val="none"/>
                    </w:rPr>
                    <w:t>PM</w:t>
                  </w:r>
                  <w:r>
                    <w:rPr>
                      <w:color w:val="auto"/>
                      <w:highlight w:val="none"/>
                      <w:vertAlign w:val="subscript"/>
                    </w:rPr>
                    <w:t>10</w:t>
                  </w:r>
                </w:p>
              </w:tc>
              <w:tc>
                <w:tcPr>
                  <w:tcW w:w="1129" w:type="pct"/>
                  <w:vAlign w:val="center"/>
                </w:tcPr>
                <w:p w14:paraId="040639C2">
                  <w:pPr>
                    <w:pStyle w:val="13"/>
                    <w:rPr>
                      <w:color w:val="auto"/>
                      <w:highlight w:val="none"/>
                    </w:rPr>
                  </w:pPr>
                  <w:r>
                    <w:rPr>
                      <w:color w:val="auto"/>
                      <w:highlight w:val="none"/>
                    </w:rPr>
                    <w:t>年平均质量浓度</w:t>
                  </w:r>
                </w:p>
              </w:tc>
              <w:tc>
                <w:tcPr>
                  <w:tcW w:w="1026" w:type="pct"/>
                  <w:vAlign w:val="center"/>
                </w:tcPr>
                <w:p w14:paraId="7DE27255">
                  <w:pPr>
                    <w:pStyle w:val="13"/>
                    <w:rPr>
                      <w:color w:val="auto"/>
                      <w:highlight w:val="none"/>
                    </w:rPr>
                  </w:pPr>
                  <w:r>
                    <w:rPr>
                      <w:rFonts w:hint="eastAsia"/>
                      <w:color w:val="auto"/>
                      <w:highlight w:val="none"/>
                    </w:rPr>
                    <w:t>54</w:t>
                  </w:r>
                </w:p>
              </w:tc>
              <w:tc>
                <w:tcPr>
                  <w:tcW w:w="944" w:type="pct"/>
                  <w:vAlign w:val="center"/>
                </w:tcPr>
                <w:p w14:paraId="7349232F">
                  <w:pPr>
                    <w:pStyle w:val="13"/>
                    <w:rPr>
                      <w:color w:val="auto"/>
                      <w:highlight w:val="none"/>
                    </w:rPr>
                  </w:pPr>
                  <w:r>
                    <w:rPr>
                      <w:color w:val="auto"/>
                      <w:highlight w:val="none"/>
                    </w:rPr>
                    <w:t>70</w:t>
                  </w:r>
                </w:p>
              </w:tc>
              <w:tc>
                <w:tcPr>
                  <w:tcW w:w="1352" w:type="dxa"/>
                  <w:vAlign w:val="center"/>
                </w:tcPr>
                <w:p w14:paraId="57D7A919">
                  <w:pPr>
                    <w:pStyle w:val="13"/>
                    <w:rPr>
                      <w:color w:val="auto"/>
                      <w:highlight w:val="none"/>
                    </w:rPr>
                  </w:pPr>
                  <w:r>
                    <w:rPr>
                      <w:color w:val="auto"/>
                      <w:highlight w:val="none"/>
                    </w:rPr>
                    <w:t>77.14</w:t>
                  </w:r>
                </w:p>
              </w:tc>
              <w:tc>
                <w:tcPr>
                  <w:tcW w:w="625" w:type="pct"/>
                  <w:vAlign w:val="center"/>
                </w:tcPr>
                <w:p w14:paraId="077F1AFF">
                  <w:pPr>
                    <w:pStyle w:val="13"/>
                    <w:rPr>
                      <w:color w:val="auto"/>
                      <w:highlight w:val="none"/>
                    </w:rPr>
                  </w:pPr>
                  <w:r>
                    <w:rPr>
                      <w:rFonts w:hint="eastAsia"/>
                      <w:color w:val="auto"/>
                      <w:highlight w:val="none"/>
                    </w:rPr>
                    <w:t>达标</w:t>
                  </w:r>
                </w:p>
              </w:tc>
            </w:tr>
            <w:tr w14:paraId="12FFD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27" w:type="pct"/>
                  <w:vAlign w:val="center"/>
                </w:tcPr>
                <w:p w14:paraId="2BCDA4C0">
                  <w:pPr>
                    <w:pStyle w:val="13"/>
                    <w:rPr>
                      <w:color w:val="auto"/>
                      <w:highlight w:val="none"/>
                    </w:rPr>
                  </w:pPr>
                  <w:r>
                    <w:rPr>
                      <w:color w:val="auto"/>
                      <w:highlight w:val="none"/>
                    </w:rPr>
                    <w:t>PM</w:t>
                  </w:r>
                  <w:r>
                    <w:rPr>
                      <w:color w:val="auto"/>
                      <w:highlight w:val="none"/>
                      <w:vertAlign w:val="subscript"/>
                    </w:rPr>
                    <w:t>2.5</w:t>
                  </w:r>
                </w:p>
              </w:tc>
              <w:tc>
                <w:tcPr>
                  <w:tcW w:w="1129" w:type="pct"/>
                  <w:vAlign w:val="center"/>
                </w:tcPr>
                <w:p w14:paraId="0B361FE3">
                  <w:pPr>
                    <w:pStyle w:val="13"/>
                    <w:rPr>
                      <w:color w:val="auto"/>
                      <w:highlight w:val="none"/>
                    </w:rPr>
                  </w:pPr>
                  <w:r>
                    <w:rPr>
                      <w:color w:val="auto"/>
                      <w:highlight w:val="none"/>
                    </w:rPr>
                    <w:t>年平均质量浓度</w:t>
                  </w:r>
                </w:p>
              </w:tc>
              <w:tc>
                <w:tcPr>
                  <w:tcW w:w="1026" w:type="pct"/>
                  <w:vAlign w:val="center"/>
                </w:tcPr>
                <w:p w14:paraId="3671FB8A">
                  <w:pPr>
                    <w:pStyle w:val="13"/>
                    <w:rPr>
                      <w:color w:val="auto"/>
                      <w:highlight w:val="none"/>
                    </w:rPr>
                  </w:pPr>
                  <w:r>
                    <w:rPr>
                      <w:rFonts w:hint="eastAsia"/>
                      <w:color w:val="auto"/>
                      <w:highlight w:val="none"/>
                    </w:rPr>
                    <w:t>29</w:t>
                  </w:r>
                </w:p>
              </w:tc>
              <w:tc>
                <w:tcPr>
                  <w:tcW w:w="944" w:type="pct"/>
                  <w:vAlign w:val="center"/>
                </w:tcPr>
                <w:p w14:paraId="4DCBC030">
                  <w:pPr>
                    <w:pStyle w:val="13"/>
                    <w:rPr>
                      <w:color w:val="auto"/>
                      <w:highlight w:val="none"/>
                    </w:rPr>
                  </w:pPr>
                  <w:r>
                    <w:rPr>
                      <w:color w:val="auto"/>
                      <w:highlight w:val="none"/>
                    </w:rPr>
                    <w:t>35</w:t>
                  </w:r>
                </w:p>
              </w:tc>
              <w:tc>
                <w:tcPr>
                  <w:tcW w:w="1352" w:type="dxa"/>
                  <w:vAlign w:val="center"/>
                </w:tcPr>
                <w:p w14:paraId="1C98D039">
                  <w:pPr>
                    <w:pStyle w:val="13"/>
                    <w:rPr>
                      <w:color w:val="auto"/>
                      <w:highlight w:val="none"/>
                    </w:rPr>
                  </w:pPr>
                  <w:r>
                    <w:rPr>
                      <w:color w:val="auto"/>
                      <w:highlight w:val="none"/>
                    </w:rPr>
                    <w:t>82.86</w:t>
                  </w:r>
                </w:p>
              </w:tc>
              <w:tc>
                <w:tcPr>
                  <w:tcW w:w="625" w:type="pct"/>
                  <w:vAlign w:val="center"/>
                </w:tcPr>
                <w:p w14:paraId="2D78EBEE">
                  <w:pPr>
                    <w:pStyle w:val="13"/>
                    <w:rPr>
                      <w:color w:val="auto"/>
                      <w:highlight w:val="none"/>
                    </w:rPr>
                  </w:pPr>
                  <w:r>
                    <w:rPr>
                      <w:rFonts w:hint="eastAsia"/>
                      <w:color w:val="auto"/>
                      <w:highlight w:val="none"/>
                    </w:rPr>
                    <w:t>达标</w:t>
                  </w:r>
                </w:p>
              </w:tc>
            </w:tr>
            <w:tr w14:paraId="2304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27" w:type="pct"/>
                  <w:vAlign w:val="center"/>
                </w:tcPr>
                <w:p w14:paraId="7D2A595E">
                  <w:pPr>
                    <w:pStyle w:val="13"/>
                    <w:rPr>
                      <w:color w:val="auto"/>
                      <w:highlight w:val="none"/>
                    </w:rPr>
                  </w:pPr>
                  <w:r>
                    <w:rPr>
                      <w:color w:val="auto"/>
                      <w:highlight w:val="none"/>
                    </w:rPr>
                    <w:t>CO</w:t>
                  </w:r>
                </w:p>
              </w:tc>
              <w:tc>
                <w:tcPr>
                  <w:tcW w:w="1129" w:type="pct"/>
                  <w:vAlign w:val="center"/>
                </w:tcPr>
                <w:p w14:paraId="5CB35B04">
                  <w:pPr>
                    <w:pStyle w:val="13"/>
                    <w:rPr>
                      <w:color w:val="auto"/>
                      <w:highlight w:val="none"/>
                    </w:rPr>
                  </w:pPr>
                  <w:r>
                    <w:rPr>
                      <w:color w:val="auto"/>
                      <w:highlight w:val="none"/>
                    </w:rPr>
                    <w:t>24h平均质量浓度</w:t>
                  </w:r>
                </w:p>
              </w:tc>
              <w:tc>
                <w:tcPr>
                  <w:tcW w:w="1026" w:type="pct"/>
                  <w:vAlign w:val="center"/>
                </w:tcPr>
                <w:p w14:paraId="67B789A2">
                  <w:pPr>
                    <w:pStyle w:val="13"/>
                    <w:rPr>
                      <w:color w:val="auto"/>
                      <w:highlight w:val="none"/>
                    </w:rPr>
                  </w:pPr>
                  <w:r>
                    <w:rPr>
                      <w:rFonts w:hint="eastAsia"/>
                      <w:color w:val="auto"/>
                      <w:highlight w:val="none"/>
                    </w:rPr>
                    <w:t>1100</w:t>
                  </w:r>
                </w:p>
              </w:tc>
              <w:tc>
                <w:tcPr>
                  <w:tcW w:w="944" w:type="pct"/>
                  <w:vAlign w:val="center"/>
                </w:tcPr>
                <w:p w14:paraId="0727FC3F">
                  <w:pPr>
                    <w:pStyle w:val="13"/>
                    <w:rPr>
                      <w:color w:val="auto"/>
                      <w:highlight w:val="none"/>
                    </w:rPr>
                  </w:pPr>
                  <w:r>
                    <w:rPr>
                      <w:color w:val="auto"/>
                      <w:highlight w:val="none"/>
                    </w:rPr>
                    <w:t>4000</w:t>
                  </w:r>
                </w:p>
              </w:tc>
              <w:tc>
                <w:tcPr>
                  <w:tcW w:w="1352" w:type="dxa"/>
                  <w:vAlign w:val="center"/>
                </w:tcPr>
                <w:p w14:paraId="2404C20C">
                  <w:pPr>
                    <w:pStyle w:val="13"/>
                    <w:rPr>
                      <w:color w:val="auto"/>
                      <w:highlight w:val="none"/>
                    </w:rPr>
                  </w:pPr>
                  <w:r>
                    <w:rPr>
                      <w:color w:val="auto"/>
                      <w:highlight w:val="none"/>
                    </w:rPr>
                    <w:t>27.5</w:t>
                  </w:r>
                </w:p>
              </w:tc>
              <w:tc>
                <w:tcPr>
                  <w:tcW w:w="625" w:type="pct"/>
                  <w:vAlign w:val="center"/>
                </w:tcPr>
                <w:p w14:paraId="659512EF">
                  <w:pPr>
                    <w:pStyle w:val="13"/>
                    <w:rPr>
                      <w:color w:val="auto"/>
                      <w:highlight w:val="none"/>
                    </w:rPr>
                  </w:pPr>
                  <w:r>
                    <w:rPr>
                      <w:rFonts w:hint="eastAsia"/>
                      <w:color w:val="auto"/>
                      <w:highlight w:val="none"/>
                    </w:rPr>
                    <w:t>达标</w:t>
                  </w:r>
                </w:p>
              </w:tc>
            </w:tr>
            <w:tr w14:paraId="346C5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27" w:type="pct"/>
                  <w:vAlign w:val="center"/>
                </w:tcPr>
                <w:p w14:paraId="770E4544">
                  <w:pPr>
                    <w:pStyle w:val="13"/>
                    <w:rPr>
                      <w:color w:val="auto"/>
                      <w:highlight w:val="none"/>
                    </w:rPr>
                  </w:pPr>
                  <w:r>
                    <w:rPr>
                      <w:color w:val="auto"/>
                      <w:highlight w:val="none"/>
                    </w:rPr>
                    <w:t>O</w:t>
                  </w:r>
                  <w:r>
                    <w:rPr>
                      <w:color w:val="auto"/>
                      <w:highlight w:val="none"/>
                      <w:vertAlign w:val="subscript"/>
                    </w:rPr>
                    <w:t>3</w:t>
                  </w:r>
                </w:p>
              </w:tc>
              <w:tc>
                <w:tcPr>
                  <w:tcW w:w="1129" w:type="pct"/>
                  <w:vAlign w:val="center"/>
                </w:tcPr>
                <w:p w14:paraId="798440B4">
                  <w:pPr>
                    <w:pStyle w:val="13"/>
                    <w:rPr>
                      <w:color w:val="auto"/>
                      <w:highlight w:val="none"/>
                    </w:rPr>
                  </w:pPr>
                  <w:r>
                    <w:rPr>
                      <w:color w:val="auto"/>
                      <w:highlight w:val="none"/>
                    </w:rPr>
                    <w:t>日最大8h平均</w:t>
                  </w:r>
                </w:p>
              </w:tc>
              <w:tc>
                <w:tcPr>
                  <w:tcW w:w="1026" w:type="pct"/>
                  <w:vAlign w:val="center"/>
                </w:tcPr>
                <w:p w14:paraId="61B33518">
                  <w:pPr>
                    <w:pStyle w:val="13"/>
                    <w:rPr>
                      <w:color w:val="auto"/>
                      <w:highlight w:val="none"/>
                    </w:rPr>
                  </w:pPr>
                  <w:r>
                    <w:rPr>
                      <w:rFonts w:hint="eastAsia"/>
                      <w:color w:val="auto"/>
                      <w:highlight w:val="none"/>
                    </w:rPr>
                    <w:t>138</w:t>
                  </w:r>
                </w:p>
              </w:tc>
              <w:tc>
                <w:tcPr>
                  <w:tcW w:w="944" w:type="pct"/>
                  <w:vAlign w:val="center"/>
                </w:tcPr>
                <w:p w14:paraId="3308D5BA">
                  <w:pPr>
                    <w:pStyle w:val="13"/>
                    <w:rPr>
                      <w:color w:val="auto"/>
                      <w:highlight w:val="none"/>
                    </w:rPr>
                  </w:pPr>
                  <w:r>
                    <w:rPr>
                      <w:color w:val="auto"/>
                      <w:highlight w:val="none"/>
                    </w:rPr>
                    <w:t>160</w:t>
                  </w:r>
                </w:p>
              </w:tc>
              <w:tc>
                <w:tcPr>
                  <w:tcW w:w="1352" w:type="dxa"/>
                  <w:vAlign w:val="center"/>
                </w:tcPr>
                <w:p w14:paraId="74FC0BA5">
                  <w:pPr>
                    <w:pStyle w:val="13"/>
                    <w:rPr>
                      <w:color w:val="auto"/>
                      <w:highlight w:val="none"/>
                    </w:rPr>
                  </w:pPr>
                  <w:r>
                    <w:rPr>
                      <w:color w:val="auto"/>
                      <w:highlight w:val="none"/>
                    </w:rPr>
                    <w:t>86.25</w:t>
                  </w:r>
                </w:p>
              </w:tc>
              <w:tc>
                <w:tcPr>
                  <w:tcW w:w="625" w:type="pct"/>
                  <w:vAlign w:val="center"/>
                </w:tcPr>
                <w:p w14:paraId="0457B94C">
                  <w:pPr>
                    <w:pStyle w:val="13"/>
                    <w:rPr>
                      <w:color w:val="auto"/>
                      <w:highlight w:val="none"/>
                    </w:rPr>
                  </w:pPr>
                  <w:r>
                    <w:rPr>
                      <w:rFonts w:hint="eastAsia"/>
                      <w:color w:val="auto"/>
                      <w:highlight w:val="none"/>
                    </w:rPr>
                    <w:t>达标</w:t>
                  </w:r>
                </w:p>
              </w:tc>
            </w:tr>
          </w:tbl>
          <w:p w14:paraId="3A8FEF94">
            <w:pPr>
              <w:ind w:firstLine="480"/>
              <w:rPr>
                <w:color w:val="auto"/>
                <w:highlight w:val="none"/>
              </w:rPr>
            </w:pPr>
            <w:r>
              <w:rPr>
                <w:color w:val="auto"/>
                <w:highlight w:val="none"/>
              </w:rPr>
              <w:t>由上表可知，青阳县区域空气环境中6项基本污染物满足《环境空气质量标准》（GB</w:t>
            </w:r>
            <w:r>
              <w:rPr>
                <w:rFonts w:hint="eastAsia"/>
                <w:color w:val="auto"/>
                <w:highlight w:val="none"/>
              </w:rPr>
              <w:t xml:space="preserve"> </w:t>
            </w:r>
            <w:r>
              <w:rPr>
                <w:color w:val="auto"/>
                <w:highlight w:val="none"/>
              </w:rPr>
              <w:t>3095-2012）二级标准要求，判定项目所在区域为达标区。</w:t>
            </w:r>
          </w:p>
          <w:p w14:paraId="3EE6CB9F">
            <w:pPr>
              <w:pStyle w:val="2"/>
              <w:ind w:firstLine="482"/>
              <w:rPr>
                <w:color w:val="auto"/>
                <w:highlight w:val="none"/>
              </w:rPr>
            </w:pPr>
            <w:r>
              <w:rPr>
                <w:rFonts w:hint="eastAsia"/>
                <w:color w:val="auto"/>
                <w:highlight w:val="none"/>
              </w:rPr>
              <w:t>2、</w:t>
            </w:r>
            <w:r>
              <w:rPr>
                <w:color w:val="auto"/>
                <w:highlight w:val="none"/>
              </w:rPr>
              <w:t>地表水环境质量现状</w:t>
            </w:r>
          </w:p>
          <w:p w14:paraId="371E57D9">
            <w:pPr>
              <w:ind w:firstLine="480"/>
              <w:rPr>
                <w:color w:val="auto"/>
                <w:highlight w:val="none"/>
              </w:rPr>
            </w:pPr>
            <w:r>
              <w:rPr>
                <w:color w:val="auto"/>
                <w:highlight w:val="none"/>
              </w:rPr>
              <w:t>根据《202</w:t>
            </w:r>
            <w:r>
              <w:rPr>
                <w:rFonts w:hint="eastAsia"/>
                <w:color w:val="auto"/>
                <w:highlight w:val="none"/>
              </w:rPr>
              <w:t>4</w:t>
            </w:r>
            <w:r>
              <w:rPr>
                <w:color w:val="auto"/>
                <w:highlight w:val="none"/>
              </w:rPr>
              <w:t>年青阳县环境质量状况公报》，</w:t>
            </w:r>
            <w:r>
              <w:rPr>
                <w:rFonts w:hint="eastAsia"/>
                <w:color w:val="auto"/>
                <w:highlight w:val="none"/>
              </w:rPr>
              <w:t>2024年1-12月对境内湖泊和河流地表水开展监测（境内主要河流——青通河、七星河、东河、九华河、陵阳河、牛桥水库的共十三个断面：牛桥水库、青通河牛桥断面、青通河青山断面、青通河大桥断面、青通河元桥断面、青通河河口断面、东河杨田断面、东河元桥断面、七星河南河330国道断面、七星河河口断面、九华河三元桥断面、九华河庙前断面、陵阳河陵阳断面）。水质监测4次，共检测24项指标，青通河河口断面水质年均值符合《地表水环境质量标准》（GB 3838-2002）中的</w:t>
            </w:r>
            <w:r>
              <w:rPr>
                <w:rFonts w:cs="Times New Roman"/>
                <w:color w:val="auto"/>
                <w:highlight w:val="none"/>
              </w:rPr>
              <w:t>Ⅱ类标准，其他断面水质年均值符合《地表水环境质量标准》（GB 3838-2002）中的Ⅲ</w:t>
            </w:r>
            <w:r>
              <w:rPr>
                <w:rFonts w:hint="eastAsia"/>
                <w:color w:val="auto"/>
                <w:highlight w:val="none"/>
              </w:rPr>
              <w:t>类标准，水质优良，达标率为100%，满足地表水功能要求。</w:t>
            </w:r>
          </w:p>
          <w:p w14:paraId="17D01BCE">
            <w:pPr>
              <w:ind w:firstLine="480"/>
              <w:rPr>
                <w:color w:val="auto"/>
                <w:highlight w:val="none"/>
              </w:rPr>
            </w:pPr>
            <w:r>
              <w:rPr>
                <w:color w:val="auto"/>
                <w:highlight w:val="none"/>
              </w:rPr>
              <w:t>项目区域水环境质量较好，可以达到相应地表水质质量标准要求。</w:t>
            </w:r>
            <w:r>
              <w:rPr>
                <w:rFonts w:hint="eastAsia"/>
                <w:color w:val="auto"/>
                <w:highlight w:val="none"/>
              </w:rPr>
              <w:t>本项目厂界与长江二级支流</w:t>
            </w:r>
            <w:r>
              <w:rPr>
                <w:rFonts w:hint="eastAsia"/>
                <w:color w:val="auto"/>
                <w:highlight w:val="none"/>
                <w:lang w:val="en-US" w:eastAsia="zh-CN"/>
              </w:rPr>
              <w:t>南</w:t>
            </w:r>
            <w:r>
              <w:rPr>
                <w:rFonts w:hint="eastAsia"/>
                <w:color w:val="auto"/>
                <w:highlight w:val="none"/>
              </w:rPr>
              <w:t>河岸线最近距离</w:t>
            </w:r>
            <w:r>
              <w:rPr>
                <w:rFonts w:hint="eastAsia"/>
                <w:color w:val="auto"/>
                <w:highlight w:val="none"/>
                <w:lang w:val="en-US" w:eastAsia="zh-CN"/>
              </w:rPr>
              <w:t>约2151</w:t>
            </w:r>
            <w:r>
              <w:rPr>
                <w:rFonts w:hint="eastAsia"/>
                <w:color w:val="auto"/>
                <w:highlight w:val="none"/>
              </w:rPr>
              <w:t>m，与长江干线岸线距离约</w:t>
            </w:r>
            <w:r>
              <w:rPr>
                <w:rFonts w:hint="eastAsia"/>
                <w:color w:val="auto"/>
                <w:highlight w:val="none"/>
                <w:lang w:eastAsia="zh-CN"/>
              </w:rPr>
              <w:t>31km</w:t>
            </w:r>
            <w:r>
              <w:rPr>
                <w:rFonts w:hint="eastAsia"/>
                <w:color w:val="auto"/>
                <w:highlight w:val="none"/>
              </w:rPr>
              <w:t>。</w:t>
            </w:r>
          </w:p>
          <w:p w14:paraId="382E6E30">
            <w:pPr>
              <w:pStyle w:val="13"/>
              <w:bidi w:val="0"/>
              <w:rPr>
                <w:color w:val="auto"/>
                <w:highlight w:val="none"/>
              </w:rPr>
            </w:pPr>
            <w:r>
              <w:rPr>
                <w:color w:val="auto"/>
                <w:highlight w:val="none"/>
              </w:rPr>
              <w:drawing>
                <wp:inline distT="0" distB="0" distL="114300" distR="114300">
                  <wp:extent cx="5344795" cy="3780155"/>
                  <wp:effectExtent l="0" t="0" r="8255" b="1079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7"/>
                          <a:stretch>
                            <a:fillRect/>
                          </a:stretch>
                        </pic:blipFill>
                        <pic:spPr>
                          <a:xfrm>
                            <a:off x="0" y="0"/>
                            <a:ext cx="5344795" cy="3780155"/>
                          </a:xfrm>
                          <a:prstGeom prst="rect">
                            <a:avLst/>
                          </a:prstGeom>
                          <a:noFill/>
                          <a:ln>
                            <a:noFill/>
                          </a:ln>
                        </pic:spPr>
                      </pic:pic>
                    </a:graphicData>
                  </a:graphic>
                </wp:inline>
              </w:drawing>
            </w:r>
          </w:p>
          <w:p w14:paraId="39DFD075">
            <w:pPr>
              <w:pStyle w:val="15"/>
              <w:spacing w:after="156"/>
              <w:rPr>
                <w:color w:val="auto"/>
                <w:highlight w:val="none"/>
              </w:rPr>
            </w:pPr>
            <w:r>
              <w:rPr>
                <w:color w:val="auto"/>
                <w:highlight w:val="none"/>
              </w:rPr>
              <w:t>图3-</w:t>
            </w:r>
            <w:r>
              <w:rPr>
                <w:rFonts w:hint="eastAsia"/>
                <w:color w:val="auto"/>
                <w:highlight w:val="none"/>
                <w:lang w:val="en-US" w:eastAsia="zh-CN"/>
              </w:rPr>
              <w:t>1</w:t>
            </w:r>
            <w:r>
              <w:rPr>
                <w:color w:val="auto"/>
                <w:highlight w:val="none"/>
              </w:rPr>
              <w:t xml:space="preserve">  </w:t>
            </w:r>
            <w:r>
              <w:rPr>
                <w:rFonts w:hint="eastAsia"/>
                <w:color w:val="auto"/>
                <w:highlight w:val="none"/>
              </w:rPr>
              <w:t>项目厂界距</w:t>
            </w:r>
            <w:r>
              <w:rPr>
                <w:rFonts w:hint="eastAsia"/>
                <w:color w:val="auto"/>
                <w:highlight w:val="none"/>
                <w:lang w:val="en-US" w:eastAsia="zh-CN"/>
              </w:rPr>
              <w:t>南</w:t>
            </w:r>
            <w:r>
              <w:rPr>
                <w:rFonts w:hint="eastAsia"/>
                <w:color w:val="auto"/>
                <w:highlight w:val="none"/>
              </w:rPr>
              <w:t>河岸线距离图</w:t>
            </w:r>
          </w:p>
          <w:p w14:paraId="499AF013">
            <w:pPr>
              <w:pStyle w:val="2"/>
              <w:ind w:firstLine="482"/>
              <w:rPr>
                <w:color w:val="auto"/>
                <w:highlight w:val="none"/>
              </w:rPr>
            </w:pPr>
            <w:r>
              <w:rPr>
                <w:rFonts w:hint="eastAsia"/>
                <w:color w:val="auto"/>
                <w:highlight w:val="none"/>
              </w:rPr>
              <w:t>3</w:t>
            </w:r>
            <w:r>
              <w:rPr>
                <w:color w:val="auto"/>
                <w:highlight w:val="none"/>
              </w:rPr>
              <w:t>、声环境质量现状</w:t>
            </w:r>
          </w:p>
          <w:p w14:paraId="57F8E271">
            <w:pPr>
              <w:ind w:firstLine="480"/>
              <w:rPr>
                <w:color w:val="auto"/>
                <w:highlight w:val="none"/>
              </w:rPr>
            </w:pPr>
            <w:r>
              <w:rPr>
                <w:color w:val="auto"/>
                <w:highlight w:val="none"/>
              </w:rPr>
              <w:t>项目厂界周边50米范围内不存在声环境保护目标，无需进行声环境质量现状监测。</w:t>
            </w:r>
          </w:p>
          <w:p w14:paraId="0213E537">
            <w:pPr>
              <w:pStyle w:val="2"/>
              <w:ind w:firstLine="482"/>
              <w:rPr>
                <w:color w:val="auto"/>
                <w:highlight w:val="none"/>
              </w:rPr>
            </w:pPr>
            <w:r>
              <w:rPr>
                <w:rFonts w:hint="eastAsia"/>
                <w:color w:val="auto"/>
                <w:highlight w:val="none"/>
              </w:rPr>
              <w:t>4</w:t>
            </w:r>
            <w:r>
              <w:rPr>
                <w:color w:val="auto"/>
                <w:highlight w:val="none"/>
              </w:rPr>
              <w:t>、生态环境现状</w:t>
            </w:r>
          </w:p>
          <w:p w14:paraId="504D327D">
            <w:pPr>
              <w:ind w:firstLine="480"/>
              <w:rPr>
                <w:color w:val="auto"/>
                <w:highlight w:val="none"/>
              </w:rPr>
            </w:pPr>
            <w:r>
              <w:rPr>
                <w:color w:val="auto"/>
                <w:highlight w:val="none"/>
              </w:rPr>
              <w:t>项目</w:t>
            </w:r>
            <w:r>
              <w:rPr>
                <w:rFonts w:hint="eastAsia"/>
                <w:color w:val="auto"/>
                <w:highlight w:val="none"/>
              </w:rPr>
              <w:t>使用安徽省青阳县荣华炉料有限公司现有闲置用地</w:t>
            </w:r>
            <w:r>
              <w:rPr>
                <w:color w:val="auto"/>
                <w:highlight w:val="none"/>
              </w:rPr>
              <w:t>，不新增用地，故无需进行生态现状调查。</w:t>
            </w:r>
          </w:p>
          <w:p w14:paraId="3C96D881">
            <w:pPr>
              <w:pStyle w:val="2"/>
              <w:ind w:firstLine="482"/>
              <w:rPr>
                <w:color w:val="auto"/>
                <w:highlight w:val="none"/>
              </w:rPr>
            </w:pPr>
            <w:r>
              <w:rPr>
                <w:color w:val="auto"/>
                <w:highlight w:val="none"/>
              </w:rPr>
              <w:t>5、电磁辐射环境质量现状</w:t>
            </w:r>
          </w:p>
          <w:p w14:paraId="01FC9759">
            <w:pPr>
              <w:ind w:firstLine="480"/>
              <w:rPr>
                <w:color w:val="auto"/>
                <w:highlight w:val="none"/>
              </w:rPr>
            </w:pPr>
            <w:r>
              <w:rPr>
                <w:color w:val="auto"/>
                <w:highlight w:val="none"/>
              </w:rPr>
              <w:t>项目不涉及电磁辐射类项目，故无需进行电磁辐射现状监测与评价。</w:t>
            </w:r>
          </w:p>
          <w:p w14:paraId="5246D393">
            <w:pPr>
              <w:pStyle w:val="2"/>
              <w:ind w:firstLine="482"/>
              <w:rPr>
                <w:color w:val="auto"/>
                <w:highlight w:val="none"/>
              </w:rPr>
            </w:pPr>
            <w:r>
              <w:rPr>
                <w:color w:val="auto"/>
                <w:highlight w:val="none"/>
              </w:rPr>
              <w:t>6、地下水、土壤环境质量现状</w:t>
            </w:r>
          </w:p>
          <w:p w14:paraId="022F889F">
            <w:pPr>
              <w:ind w:firstLine="480"/>
              <w:rPr>
                <w:color w:val="auto"/>
                <w:highlight w:val="none"/>
              </w:rPr>
            </w:pPr>
            <w:r>
              <w:rPr>
                <w:color w:val="auto"/>
                <w:highlight w:val="none"/>
              </w:rPr>
              <w:t>本项目厂区内做好防渗处理，不会存在地下水和土壤污染途径，可不开展地下水和土壤环境现状调查。</w:t>
            </w:r>
          </w:p>
        </w:tc>
      </w:tr>
      <w:tr w14:paraId="05300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 w:type="pct"/>
          </w:tcPr>
          <w:p w14:paraId="2BD0D54F">
            <w:pPr>
              <w:ind w:firstLine="0" w:firstLineChars="0"/>
              <w:rPr>
                <w:color w:val="auto"/>
                <w:highlight w:val="none"/>
              </w:rPr>
            </w:pPr>
            <w:r>
              <w:rPr>
                <w:b/>
                <w:bCs/>
                <w:color w:val="auto"/>
                <w:highlight w:val="none"/>
              </w:rPr>
              <w:t>环境保护目标</w:t>
            </w:r>
          </w:p>
        </w:tc>
        <w:tc>
          <w:tcPr>
            <w:tcW w:w="4767" w:type="pct"/>
          </w:tcPr>
          <w:p w14:paraId="0593F944">
            <w:pPr>
              <w:pStyle w:val="2"/>
              <w:ind w:firstLine="482"/>
              <w:rPr>
                <w:color w:val="auto"/>
                <w:highlight w:val="none"/>
              </w:rPr>
            </w:pPr>
            <w:r>
              <w:rPr>
                <w:rFonts w:hint="eastAsia"/>
                <w:color w:val="auto"/>
                <w:highlight w:val="none"/>
              </w:rPr>
              <w:t>1</w:t>
            </w:r>
            <w:r>
              <w:rPr>
                <w:color w:val="auto"/>
                <w:highlight w:val="none"/>
              </w:rPr>
              <w:t>、大气环境保护目标</w:t>
            </w:r>
          </w:p>
          <w:p w14:paraId="18CE56B5">
            <w:pPr>
              <w:ind w:firstLine="480"/>
              <w:rPr>
                <w:color w:val="auto"/>
                <w:highlight w:val="none"/>
              </w:rPr>
            </w:pPr>
            <w:r>
              <w:rPr>
                <w:color w:val="auto"/>
                <w:highlight w:val="none"/>
              </w:rPr>
              <w:t>按照《建设项目环境影响报告表编制技术指南</w:t>
            </w:r>
            <w:r>
              <w:rPr>
                <w:rFonts w:hint="eastAsia"/>
                <w:color w:val="auto"/>
                <w:highlight w:val="none"/>
              </w:rPr>
              <w:t>（</w:t>
            </w:r>
            <w:r>
              <w:rPr>
                <w:color w:val="auto"/>
                <w:highlight w:val="none"/>
              </w:rPr>
              <w:t>污染影响类</w:t>
            </w:r>
            <w:r>
              <w:rPr>
                <w:rFonts w:hint="eastAsia"/>
                <w:color w:val="auto"/>
                <w:highlight w:val="none"/>
              </w:rPr>
              <w:t>）</w:t>
            </w:r>
            <w:r>
              <w:rPr>
                <w:color w:val="auto"/>
                <w:highlight w:val="none"/>
              </w:rPr>
              <w:t>》的要</w:t>
            </w:r>
            <w:r>
              <w:rPr>
                <w:rFonts w:hint="eastAsia"/>
                <w:color w:val="auto"/>
                <w:highlight w:val="none"/>
              </w:rPr>
              <w:t>求，本项目</w:t>
            </w:r>
            <w:r>
              <w:rPr>
                <w:color w:val="auto"/>
                <w:highlight w:val="none"/>
              </w:rPr>
              <w:t>厂界外500米范围内</w:t>
            </w:r>
            <w:r>
              <w:rPr>
                <w:rFonts w:hint="eastAsia"/>
                <w:color w:val="auto"/>
                <w:highlight w:val="none"/>
              </w:rPr>
              <w:t>涉及的环境保护目标主要为住宅，其环境保护目标信息如下表。</w:t>
            </w:r>
          </w:p>
          <w:p w14:paraId="3EE12FA7">
            <w:pPr>
              <w:pStyle w:val="14"/>
              <w:spacing w:before="156"/>
              <w:rPr>
                <w:color w:val="auto"/>
                <w:highlight w:val="none"/>
              </w:rPr>
            </w:pPr>
            <w:r>
              <w:rPr>
                <w:rFonts w:hint="eastAsia"/>
                <w:color w:val="auto"/>
                <w:highlight w:val="none"/>
              </w:rPr>
              <w:t>表3-</w:t>
            </w:r>
            <w:r>
              <w:rPr>
                <w:rFonts w:hint="eastAsia"/>
                <w:color w:val="auto"/>
                <w:highlight w:val="none"/>
                <w:lang w:val="en-US" w:eastAsia="zh-CN"/>
              </w:rPr>
              <w:t>2</w:t>
            </w:r>
            <w:r>
              <w:rPr>
                <w:rFonts w:hint="eastAsia"/>
                <w:color w:val="auto"/>
                <w:highlight w:val="none"/>
              </w:rPr>
              <w:t xml:space="preserve">  大气环境保护目标一览表</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943"/>
              <w:gridCol w:w="1397"/>
              <w:gridCol w:w="1675"/>
              <w:gridCol w:w="1834"/>
              <w:gridCol w:w="2208"/>
            </w:tblGrid>
            <w:tr w14:paraId="585D6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072" w:type="pct"/>
                  <w:vAlign w:val="center"/>
                </w:tcPr>
                <w:p w14:paraId="5FEDE199">
                  <w:pPr>
                    <w:pStyle w:val="13"/>
                    <w:rPr>
                      <w:b/>
                      <w:bCs/>
                      <w:color w:val="auto"/>
                      <w:highlight w:val="none"/>
                    </w:rPr>
                  </w:pPr>
                  <w:r>
                    <w:rPr>
                      <w:b/>
                      <w:bCs/>
                      <w:color w:val="auto"/>
                      <w:highlight w:val="none"/>
                    </w:rPr>
                    <w:t>名称</w:t>
                  </w:r>
                </w:p>
              </w:tc>
              <w:tc>
                <w:tcPr>
                  <w:tcW w:w="771" w:type="pct"/>
                  <w:vAlign w:val="center"/>
                </w:tcPr>
                <w:p w14:paraId="43F492CF">
                  <w:pPr>
                    <w:pStyle w:val="13"/>
                    <w:rPr>
                      <w:b/>
                      <w:bCs/>
                      <w:color w:val="auto"/>
                      <w:highlight w:val="none"/>
                    </w:rPr>
                  </w:pPr>
                  <w:r>
                    <w:rPr>
                      <w:b/>
                      <w:bCs/>
                      <w:color w:val="auto"/>
                      <w:highlight w:val="none"/>
                    </w:rPr>
                    <w:t>保护对象</w:t>
                  </w:r>
                </w:p>
              </w:tc>
              <w:tc>
                <w:tcPr>
                  <w:tcW w:w="924" w:type="pct"/>
                  <w:vAlign w:val="center"/>
                </w:tcPr>
                <w:p w14:paraId="18B0DC14">
                  <w:pPr>
                    <w:pStyle w:val="13"/>
                    <w:rPr>
                      <w:b/>
                      <w:bCs/>
                      <w:color w:val="auto"/>
                      <w:highlight w:val="none"/>
                    </w:rPr>
                  </w:pPr>
                  <w:r>
                    <w:rPr>
                      <w:b/>
                      <w:bCs/>
                      <w:color w:val="auto"/>
                      <w:highlight w:val="none"/>
                    </w:rPr>
                    <w:t>保护内容</w:t>
                  </w:r>
                </w:p>
              </w:tc>
              <w:tc>
                <w:tcPr>
                  <w:tcW w:w="1012" w:type="pct"/>
                  <w:vAlign w:val="center"/>
                </w:tcPr>
                <w:p w14:paraId="53F7ACAD">
                  <w:pPr>
                    <w:pStyle w:val="13"/>
                    <w:rPr>
                      <w:b/>
                      <w:bCs/>
                      <w:color w:val="auto"/>
                      <w:highlight w:val="none"/>
                    </w:rPr>
                  </w:pPr>
                  <w:r>
                    <w:rPr>
                      <w:b/>
                      <w:bCs/>
                      <w:color w:val="auto"/>
                      <w:highlight w:val="none"/>
                    </w:rPr>
                    <w:t>相对厂址方位</w:t>
                  </w:r>
                </w:p>
              </w:tc>
              <w:tc>
                <w:tcPr>
                  <w:tcW w:w="1218" w:type="pct"/>
                  <w:vAlign w:val="center"/>
                </w:tcPr>
                <w:p w14:paraId="5FA858A4">
                  <w:pPr>
                    <w:pStyle w:val="13"/>
                    <w:rPr>
                      <w:b/>
                      <w:bCs/>
                      <w:color w:val="auto"/>
                      <w:highlight w:val="none"/>
                    </w:rPr>
                  </w:pPr>
                  <w:r>
                    <w:rPr>
                      <w:b/>
                      <w:bCs/>
                      <w:color w:val="auto"/>
                      <w:highlight w:val="none"/>
                    </w:rPr>
                    <w:t>相对厂界距离m</w:t>
                  </w:r>
                </w:p>
              </w:tc>
            </w:tr>
            <w:tr w14:paraId="1042E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072" w:type="pct"/>
                  <w:vAlign w:val="center"/>
                </w:tcPr>
                <w:p w14:paraId="12140B07">
                  <w:pPr>
                    <w:pStyle w:val="13"/>
                    <w:rPr>
                      <w:color w:val="auto"/>
                      <w:highlight w:val="none"/>
                    </w:rPr>
                  </w:pPr>
                  <w:r>
                    <w:rPr>
                      <w:rFonts w:hint="eastAsia"/>
                      <w:color w:val="auto"/>
                      <w:highlight w:val="none"/>
                    </w:rPr>
                    <w:t>金峰村（部分）</w:t>
                  </w:r>
                </w:p>
              </w:tc>
              <w:tc>
                <w:tcPr>
                  <w:tcW w:w="771" w:type="pct"/>
                  <w:vAlign w:val="center"/>
                </w:tcPr>
                <w:p w14:paraId="25F7D473">
                  <w:pPr>
                    <w:pStyle w:val="13"/>
                    <w:rPr>
                      <w:color w:val="auto"/>
                      <w:highlight w:val="none"/>
                    </w:rPr>
                  </w:pPr>
                  <w:r>
                    <w:rPr>
                      <w:color w:val="auto"/>
                      <w:highlight w:val="none"/>
                    </w:rPr>
                    <w:t>居民</w:t>
                  </w:r>
                </w:p>
              </w:tc>
              <w:tc>
                <w:tcPr>
                  <w:tcW w:w="924" w:type="pct"/>
                  <w:vAlign w:val="center"/>
                </w:tcPr>
                <w:p w14:paraId="2F9E0F81">
                  <w:pPr>
                    <w:pStyle w:val="13"/>
                    <w:rPr>
                      <w:color w:val="auto"/>
                      <w:highlight w:val="none"/>
                    </w:rPr>
                  </w:pPr>
                  <w:r>
                    <w:rPr>
                      <w:rFonts w:hint="eastAsia"/>
                      <w:color w:val="auto"/>
                      <w:highlight w:val="none"/>
                    </w:rPr>
                    <w:t>约75人</w:t>
                  </w:r>
                </w:p>
              </w:tc>
              <w:tc>
                <w:tcPr>
                  <w:tcW w:w="1012" w:type="pct"/>
                  <w:vAlign w:val="center"/>
                </w:tcPr>
                <w:p w14:paraId="5DC58587">
                  <w:pPr>
                    <w:pStyle w:val="13"/>
                    <w:rPr>
                      <w:color w:val="auto"/>
                      <w:highlight w:val="none"/>
                    </w:rPr>
                  </w:pPr>
                  <w:r>
                    <w:rPr>
                      <w:rFonts w:hint="eastAsia"/>
                      <w:color w:val="auto"/>
                      <w:highlight w:val="none"/>
                    </w:rPr>
                    <w:t>NE、SE、NW</w:t>
                  </w:r>
                </w:p>
              </w:tc>
              <w:tc>
                <w:tcPr>
                  <w:tcW w:w="1218" w:type="pct"/>
                  <w:vAlign w:val="center"/>
                </w:tcPr>
                <w:p w14:paraId="7DA078B0">
                  <w:pPr>
                    <w:pStyle w:val="13"/>
                    <w:rPr>
                      <w:color w:val="auto"/>
                      <w:highlight w:val="none"/>
                    </w:rPr>
                  </w:pPr>
                  <w:r>
                    <w:rPr>
                      <w:rFonts w:hint="eastAsia"/>
                      <w:color w:val="auto"/>
                      <w:highlight w:val="none"/>
                    </w:rPr>
                    <w:t>154、256、385</w:t>
                  </w:r>
                </w:p>
              </w:tc>
            </w:tr>
          </w:tbl>
          <w:p w14:paraId="70A437F3">
            <w:pPr>
              <w:ind w:firstLine="480"/>
              <w:rPr>
                <w:rFonts w:hint="eastAsia"/>
                <w:color w:val="auto"/>
                <w:highlight w:val="none"/>
              </w:rPr>
            </w:pPr>
            <w:r>
              <w:rPr>
                <w:rFonts w:hint="eastAsia"/>
                <w:color w:val="auto"/>
                <w:highlight w:val="none"/>
              </w:rPr>
              <w:t>大气环境保护目标位置见下图。</w:t>
            </w:r>
          </w:p>
          <w:p w14:paraId="67034BC7">
            <w:pPr>
              <w:pStyle w:val="13"/>
              <w:rPr>
                <w:color w:val="auto"/>
                <w:highlight w:val="none"/>
              </w:rPr>
            </w:pPr>
            <w:r>
              <w:rPr>
                <w:color w:val="auto"/>
                <w:highlight w:val="none"/>
              </w:rPr>
              <w:drawing>
                <wp:inline distT="0" distB="0" distL="114300" distR="114300">
                  <wp:extent cx="4905375" cy="3780155"/>
                  <wp:effectExtent l="0" t="0" r="9525" b="10795"/>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28"/>
                          <a:stretch>
                            <a:fillRect/>
                          </a:stretch>
                        </pic:blipFill>
                        <pic:spPr>
                          <a:xfrm>
                            <a:off x="0" y="0"/>
                            <a:ext cx="4905375" cy="3780155"/>
                          </a:xfrm>
                          <a:prstGeom prst="rect">
                            <a:avLst/>
                          </a:prstGeom>
                          <a:noFill/>
                          <a:ln>
                            <a:noFill/>
                          </a:ln>
                        </pic:spPr>
                      </pic:pic>
                    </a:graphicData>
                  </a:graphic>
                </wp:inline>
              </w:drawing>
            </w:r>
          </w:p>
          <w:p w14:paraId="047EFDB8">
            <w:pPr>
              <w:pStyle w:val="15"/>
              <w:spacing w:after="156"/>
              <w:rPr>
                <w:color w:val="auto"/>
                <w:highlight w:val="none"/>
              </w:rPr>
            </w:pPr>
            <w:r>
              <w:rPr>
                <w:color w:val="auto"/>
                <w:highlight w:val="none"/>
              </w:rPr>
              <w:t>图3-</w:t>
            </w:r>
            <w:r>
              <w:rPr>
                <w:rFonts w:hint="eastAsia"/>
                <w:color w:val="auto"/>
                <w:highlight w:val="none"/>
                <w:lang w:val="en-US" w:eastAsia="zh-CN"/>
              </w:rPr>
              <w:t>2</w:t>
            </w:r>
            <w:r>
              <w:rPr>
                <w:color w:val="auto"/>
                <w:highlight w:val="none"/>
              </w:rPr>
              <w:t xml:space="preserve">  建设项目周边500米范围图</w:t>
            </w:r>
          </w:p>
          <w:p w14:paraId="16D828F4">
            <w:pPr>
              <w:pStyle w:val="2"/>
              <w:ind w:firstLine="482"/>
              <w:rPr>
                <w:color w:val="auto"/>
                <w:highlight w:val="none"/>
              </w:rPr>
            </w:pPr>
            <w:r>
              <w:rPr>
                <w:color w:val="auto"/>
                <w:highlight w:val="none"/>
              </w:rPr>
              <w:t>2、声环境</w:t>
            </w:r>
          </w:p>
          <w:p w14:paraId="7DA7D973">
            <w:pPr>
              <w:ind w:firstLine="480"/>
              <w:rPr>
                <w:color w:val="auto"/>
                <w:highlight w:val="none"/>
              </w:rPr>
            </w:pPr>
            <w:r>
              <w:rPr>
                <w:color w:val="auto"/>
                <w:highlight w:val="none"/>
              </w:rPr>
              <w:t>根据现场勘查，项目厂界外50m范围内无声环境保护目标。</w:t>
            </w:r>
          </w:p>
          <w:p w14:paraId="3E097AF9">
            <w:pPr>
              <w:ind w:firstLine="480"/>
              <w:rPr>
                <w:color w:val="auto"/>
                <w:highlight w:val="none"/>
              </w:rPr>
            </w:pPr>
          </w:p>
          <w:p w14:paraId="5FD516F7">
            <w:pPr>
              <w:ind w:firstLine="480"/>
              <w:rPr>
                <w:color w:val="auto"/>
                <w:highlight w:val="none"/>
              </w:rPr>
            </w:pPr>
          </w:p>
          <w:p w14:paraId="2B4E158D">
            <w:pPr>
              <w:pStyle w:val="13"/>
              <w:rPr>
                <w:color w:val="auto"/>
                <w:highlight w:val="none"/>
              </w:rPr>
            </w:pPr>
            <w:r>
              <w:rPr>
                <w:color w:val="auto"/>
                <w:highlight w:val="none"/>
              </w:rPr>
              <w:drawing>
                <wp:inline distT="0" distB="0" distL="114300" distR="114300">
                  <wp:extent cx="4392295" cy="3383915"/>
                  <wp:effectExtent l="0" t="0" r="8255" b="6985"/>
                  <wp:docPr id="3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5"/>
                          <pic:cNvPicPr>
                            <a:picLocks noChangeAspect="1"/>
                          </pic:cNvPicPr>
                        </pic:nvPicPr>
                        <pic:blipFill>
                          <a:blip r:embed="rId29"/>
                          <a:stretch>
                            <a:fillRect/>
                          </a:stretch>
                        </pic:blipFill>
                        <pic:spPr>
                          <a:xfrm>
                            <a:off x="0" y="0"/>
                            <a:ext cx="4392295" cy="3383915"/>
                          </a:xfrm>
                          <a:prstGeom prst="rect">
                            <a:avLst/>
                          </a:prstGeom>
                          <a:noFill/>
                          <a:ln>
                            <a:noFill/>
                          </a:ln>
                        </pic:spPr>
                      </pic:pic>
                    </a:graphicData>
                  </a:graphic>
                </wp:inline>
              </w:drawing>
            </w:r>
          </w:p>
          <w:p w14:paraId="6D9D96F7">
            <w:pPr>
              <w:pStyle w:val="15"/>
              <w:spacing w:after="156"/>
              <w:rPr>
                <w:color w:val="auto"/>
                <w:highlight w:val="none"/>
              </w:rPr>
            </w:pPr>
            <w:r>
              <w:rPr>
                <w:color w:val="auto"/>
                <w:highlight w:val="none"/>
              </w:rPr>
              <w:t>图3-</w:t>
            </w:r>
            <w:r>
              <w:rPr>
                <w:rFonts w:hint="eastAsia"/>
                <w:color w:val="auto"/>
                <w:highlight w:val="none"/>
                <w:lang w:val="en-US" w:eastAsia="zh-CN"/>
              </w:rPr>
              <w:t>3</w:t>
            </w:r>
            <w:r>
              <w:rPr>
                <w:color w:val="auto"/>
                <w:highlight w:val="none"/>
              </w:rPr>
              <w:t xml:space="preserve">  建设项目周边50米范围图</w:t>
            </w:r>
          </w:p>
          <w:p w14:paraId="51B56C47">
            <w:pPr>
              <w:pStyle w:val="2"/>
              <w:ind w:firstLine="482"/>
              <w:rPr>
                <w:color w:val="auto"/>
                <w:highlight w:val="none"/>
              </w:rPr>
            </w:pPr>
            <w:r>
              <w:rPr>
                <w:color w:val="auto"/>
                <w:highlight w:val="none"/>
              </w:rPr>
              <w:t>3、地下水环境</w:t>
            </w:r>
          </w:p>
          <w:p w14:paraId="3807C506">
            <w:pPr>
              <w:ind w:firstLine="480"/>
              <w:rPr>
                <w:color w:val="auto"/>
                <w:highlight w:val="none"/>
              </w:rPr>
            </w:pPr>
            <w:r>
              <w:rPr>
                <w:color w:val="auto"/>
                <w:highlight w:val="none"/>
              </w:rPr>
              <w:t>根据现场勘查，项目厂界外500m范围内无集中式饮用水水源和热水、矿泉水、温泉等特殊地下水资源。</w:t>
            </w:r>
          </w:p>
          <w:p w14:paraId="1D1E39DE">
            <w:pPr>
              <w:pStyle w:val="2"/>
              <w:ind w:firstLine="482"/>
              <w:rPr>
                <w:color w:val="auto"/>
                <w:highlight w:val="none"/>
              </w:rPr>
            </w:pPr>
            <w:r>
              <w:rPr>
                <w:color w:val="auto"/>
                <w:highlight w:val="none"/>
              </w:rPr>
              <w:t>4、生态环境</w:t>
            </w:r>
          </w:p>
          <w:p w14:paraId="2B9EC674">
            <w:pPr>
              <w:ind w:firstLine="480"/>
              <w:rPr>
                <w:color w:val="auto"/>
                <w:highlight w:val="none"/>
              </w:rPr>
            </w:pPr>
            <w:r>
              <w:rPr>
                <w:rFonts w:hint="eastAsia"/>
                <w:color w:val="auto"/>
                <w:highlight w:val="none"/>
              </w:rPr>
              <w:t>项目使用安徽省青阳县荣华炉料有限公司现有闲置用地，不新增用地，故无需进行生态现状调查</w:t>
            </w:r>
            <w:r>
              <w:rPr>
                <w:color w:val="auto"/>
                <w:highlight w:val="none"/>
              </w:rPr>
              <w:t>。</w:t>
            </w:r>
          </w:p>
        </w:tc>
      </w:tr>
      <w:tr w14:paraId="41DEC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 w:type="pct"/>
          </w:tcPr>
          <w:p w14:paraId="1F12EA0C">
            <w:pPr>
              <w:ind w:firstLine="0" w:firstLineChars="0"/>
              <w:rPr>
                <w:color w:val="auto"/>
                <w:highlight w:val="none"/>
              </w:rPr>
            </w:pPr>
            <w:r>
              <w:rPr>
                <w:b/>
                <w:bCs/>
                <w:color w:val="auto"/>
                <w:highlight w:val="none"/>
              </w:rPr>
              <w:t>污染物排放控制标准</w:t>
            </w:r>
          </w:p>
        </w:tc>
        <w:tc>
          <w:tcPr>
            <w:tcW w:w="4767" w:type="pct"/>
          </w:tcPr>
          <w:p w14:paraId="33A981C3">
            <w:pPr>
              <w:pStyle w:val="2"/>
              <w:ind w:firstLine="482"/>
              <w:rPr>
                <w:color w:val="auto"/>
                <w:highlight w:val="none"/>
              </w:rPr>
            </w:pPr>
            <w:r>
              <w:rPr>
                <w:color w:val="auto"/>
                <w:highlight w:val="none"/>
              </w:rPr>
              <w:t>1、废气污染物排放标准</w:t>
            </w:r>
          </w:p>
          <w:p w14:paraId="08E3E08C">
            <w:pPr>
              <w:ind w:firstLine="480"/>
              <w:rPr>
                <w:rFonts w:cs="Times New Roman"/>
                <w:color w:val="auto"/>
                <w:highlight w:val="none"/>
              </w:rPr>
            </w:pPr>
            <w:r>
              <w:rPr>
                <w:rFonts w:cs="Times New Roman"/>
                <w:color w:val="auto"/>
                <w:highlight w:val="none"/>
              </w:rPr>
              <w:t>本项目运营期废气主要为颗粒物。</w:t>
            </w:r>
          </w:p>
          <w:p w14:paraId="292A1202">
            <w:pPr>
              <w:ind w:firstLine="480"/>
              <w:rPr>
                <w:color w:val="auto"/>
                <w:highlight w:val="none"/>
              </w:rPr>
            </w:pPr>
            <w:r>
              <w:rPr>
                <w:rFonts w:hint="eastAsia"/>
                <w:color w:val="auto"/>
                <w:highlight w:val="none"/>
              </w:rPr>
              <w:t>秸秆饲料生产废气、饲料颗粒生产废气颗粒物执行《大气污染物综合排放标准》（GB16297-1996）表2排放限值；锅炉废气颗粒物、二氧化硫、氮氧化物</w:t>
            </w:r>
            <w:r>
              <w:rPr>
                <w:rFonts w:hint="eastAsia"/>
                <w:color w:val="auto"/>
                <w:highlight w:val="none"/>
                <w:lang w:val="en-US" w:eastAsia="zh-CN"/>
              </w:rPr>
              <w:t>参照</w:t>
            </w:r>
            <w:r>
              <w:rPr>
                <w:rFonts w:hint="eastAsia"/>
                <w:color w:val="auto"/>
                <w:highlight w:val="none"/>
              </w:rPr>
              <w:t>执行《锅炉大气污染物排放标准》（GB13271-2014）表</w:t>
            </w:r>
            <w:r>
              <w:rPr>
                <w:rFonts w:hint="eastAsia"/>
                <w:color w:val="auto"/>
                <w:highlight w:val="none"/>
                <w:lang w:val="en-US" w:eastAsia="zh-CN"/>
              </w:rPr>
              <w:t>2</w:t>
            </w:r>
            <w:r>
              <w:rPr>
                <w:rFonts w:hint="eastAsia"/>
                <w:color w:val="auto"/>
                <w:highlight w:val="none"/>
              </w:rPr>
              <w:t>中燃煤锅炉排放限值。</w:t>
            </w:r>
          </w:p>
          <w:p w14:paraId="4E01A494">
            <w:pPr>
              <w:ind w:firstLine="480"/>
              <w:rPr>
                <w:color w:val="auto"/>
                <w:highlight w:val="none"/>
              </w:rPr>
            </w:pPr>
            <w:r>
              <w:rPr>
                <w:rFonts w:hint="eastAsia"/>
                <w:color w:val="auto"/>
                <w:highlight w:val="none"/>
              </w:rPr>
              <w:t>厂界无组织颗粒物、二氧化硫、氮氧化物执行《大气污染物综合排放标准》（GB 16297-1996）表2排放限值。</w:t>
            </w:r>
          </w:p>
          <w:p w14:paraId="3013910B">
            <w:pPr>
              <w:pStyle w:val="14"/>
              <w:spacing w:before="156"/>
              <w:rPr>
                <w:color w:val="auto"/>
                <w:highlight w:val="none"/>
              </w:rPr>
            </w:pPr>
            <w:r>
              <w:rPr>
                <w:rFonts w:hint="eastAsia"/>
                <w:color w:val="auto"/>
                <w:highlight w:val="none"/>
              </w:rPr>
              <w:t>表3-</w:t>
            </w:r>
            <w:r>
              <w:rPr>
                <w:rFonts w:hint="eastAsia"/>
                <w:color w:val="auto"/>
                <w:highlight w:val="none"/>
                <w:lang w:val="en-US" w:eastAsia="zh-CN"/>
              </w:rPr>
              <w:t>3</w:t>
            </w:r>
            <w:r>
              <w:rPr>
                <w:rFonts w:hint="eastAsia"/>
                <w:color w:val="auto"/>
                <w:highlight w:val="none"/>
              </w:rPr>
              <w:t xml:space="preserve">  大气污染物有组织排放限值</w:t>
            </w:r>
          </w:p>
          <w:tbl>
            <w:tblPr>
              <w:tblStyle w:val="10"/>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1081"/>
              <w:gridCol w:w="2114"/>
              <w:gridCol w:w="1542"/>
              <w:gridCol w:w="3383"/>
            </w:tblGrid>
            <w:tr w14:paraId="03D2D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109" w:type="pct"/>
                  <w:gridSpan w:val="2"/>
                  <w:vAlign w:val="center"/>
                </w:tcPr>
                <w:p w14:paraId="79B00D36">
                  <w:pPr>
                    <w:pStyle w:val="13"/>
                    <w:rPr>
                      <w:b/>
                      <w:bCs/>
                      <w:color w:val="auto"/>
                      <w:highlight w:val="none"/>
                    </w:rPr>
                  </w:pPr>
                  <w:r>
                    <w:rPr>
                      <w:rFonts w:hint="eastAsia"/>
                      <w:b/>
                      <w:bCs/>
                      <w:color w:val="auto"/>
                      <w:highlight w:val="none"/>
                    </w:rPr>
                    <w:t>污染物</w:t>
                  </w:r>
                </w:p>
              </w:tc>
              <w:tc>
                <w:tcPr>
                  <w:tcW w:w="1168" w:type="pct"/>
                  <w:vAlign w:val="center"/>
                </w:tcPr>
                <w:p w14:paraId="71F7D5FD">
                  <w:pPr>
                    <w:pStyle w:val="13"/>
                    <w:rPr>
                      <w:b/>
                      <w:bCs/>
                      <w:color w:val="auto"/>
                      <w:highlight w:val="none"/>
                    </w:rPr>
                  </w:pPr>
                  <w:r>
                    <w:rPr>
                      <w:b/>
                      <w:bCs/>
                      <w:color w:val="auto"/>
                      <w:highlight w:val="none"/>
                    </w:rPr>
                    <w:t>最高允许排放浓度</w:t>
                  </w:r>
                  <w:r>
                    <w:rPr>
                      <w:rFonts w:hint="eastAsia"/>
                      <w:b/>
                      <w:bCs/>
                      <w:color w:val="auto"/>
                      <w:highlight w:val="none"/>
                    </w:rPr>
                    <w:t>（</w:t>
                  </w:r>
                  <w:r>
                    <w:rPr>
                      <w:b/>
                      <w:bCs/>
                      <w:color w:val="auto"/>
                      <w:highlight w:val="none"/>
                    </w:rPr>
                    <w:t>mg/m³</w:t>
                  </w:r>
                  <w:r>
                    <w:rPr>
                      <w:rFonts w:hint="eastAsia"/>
                      <w:b/>
                      <w:bCs/>
                      <w:color w:val="auto"/>
                      <w:highlight w:val="none"/>
                    </w:rPr>
                    <w:t>）</w:t>
                  </w:r>
                </w:p>
              </w:tc>
              <w:tc>
                <w:tcPr>
                  <w:tcW w:w="852" w:type="pct"/>
                  <w:vAlign w:val="center"/>
                </w:tcPr>
                <w:p w14:paraId="4BD93109">
                  <w:pPr>
                    <w:pStyle w:val="13"/>
                    <w:rPr>
                      <w:b/>
                      <w:bCs/>
                      <w:color w:val="auto"/>
                      <w:highlight w:val="none"/>
                    </w:rPr>
                  </w:pPr>
                  <w:r>
                    <w:rPr>
                      <w:b/>
                      <w:bCs/>
                      <w:color w:val="auto"/>
                      <w:highlight w:val="none"/>
                    </w:rPr>
                    <w:t>最高允许排放速率</w:t>
                  </w:r>
                  <w:r>
                    <w:rPr>
                      <w:rFonts w:hint="eastAsia"/>
                      <w:b/>
                      <w:bCs/>
                      <w:color w:val="auto"/>
                      <w:highlight w:val="none"/>
                    </w:rPr>
                    <w:t>（</w:t>
                  </w:r>
                  <w:r>
                    <w:rPr>
                      <w:b/>
                      <w:bCs/>
                      <w:color w:val="auto"/>
                      <w:highlight w:val="none"/>
                    </w:rPr>
                    <w:t>kg/h</w:t>
                  </w:r>
                  <w:r>
                    <w:rPr>
                      <w:rFonts w:hint="eastAsia"/>
                      <w:b/>
                      <w:bCs/>
                      <w:color w:val="auto"/>
                      <w:highlight w:val="none"/>
                    </w:rPr>
                    <w:t>）</w:t>
                  </w:r>
                </w:p>
              </w:tc>
              <w:tc>
                <w:tcPr>
                  <w:tcW w:w="1869" w:type="pct"/>
                  <w:vAlign w:val="center"/>
                </w:tcPr>
                <w:p w14:paraId="663B1649">
                  <w:pPr>
                    <w:pStyle w:val="13"/>
                    <w:rPr>
                      <w:b/>
                      <w:bCs/>
                      <w:color w:val="auto"/>
                      <w:highlight w:val="none"/>
                    </w:rPr>
                  </w:pPr>
                  <w:r>
                    <w:rPr>
                      <w:b/>
                      <w:bCs/>
                      <w:color w:val="auto"/>
                      <w:highlight w:val="none"/>
                    </w:rPr>
                    <w:t>相应标准</w:t>
                  </w:r>
                </w:p>
              </w:tc>
            </w:tr>
            <w:tr w14:paraId="45EFC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12" w:type="pct"/>
                  <w:vMerge w:val="restart"/>
                  <w:vAlign w:val="center"/>
                </w:tcPr>
                <w:p w14:paraId="4B8ABE7E">
                  <w:pPr>
                    <w:pStyle w:val="13"/>
                    <w:rPr>
                      <w:color w:val="auto"/>
                      <w:highlight w:val="none"/>
                    </w:rPr>
                  </w:pPr>
                  <w:r>
                    <w:rPr>
                      <w:rFonts w:hint="eastAsia"/>
                      <w:color w:val="auto"/>
                      <w:highlight w:val="none"/>
                    </w:rPr>
                    <w:t>有组织</w:t>
                  </w:r>
                </w:p>
              </w:tc>
              <w:tc>
                <w:tcPr>
                  <w:tcW w:w="597" w:type="pct"/>
                  <w:vMerge w:val="restart"/>
                  <w:vAlign w:val="center"/>
                </w:tcPr>
                <w:p w14:paraId="24BAD82B">
                  <w:pPr>
                    <w:pStyle w:val="13"/>
                    <w:rPr>
                      <w:color w:val="auto"/>
                      <w:highlight w:val="none"/>
                    </w:rPr>
                  </w:pPr>
                  <w:r>
                    <w:rPr>
                      <w:color w:val="auto"/>
                      <w:highlight w:val="none"/>
                    </w:rPr>
                    <w:t>颗粒物</w:t>
                  </w:r>
                </w:p>
              </w:tc>
              <w:tc>
                <w:tcPr>
                  <w:tcW w:w="1168" w:type="pct"/>
                  <w:vAlign w:val="center"/>
                </w:tcPr>
                <w:p w14:paraId="2F03AEC8">
                  <w:pPr>
                    <w:pStyle w:val="13"/>
                    <w:rPr>
                      <w:color w:val="auto"/>
                      <w:highlight w:val="none"/>
                    </w:rPr>
                  </w:pPr>
                  <w:r>
                    <w:rPr>
                      <w:rFonts w:hint="eastAsia"/>
                      <w:color w:val="auto"/>
                      <w:highlight w:val="none"/>
                    </w:rPr>
                    <w:t>120</w:t>
                  </w:r>
                </w:p>
              </w:tc>
              <w:tc>
                <w:tcPr>
                  <w:tcW w:w="852" w:type="pct"/>
                  <w:vAlign w:val="center"/>
                </w:tcPr>
                <w:p w14:paraId="3B54FB3C">
                  <w:pPr>
                    <w:pStyle w:val="13"/>
                    <w:rPr>
                      <w:color w:val="auto"/>
                      <w:highlight w:val="none"/>
                    </w:rPr>
                  </w:pPr>
                  <w:r>
                    <w:rPr>
                      <w:rFonts w:hint="eastAsia"/>
                      <w:color w:val="auto"/>
                      <w:highlight w:val="none"/>
                    </w:rPr>
                    <w:t>3.5</w:t>
                  </w:r>
                </w:p>
              </w:tc>
              <w:tc>
                <w:tcPr>
                  <w:tcW w:w="1869" w:type="pct"/>
                  <w:vAlign w:val="center"/>
                </w:tcPr>
                <w:p w14:paraId="4636F8B3">
                  <w:pPr>
                    <w:pStyle w:val="13"/>
                    <w:rPr>
                      <w:color w:val="auto"/>
                      <w:highlight w:val="none"/>
                    </w:rPr>
                  </w:pPr>
                  <w:r>
                    <w:rPr>
                      <w:rFonts w:hint="eastAsia"/>
                      <w:color w:val="auto"/>
                      <w:highlight w:val="none"/>
                    </w:rPr>
                    <w:t>《大气污染物综合排放标准》（GB16297-1996）</w:t>
                  </w:r>
                </w:p>
              </w:tc>
            </w:tr>
            <w:tr w14:paraId="7A9C6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12" w:type="pct"/>
                  <w:vMerge w:val="continue"/>
                  <w:vAlign w:val="center"/>
                </w:tcPr>
                <w:p w14:paraId="1A632A32">
                  <w:pPr>
                    <w:pStyle w:val="13"/>
                    <w:rPr>
                      <w:color w:val="auto"/>
                      <w:highlight w:val="none"/>
                    </w:rPr>
                  </w:pPr>
                </w:p>
              </w:tc>
              <w:tc>
                <w:tcPr>
                  <w:tcW w:w="597" w:type="pct"/>
                  <w:vMerge w:val="continue"/>
                  <w:vAlign w:val="center"/>
                </w:tcPr>
                <w:p w14:paraId="69566F11">
                  <w:pPr>
                    <w:pStyle w:val="13"/>
                    <w:rPr>
                      <w:color w:val="auto"/>
                      <w:highlight w:val="none"/>
                    </w:rPr>
                  </w:pPr>
                </w:p>
              </w:tc>
              <w:tc>
                <w:tcPr>
                  <w:tcW w:w="1168" w:type="pct"/>
                  <w:vAlign w:val="center"/>
                </w:tcPr>
                <w:p w14:paraId="33EFD424">
                  <w:pPr>
                    <w:pStyle w:val="13"/>
                    <w:rPr>
                      <w:color w:val="auto"/>
                      <w:highlight w:val="none"/>
                    </w:rPr>
                  </w:pPr>
                  <w:r>
                    <w:rPr>
                      <w:rFonts w:hint="eastAsia"/>
                      <w:color w:val="auto"/>
                      <w:highlight w:val="none"/>
                      <w:lang w:val="en-US" w:eastAsia="zh-CN"/>
                    </w:rPr>
                    <w:t>5</w:t>
                  </w:r>
                  <w:r>
                    <w:rPr>
                      <w:rFonts w:hint="eastAsia"/>
                      <w:color w:val="auto"/>
                      <w:highlight w:val="none"/>
                    </w:rPr>
                    <w:t>0（锅炉废气）</w:t>
                  </w:r>
                </w:p>
              </w:tc>
              <w:tc>
                <w:tcPr>
                  <w:tcW w:w="852" w:type="pct"/>
                  <w:vAlign w:val="center"/>
                </w:tcPr>
                <w:p w14:paraId="12AA3150">
                  <w:pPr>
                    <w:pStyle w:val="13"/>
                    <w:rPr>
                      <w:color w:val="auto"/>
                      <w:highlight w:val="none"/>
                    </w:rPr>
                  </w:pPr>
                  <w:r>
                    <w:rPr>
                      <w:rFonts w:hint="eastAsia"/>
                      <w:color w:val="auto"/>
                      <w:highlight w:val="none"/>
                    </w:rPr>
                    <w:t>/</w:t>
                  </w:r>
                </w:p>
              </w:tc>
              <w:tc>
                <w:tcPr>
                  <w:tcW w:w="1869" w:type="pct"/>
                  <w:vMerge w:val="restart"/>
                  <w:vAlign w:val="center"/>
                </w:tcPr>
                <w:p w14:paraId="26328170">
                  <w:pPr>
                    <w:pStyle w:val="13"/>
                    <w:rPr>
                      <w:color w:val="auto"/>
                      <w:highlight w:val="none"/>
                    </w:rPr>
                  </w:pPr>
                  <w:r>
                    <w:rPr>
                      <w:rFonts w:hint="eastAsia"/>
                      <w:color w:val="auto"/>
                      <w:highlight w:val="none"/>
                    </w:rPr>
                    <w:t>《锅炉大气污染物排放标准》（GB13271-2014）表</w:t>
                  </w:r>
                  <w:r>
                    <w:rPr>
                      <w:rFonts w:hint="eastAsia"/>
                      <w:color w:val="auto"/>
                      <w:highlight w:val="none"/>
                      <w:lang w:val="en-US" w:eastAsia="zh-CN"/>
                    </w:rPr>
                    <w:t>2</w:t>
                  </w:r>
                  <w:r>
                    <w:rPr>
                      <w:rFonts w:hint="eastAsia"/>
                      <w:color w:val="auto"/>
                      <w:highlight w:val="none"/>
                    </w:rPr>
                    <w:t>中燃煤锅炉排放限值</w:t>
                  </w:r>
                </w:p>
              </w:tc>
            </w:tr>
            <w:tr w14:paraId="35A20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12" w:type="pct"/>
                  <w:vMerge w:val="continue"/>
                  <w:vAlign w:val="center"/>
                </w:tcPr>
                <w:p w14:paraId="5C6B828A">
                  <w:pPr>
                    <w:pStyle w:val="13"/>
                    <w:rPr>
                      <w:color w:val="auto"/>
                      <w:highlight w:val="none"/>
                    </w:rPr>
                  </w:pPr>
                </w:p>
              </w:tc>
              <w:tc>
                <w:tcPr>
                  <w:tcW w:w="597" w:type="pct"/>
                  <w:vAlign w:val="center"/>
                </w:tcPr>
                <w:p w14:paraId="237BC9EB">
                  <w:pPr>
                    <w:pStyle w:val="13"/>
                    <w:rPr>
                      <w:color w:val="auto"/>
                      <w:highlight w:val="none"/>
                    </w:rPr>
                  </w:pPr>
                  <w:r>
                    <w:rPr>
                      <w:rFonts w:hint="eastAsia"/>
                      <w:color w:val="auto"/>
                      <w:highlight w:val="none"/>
                    </w:rPr>
                    <w:t>二氧化硫</w:t>
                  </w:r>
                </w:p>
              </w:tc>
              <w:tc>
                <w:tcPr>
                  <w:tcW w:w="1168" w:type="pct"/>
                  <w:vAlign w:val="center"/>
                </w:tcPr>
                <w:p w14:paraId="5EFDF16B">
                  <w:pPr>
                    <w:pStyle w:val="13"/>
                    <w:rPr>
                      <w:color w:val="auto"/>
                      <w:highlight w:val="none"/>
                    </w:rPr>
                  </w:pPr>
                  <w:r>
                    <w:rPr>
                      <w:rFonts w:hint="eastAsia"/>
                      <w:color w:val="auto"/>
                      <w:highlight w:val="none"/>
                      <w:lang w:val="en-US" w:eastAsia="zh-CN"/>
                    </w:rPr>
                    <w:t>3</w:t>
                  </w:r>
                  <w:r>
                    <w:rPr>
                      <w:rFonts w:hint="eastAsia"/>
                      <w:color w:val="auto"/>
                      <w:highlight w:val="none"/>
                    </w:rPr>
                    <w:t>00</w:t>
                  </w:r>
                </w:p>
              </w:tc>
              <w:tc>
                <w:tcPr>
                  <w:tcW w:w="852" w:type="pct"/>
                  <w:vAlign w:val="center"/>
                </w:tcPr>
                <w:p w14:paraId="4F2386CA">
                  <w:pPr>
                    <w:pStyle w:val="13"/>
                    <w:rPr>
                      <w:color w:val="auto"/>
                      <w:highlight w:val="none"/>
                    </w:rPr>
                  </w:pPr>
                  <w:r>
                    <w:rPr>
                      <w:rFonts w:hint="eastAsia"/>
                      <w:color w:val="auto"/>
                      <w:highlight w:val="none"/>
                    </w:rPr>
                    <w:t>/</w:t>
                  </w:r>
                </w:p>
              </w:tc>
              <w:tc>
                <w:tcPr>
                  <w:tcW w:w="1869" w:type="pct"/>
                  <w:vMerge w:val="continue"/>
                  <w:vAlign w:val="center"/>
                </w:tcPr>
                <w:p w14:paraId="20F6C2F5">
                  <w:pPr>
                    <w:pStyle w:val="13"/>
                    <w:rPr>
                      <w:color w:val="auto"/>
                      <w:highlight w:val="none"/>
                    </w:rPr>
                  </w:pPr>
                </w:p>
              </w:tc>
            </w:tr>
            <w:tr w14:paraId="49A00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12" w:type="pct"/>
                  <w:vMerge w:val="continue"/>
                  <w:vAlign w:val="center"/>
                </w:tcPr>
                <w:p w14:paraId="23F7189C">
                  <w:pPr>
                    <w:pStyle w:val="13"/>
                    <w:rPr>
                      <w:color w:val="auto"/>
                      <w:highlight w:val="none"/>
                    </w:rPr>
                  </w:pPr>
                </w:p>
              </w:tc>
              <w:tc>
                <w:tcPr>
                  <w:tcW w:w="597" w:type="pct"/>
                  <w:vAlign w:val="center"/>
                </w:tcPr>
                <w:p w14:paraId="5977D9EF">
                  <w:pPr>
                    <w:pStyle w:val="13"/>
                    <w:rPr>
                      <w:color w:val="auto"/>
                      <w:highlight w:val="none"/>
                    </w:rPr>
                  </w:pPr>
                  <w:r>
                    <w:rPr>
                      <w:rFonts w:hint="eastAsia"/>
                      <w:color w:val="auto"/>
                      <w:highlight w:val="none"/>
                    </w:rPr>
                    <w:t>氮氧化物</w:t>
                  </w:r>
                </w:p>
              </w:tc>
              <w:tc>
                <w:tcPr>
                  <w:tcW w:w="1168" w:type="pct"/>
                  <w:vAlign w:val="center"/>
                </w:tcPr>
                <w:p w14:paraId="65F087AE">
                  <w:pPr>
                    <w:pStyle w:val="13"/>
                    <w:rPr>
                      <w:color w:val="auto"/>
                      <w:highlight w:val="none"/>
                    </w:rPr>
                  </w:pPr>
                  <w:r>
                    <w:rPr>
                      <w:rFonts w:hint="eastAsia"/>
                      <w:color w:val="auto"/>
                      <w:highlight w:val="none"/>
                      <w:lang w:val="en-US" w:eastAsia="zh-CN"/>
                    </w:rPr>
                    <w:t>3</w:t>
                  </w:r>
                  <w:r>
                    <w:rPr>
                      <w:rFonts w:hint="eastAsia"/>
                      <w:color w:val="auto"/>
                      <w:highlight w:val="none"/>
                    </w:rPr>
                    <w:t>00</w:t>
                  </w:r>
                </w:p>
              </w:tc>
              <w:tc>
                <w:tcPr>
                  <w:tcW w:w="852" w:type="pct"/>
                  <w:vAlign w:val="center"/>
                </w:tcPr>
                <w:p w14:paraId="57920097">
                  <w:pPr>
                    <w:pStyle w:val="13"/>
                    <w:rPr>
                      <w:color w:val="auto"/>
                      <w:highlight w:val="none"/>
                    </w:rPr>
                  </w:pPr>
                  <w:r>
                    <w:rPr>
                      <w:rFonts w:hint="eastAsia"/>
                      <w:color w:val="auto"/>
                      <w:highlight w:val="none"/>
                    </w:rPr>
                    <w:t>/</w:t>
                  </w:r>
                </w:p>
              </w:tc>
              <w:tc>
                <w:tcPr>
                  <w:tcW w:w="1869" w:type="pct"/>
                  <w:vMerge w:val="continue"/>
                  <w:vAlign w:val="center"/>
                </w:tcPr>
                <w:p w14:paraId="172D8DA7">
                  <w:pPr>
                    <w:pStyle w:val="13"/>
                    <w:rPr>
                      <w:color w:val="auto"/>
                      <w:highlight w:val="none"/>
                    </w:rPr>
                  </w:pPr>
                </w:p>
              </w:tc>
            </w:tr>
            <w:tr w14:paraId="025DC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12" w:type="pct"/>
                  <w:vMerge w:val="continue"/>
                  <w:vAlign w:val="center"/>
                </w:tcPr>
                <w:p w14:paraId="3DFBBE3B">
                  <w:pPr>
                    <w:pStyle w:val="13"/>
                    <w:rPr>
                      <w:color w:val="auto"/>
                      <w:highlight w:val="none"/>
                    </w:rPr>
                  </w:pPr>
                </w:p>
              </w:tc>
              <w:tc>
                <w:tcPr>
                  <w:tcW w:w="597" w:type="pct"/>
                  <w:vAlign w:val="center"/>
                </w:tcPr>
                <w:p w14:paraId="1F8844F2">
                  <w:pPr>
                    <w:pStyle w:val="13"/>
                    <w:rPr>
                      <w:color w:val="auto"/>
                      <w:highlight w:val="none"/>
                    </w:rPr>
                  </w:pPr>
                  <w:r>
                    <w:rPr>
                      <w:rFonts w:hint="eastAsia"/>
                      <w:color w:val="auto"/>
                      <w:highlight w:val="none"/>
                    </w:rPr>
                    <w:t>烟气黑度</w:t>
                  </w:r>
                </w:p>
              </w:tc>
              <w:tc>
                <w:tcPr>
                  <w:tcW w:w="1168" w:type="pct"/>
                  <w:vAlign w:val="center"/>
                </w:tcPr>
                <w:p w14:paraId="19F46FE6">
                  <w:pPr>
                    <w:pStyle w:val="13"/>
                    <w:rPr>
                      <w:color w:val="auto"/>
                      <w:highlight w:val="none"/>
                    </w:rPr>
                  </w:pPr>
                  <w:r>
                    <w:rPr>
                      <w:rFonts w:cs="Times New Roman"/>
                      <w:color w:val="auto"/>
                      <w:highlight w:val="none"/>
                    </w:rPr>
                    <w:t>≤</w:t>
                  </w:r>
                  <w:r>
                    <w:rPr>
                      <w:rFonts w:hint="eastAsia"/>
                      <w:color w:val="auto"/>
                      <w:highlight w:val="none"/>
                    </w:rPr>
                    <w:t>1（无量纲）</w:t>
                  </w:r>
                </w:p>
              </w:tc>
              <w:tc>
                <w:tcPr>
                  <w:tcW w:w="852" w:type="pct"/>
                  <w:vAlign w:val="center"/>
                </w:tcPr>
                <w:p w14:paraId="43A6AA99">
                  <w:pPr>
                    <w:pStyle w:val="13"/>
                    <w:rPr>
                      <w:color w:val="auto"/>
                      <w:highlight w:val="none"/>
                    </w:rPr>
                  </w:pPr>
                  <w:r>
                    <w:rPr>
                      <w:rFonts w:hint="eastAsia"/>
                      <w:color w:val="auto"/>
                      <w:highlight w:val="none"/>
                    </w:rPr>
                    <w:t>/</w:t>
                  </w:r>
                </w:p>
              </w:tc>
              <w:tc>
                <w:tcPr>
                  <w:tcW w:w="1869" w:type="pct"/>
                  <w:vMerge w:val="continue"/>
                  <w:vAlign w:val="center"/>
                </w:tcPr>
                <w:p w14:paraId="0690893F">
                  <w:pPr>
                    <w:pStyle w:val="13"/>
                    <w:rPr>
                      <w:color w:val="auto"/>
                      <w:highlight w:val="none"/>
                    </w:rPr>
                  </w:pPr>
                </w:p>
              </w:tc>
            </w:tr>
            <w:tr w14:paraId="53061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12" w:type="pct"/>
                  <w:vMerge w:val="restart"/>
                  <w:vAlign w:val="center"/>
                </w:tcPr>
                <w:p w14:paraId="1C83F2F9">
                  <w:pPr>
                    <w:pStyle w:val="13"/>
                    <w:rPr>
                      <w:color w:val="auto"/>
                      <w:highlight w:val="none"/>
                    </w:rPr>
                  </w:pPr>
                  <w:r>
                    <w:rPr>
                      <w:rFonts w:hint="eastAsia"/>
                      <w:color w:val="auto"/>
                      <w:highlight w:val="none"/>
                    </w:rPr>
                    <w:t>无组织</w:t>
                  </w:r>
                </w:p>
              </w:tc>
              <w:tc>
                <w:tcPr>
                  <w:tcW w:w="597" w:type="pct"/>
                  <w:vAlign w:val="center"/>
                </w:tcPr>
                <w:p w14:paraId="0D0CF461">
                  <w:pPr>
                    <w:pStyle w:val="13"/>
                    <w:rPr>
                      <w:color w:val="auto"/>
                      <w:highlight w:val="none"/>
                    </w:rPr>
                  </w:pPr>
                  <w:r>
                    <w:rPr>
                      <w:color w:val="auto"/>
                      <w:highlight w:val="none"/>
                    </w:rPr>
                    <w:t>颗粒物</w:t>
                  </w:r>
                </w:p>
              </w:tc>
              <w:tc>
                <w:tcPr>
                  <w:tcW w:w="1168" w:type="pct"/>
                  <w:vAlign w:val="center"/>
                </w:tcPr>
                <w:p w14:paraId="4507F060">
                  <w:pPr>
                    <w:pStyle w:val="13"/>
                    <w:rPr>
                      <w:color w:val="auto"/>
                      <w:highlight w:val="none"/>
                    </w:rPr>
                  </w:pPr>
                  <w:r>
                    <w:rPr>
                      <w:rFonts w:hint="eastAsia"/>
                      <w:color w:val="auto"/>
                      <w:highlight w:val="none"/>
                    </w:rPr>
                    <w:t>1.0</w:t>
                  </w:r>
                </w:p>
              </w:tc>
              <w:tc>
                <w:tcPr>
                  <w:tcW w:w="852" w:type="pct"/>
                  <w:vAlign w:val="center"/>
                </w:tcPr>
                <w:p w14:paraId="5C9D631F">
                  <w:pPr>
                    <w:pStyle w:val="13"/>
                    <w:rPr>
                      <w:color w:val="auto"/>
                      <w:highlight w:val="none"/>
                    </w:rPr>
                  </w:pPr>
                  <w:r>
                    <w:rPr>
                      <w:rFonts w:hint="eastAsia"/>
                      <w:color w:val="auto"/>
                      <w:highlight w:val="none"/>
                    </w:rPr>
                    <w:t>/</w:t>
                  </w:r>
                </w:p>
              </w:tc>
              <w:tc>
                <w:tcPr>
                  <w:tcW w:w="1869" w:type="pct"/>
                  <w:vMerge w:val="restart"/>
                  <w:vAlign w:val="center"/>
                </w:tcPr>
                <w:p w14:paraId="1CF08AB5">
                  <w:pPr>
                    <w:pStyle w:val="13"/>
                    <w:rPr>
                      <w:color w:val="auto"/>
                      <w:highlight w:val="none"/>
                    </w:rPr>
                  </w:pPr>
                  <w:r>
                    <w:rPr>
                      <w:rFonts w:hint="eastAsia"/>
                      <w:color w:val="auto"/>
                      <w:highlight w:val="none"/>
                    </w:rPr>
                    <w:t>《大气污染物综合排放标准》（GB16297-1996）</w:t>
                  </w:r>
                </w:p>
              </w:tc>
            </w:tr>
            <w:tr w14:paraId="46F2A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12" w:type="pct"/>
                  <w:vMerge w:val="continue"/>
                  <w:vAlign w:val="center"/>
                </w:tcPr>
                <w:p w14:paraId="2ADC3939">
                  <w:pPr>
                    <w:pStyle w:val="13"/>
                    <w:rPr>
                      <w:color w:val="auto"/>
                      <w:highlight w:val="none"/>
                    </w:rPr>
                  </w:pPr>
                </w:p>
              </w:tc>
              <w:tc>
                <w:tcPr>
                  <w:tcW w:w="597" w:type="pct"/>
                  <w:vAlign w:val="center"/>
                </w:tcPr>
                <w:p w14:paraId="5D8C01DE">
                  <w:pPr>
                    <w:pStyle w:val="13"/>
                    <w:rPr>
                      <w:color w:val="auto"/>
                      <w:highlight w:val="none"/>
                    </w:rPr>
                  </w:pPr>
                  <w:r>
                    <w:rPr>
                      <w:rFonts w:hint="eastAsia"/>
                      <w:color w:val="auto"/>
                      <w:highlight w:val="none"/>
                    </w:rPr>
                    <w:t>二氧化硫</w:t>
                  </w:r>
                </w:p>
              </w:tc>
              <w:tc>
                <w:tcPr>
                  <w:tcW w:w="1168" w:type="pct"/>
                  <w:vAlign w:val="center"/>
                </w:tcPr>
                <w:p w14:paraId="5F308A66">
                  <w:pPr>
                    <w:pStyle w:val="13"/>
                    <w:rPr>
                      <w:color w:val="auto"/>
                      <w:highlight w:val="none"/>
                    </w:rPr>
                  </w:pPr>
                  <w:r>
                    <w:rPr>
                      <w:rFonts w:hint="eastAsia"/>
                      <w:color w:val="auto"/>
                      <w:highlight w:val="none"/>
                    </w:rPr>
                    <w:t>0.4</w:t>
                  </w:r>
                </w:p>
              </w:tc>
              <w:tc>
                <w:tcPr>
                  <w:tcW w:w="852" w:type="pct"/>
                  <w:vAlign w:val="center"/>
                </w:tcPr>
                <w:p w14:paraId="643A4258">
                  <w:pPr>
                    <w:pStyle w:val="13"/>
                    <w:rPr>
                      <w:color w:val="auto"/>
                      <w:highlight w:val="none"/>
                    </w:rPr>
                  </w:pPr>
                  <w:r>
                    <w:rPr>
                      <w:rFonts w:hint="eastAsia"/>
                      <w:color w:val="auto"/>
                      <w:highlight w:val="none"/>
                    </w:rPr>
                    <w:t>/</w:t>
                  </w:r>
                </w:p>
              </w:tc>
              <w:tc>
                <w:tcPr>
                  <w:tcW w:w="1869" w:type="pct"/>
                  <w:vMerge w:val="continue"/>
                  <w:vAlign w:val="center"/>
                </w:tcPr>
                <w:p w14:paraId="2A101B43">
                  <w:pPr>
                    <w:pStyle w:val="13"/>
                    <w:rPr>
                      <w:color w:val="auto"/>
                      <w:highlight w:val="none"/>
                    </w:rPr>
                  </w:pPr>
                </w:p>
              </w:tc>
            </w:tr>
            <w:tr w14:paraId="1317C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12" w:type="pct"/>
                  <w:vMerge w:val="continue"/>
                  <w:vAlign w:val="center"/>
                </w:tcPr>
                <w:p w14:paraId="65BFD52D">
                  <w:pPr>
                    <w:pStyle w:val="13"/>
                    <w:rPr>
                      <w:color w:val="auto"/>
                      <w:highlight w:val="none"/>
                    </w:rPr>
                  </w:pPr>
                </w:p>
              </w:tc>
              <w:tc>
                <w:tcPr>
                  <w:tcW w:w="597" w:type="pct"/>
                  <w:vAlign w:val="center"/>
                </w:tcPr>
                <w:p w14:paraId="0B62161D">
                  <w:pPr>
                    <w:pStyle w:val="13"/>
                    <w:rPr>
                      <w:color w:val="auto"/>
                      <w:highlight w:val="none"/>
                    </w:rPr>
                  </w:pPr>
                  <w:r>
                    <w:rPr>
                      <w:rFonts w:hint="eastAsia"/>
                      <w:color w:val="auto"/>
                      <w:highlight w:val="none"/>
                    </w:rPr>
                    <w:t>氮氧化物</w:t>
                  </w:r>
                </w:p>
              </w:tc>
              <w:tc>
                <w:tcPr>
                  <w:tcW w:w="1168" w:type="pct"/>
                  <w:vAlign w:val="center"/>
                </w:tcPr>
                <w:p w14:paraId="4CF70630">
                  <w:pPr>
                    <w:pStyle w:val="13"/>
                    <w:rPr>
                      <w:color w:val="auto"/>
                      <w:highlight w:val="none"/>
                    </w:rPr>
                  </w:pPr>
                  <w:r>
                    <w:rPr>
                      <w:rFonts w:hint="eastAsia"/>
                      <w:color w:val="auto"/>
                      <w:highlight w:val="none"/>
                    </w:rPr>
                    <w:t>0.12</w:t>
                  </w:r>
                </w:p>
              </w:tc>
              <w:tc>
                <w:tcPr>
                  <w:tcW w:w="852" w:type="pct"/>
                  <w:vAlign w:val="center"/>
                </w:tcPr>
                <w:p w14:paraId="3BB54D5C">
                  <w:pPr>
                    <w:pStyle w:val="13"/>
                    <w:rPr>
                      <w:color w:val="auto"/>
                      <w:highlight w:val="none"/>
                    </w:rPr>
                  </w:pPr>
                  <w:r>
                    <w:rPr>
                      <w:rFonts w:hint="eastAsia"/>
                      <w:color w:val="auto"/>
                      <w:highlight w:val="none"/>
                    </w:rPr>
                    <w:t>/</w:t>
                  </w:r>
                </w:p>
              </w:tc>
              <w:tc>
                <w:tcPr>
                  <w:tcW w:w="1869" w:type="pct"/>
                  <w:vMerge w:val="continue"/>
                  <w:vAlign w:val="center"/>
                </w:tcPr>
                <w:p w14:paraId="356587CE">
                  <w:pPr>
                    <w:pStyle w:val="13"/>
                    <w:rPr>
                      <w:color w:val="auto"/>
                      <w:highlight w:val="none"/>
                    </w:rPr>
                  </w:pPr>
                </w:p>
              </w:tc>
            </w:tr>
          </w:tbl>
          <w:p w14:paraId="12DFC855">
            <w:pPr>
              <w:pStyle w:val="2"/>
              <w:ind w:firstLine="482"/>
              <w:rPr>
                <w:color w:val="auto"/>
                <w:highlight w:val="none"/>
              </w:rPr>
            </w:pPr>
            <w:r>
              <w:rPr>
                <w:color w:val="auto"/>
                <w:highlight w:val="none"/>
              </w:rPr>
              <w:t>2、废水排放标准</w:t>
            </w:r>
          </w:p>
          <w:p w14:paraId="2E15198E">
            <w:pPr>
              <w:ind w:firstLine="480"/>
              <w:rPr>
                <w:color w:val="auto"/>
                <w:highlight w:val="none"/>
              </w:rPr>
            </w:pPr>
            <w:r>
              <w:rPr>
                <w:rFonts w:hint="eastAsia"/>
                <w:color w:val="auto"/>
                <w:highlight w:val="none"/>
              </w:rPr>
              <w:t>项目采用雨污分流制，雨水经收集后，排入市政雨水管网；</w:t>
            </w:r>
            <w:r>
              <w:rPr>
                <w:rFonts w:hint="eastAsia"/>
                <w:color w:val="auto"/>
                <w:highlight w:val="none"/>
                <w:lang w:eastAsia="zh-CN"/>
              </w:rPr>
              <w:t>生活污水经隔油池、化粪池处理达酉华镇污水处理站接管标准后，与调质废水一起纳管排入酉华镇污水处理站处理，达到《城镇污水处理站污染物排放标准》（GB 18918-2002）一级A标准后排入七星河</w:t>
            </w:r>
            <w:r>
              <w:rPr>
                <w:rFonts w:hint="eastAsia"/>
                <w:color w:val="auto"/>
                <w:highlight w:val="none"/>
              </w:rPr>
              <w:t>。</w:t>
            </w:r>
          </w:p>
          <w:p w14:paraId="7A822AA8">
            <w:pPr>
              <w:pStyle w:val="14"/>
              <w:spacing w:before="156"/>
              <w:rPr>
                <w:color w:val="auto"/>
                <w:highlight w:val="none"/>
              </w:rPr>
            </w:pPr>
            <w:r>
              <w:rPr>
                <w:color w:val="auto"/>
                <w:highlight w:val="none"/>
              </w:rPr>
              <w:t>表3-</w:t>
            </w:r>
            <w:r>
              <w:rPr>
                <w:rFonts w:hint="eastAsia"/>
                <w:color w:val="auto"/>
                <w:highlight w:val="none"/>
                <w:lang w:val="en-US" w:eastAsia="zh-CN"/>
              </w:rPr>
              <w:t>4</w:t>
            </w:r>
            <w:r>
              <w:rPr>
                <w:rFonts w:hint="eastAsia"/>
                <w:color w:val="auto"/>
                <w:highlight w:val="none"/>
              </w:rPr>
              <w:t xml:space="preserve">  </w:t>
            </w:r>
            <w:r>
              <w:rPr>
                <w:color w:val="auto"/>
                <w:highlight w:val="none"/>
              </w:rPr>
              <w:t>污水排放接管标准</w:t>
            </w:r>
            <w:r>
              <w:rPr>
                <w:rFonts w:hint="eastAsia"/>
                <w:color w:val="auto"/>
                <w:highlight w:val="none"/>
              </w:rPr>
              <w:t xml:space="preserve">  </w:t>
            </w:r>
            <w:r>
              <w:rPr>
                <w:color w:val="auto"/>
                <w:highlight w:val="none"/>
              </w:rPr>
              <w:t>单位</w:t>
            </w:r>
            <w:r>
              <w:rPr>
                <w:rFonts w:hint="eastAsia"/>
                <w:color w:val="auto"/>
                <w:highlight w:val="none"/>
              </w:rPr>
              <w:t>：</w:t>
            </w:r>
            <w:r>
              <w:rPr>
                <w:color w:val="auto"/>
                <w:highlight w:val="none"/>
              </w:rPr>
              <w:t>mg</w:t>
            </w:r>
            <w:r>
              <w:rPr>
                <w:rFonts w:hint="eastAsia"/>
                <w:color w:val="auto"/>
                <w:highlight w:val="none"/>
              </w:rPr>
              <w:t>/L</w:t>
            </w:r>
          </w:p>
          <w:tbl>
            <w:tblPr>
              <w:tblStyle w:val="1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58"/>
              <w:gridCol w:w="540"/>
              <w:gridCol w:w="690"/>
              <w:gridCol w:w="540"/>
              <w:gridCol w:w="810"/>
              <w:gridCol w:w="696"/>
              <w:gridCol w:w="821"/>
              <w:gridCol w:w="508"/>
              <w:gridCol w:w="524"/>
              <w:gridCol w:w="1167"/>
            </w:tblGrid>
            <w:tr w14:paraId="4942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23" w:type="pct"/>
                  <w:vAlign w:val="center"/>
                </w:tcPr>
                <w:p w14:paraId="6EAB7992">
                  <w:pPr>
                    <w:pStyle w:val="13"/>
                    <w:rPr>
                      <w:b/>
                      <w:bCs/>
                      <w:color w:val="auto"/>
                      <w:highlight w:val="none"/>
                    </w:rPr>
                  </w:pPr>
                  <w:r>
                    <w:rPr>
                      <w:b/>
                      <w:bCs/>
                      <w:color w:val="auto"/>
                      <w:highlight w:val="none"/>
                    </w:rPr>
                    <w:t>污染物名称</w:t>
                  </w:r>
                </w:p>
              </w:tc>
              <w:tc>
                <w:tcPr>
                  <w:tcW w:w="298" w:type="pct"/>
                  <w:vAlign w:val="center"/>
                </w:tcPr>
                <w:p w14:paraId="4363D0B2">
                  <w:pPr>
                    <w:pStyle w:val="13"/>
                    <w:rPr>
                      <w:b/>
                      <w:bCs/>
                      <w:color w:val="auto"/>
                      <w:highlight w:val="none"/>
                    </w:rPr>
                  </w:pPr>
                  <w:r>
                    <w:rPr>
                      <w:rFonts w:hint="eastAsia"/>
                      <w:b/>
                      <w:bCs/>
                      <w:color w:val="auto"/>
                      <w:highlight w:val="none"/>
                    </w:rPr>
                    <w:t>pH</w:t>
                  </w:r>
                </w:p>
              </w:tc>
              <w:tc>
                <w:tcPr>
                  <w:tcW w:w="381" w:type="pct"/>
                  <w:vAlign w:val="center"/>
                </w:tcPr>
                <w:p w14:paraId="21129381">
                  <w:pPr>
                    <w:pStyle w:val="13"/>
                    <w:rPr>
                      <w:rFonts w:hint="eastAsia" w:eastAsia="宋体"/>
                      <w:b/>
                      <w:bCs/>
                      <w:color w:val="auto"/>
                      <w:highlight w:val="none"/>
                      <w:lang w:val="en-US" w:eastAsia="zh-CN"/>
                    </w:rPr>
                  </w:pPr>
                  <w:r>
                    <w:rPr>
                      <w:rFonts w:hint="eastAsia"/>
                      <w:b/>
                      <w:bCs/>
                      <w:color w:val="auto"/>
                      <w:highlight w:val="none"/>
                      <w:lang w:val="en-US" w:eastAsia="zh-CN"/>
                    </w:rPr>
                    <w:t>色度</w:t>
                  </w:r>
                </w:p>
              </w:tc>
              <w:tc>
                <w:tcPr>
                  <w:tcW w:w="298" w:type="pct"/>
                  <w:vAlign w:val="center"/>
                </w:tcPr>
                <w:p w14:paraId="31AFE607">
                  <w:pPr>
                    <w:pStyle w:val="13"/>
                    <w:rPr>
                      <w:rFonts w:hint="eastAsia"/>
                      <w:b/>
                      <w:bCs/>
                      <w:color w:val="auto"/>
                      <w:highlight w:val="none"/>
                      <w:lang w:val="en-US" w:eastAsia="zh-CN"/>
                    </w:rPr>
                  </w:pPr>
                  <w:r>
                    <w:rPr>
                      <w:b/>
                      <w:bCs/>
                      <w:color w:val="auto"/>
                      <w:highlight w:val="none"/>
                    </w:rPr>
                    <w:t>SS</w:t>
                  </w:r>
                </w:p>
              </w:tc>
              <w:tc>
                <w:tcPr>
                  <w:tcW w:w="447" w:type="pct"/>
                  <w:vAlign w:val="center"/>
                </w:tcPr>
                <w:p w14:paraId="674A23D7">
                  <w:pPr>
                    <w:pStyle w:val="13"/>
                    <w:rPr>
                      <w:b/>
                      <w:bCs/>
                      <w:color w:val="auto"/>
                      <w:highlight w:val="none"/>
                    </w:rPr>
                  </w:pPr>
                  <w:r>
                    <w:rPr>
                      <w:b/>
                      <w:bCs/>
                      <w:color w:val="auto"/>
                      <w:highlight w:val="none"/>
                    </w:rPr>
                    <w:t>BOD</w:t>
                  </w:r>
                  <w:r>
                    <w:rPr>
                      <w:rFonts w:hint="eastAsia"/>
                      <w:b/>
                      <w:bCs/>
                      <w:color w:val="auto"/>
                      <w:highlight w:val="none"/>
                      <w:vertAlign w:val="subscript"/>
                    </w:rPr>
                    <w:t>5</w:t>
                  </w:r>
                </w:p>
              </w:tc>
              <w:tc>
                <w:tcPr>
                  <w:tcW w:w="384" w:type="pct"/>
                  <w:vAlign w:val="center"/>
                </w:tcPr>
                <w:p w14:paraId="224DCD84">
                  <w:pPr>
                    <w:pStyle w:val="13"/>
                    <w:rPr>
                      <w:b/>
                      <w:bCs/>
                      <w:color w:val="auto"/>
                      <w:highlight w:val="none"/>
                    </w:rPr>
                  </w:pPr>
                  <w:r>
                    <w:rPr>
                      <w:b/>
                      <w:bCs/>
                      <w:color w:val="auto"/>
                      <w:highlight w:val="none"/>
                    </w:rPr>
                    <w:t>COD</w:t>
                  </w:r>
                </w:p>
              </w:tc>
              <w:tc>
                <w:tcPr>
                  <w:tcW w:w="453" w:type="pct"/>
                  <w:vAlign w:val="center"/>
                </w:tcPr>
                <w:p w14:paraId="1DD215B3">
                  <w:pPr>
                    <w:pStyle w:val="13"/>
                    <w:rPr>
                      <w:b/>
                      <w:bCs/>
                      <w:color w:val="auto"/>
                      <w:highlight w:val="none"/>
                    </w:rPr>
                  </w:pPr>
                  <w:r>
                    <w:rPr>
                      <w:b/>
                      <w:bCs/>
                      <w:color w:val="auto"/>
                      <w:highlight w:val="none"/>
                    </w:rPr>
                    <w:t>NH</w:t>
                  </w:r>
                  <w:r>
                    <w:rPr>
                      <w:rFonts w:hint="eastAsia"/>
                      <w:b/>
                      <w:bCs/>
                      <w:color w:val="auto"/>
                      <w:highlight w:val="none"/>
                      <w:vertAlign w:val="subscript"/>
                    </w:rPr>
                    <w:t>3</w:t>
                  </w:r>
                  <w:r>
                    <w:rPr>
                      <w:b/>
                      <w:bCs/>
                      <w:color w:val="auto"/>
                      <w:highlight w:val="none"/>
                    </w:rPr>
                    <w:t>-N</w:t>
                  </w:r>
                </w:p>
              </w:tc>
              <w:tc>
                <w:tcPr>
                  <w:tcW w:w="280" w:type="pct"/>
                  <w:vAlign w:val="center"/>
                </w:tcPr>
                <w:p w14:paraId="1F973837">
                  <w:pPr>
                    <w:pStyle w:val="13"/>
                    <w:rPr>
                      <w:rFonts w:hint="default" w:eastAsia="宋体"/>
                      <w:b/>
                      <w:bCs/>
                      <w:color w:val="auto"/>
                      <w:highlight w:val="none"/>
                      <w:lang w:val="en-US" w:eastAsia="zh-CN"/>
                    </w:rPr>
                  </w:pPr>
                  <w:r>
                    <w:rPr>
                      <w:rFonts w:hint="eastAsia"/>
                      <w:b/>
                      <w:bCs/>
                      <w:color w:val="auto"/>
                      <w:highlight w:val="none"/>
                      <w:lang w:val="en-US" w:eastAsia="zh-CN"/>
                    </w:rPr>
                    <w:t>TN</w:t>
                  </w:r>
                </w:p>
              </w:tc>
              <w:tc>
                <w:tcPr>
                  <w:tcW w:w="289" w:type="pct"/>
                  <w:vAlign w:val="center"/>
                </w:tcPr>
                <w:p w14:paraId="2AFF7D0B">
                  <w:pPr>
                    <w:pStyle w:val="13"/>
                    <w:rPr>
                      <w:rFonts w:hint="default"/>
                      <w:b/>
                      <w:bCs/>
                      <w:color w:val="auto"/>
                      <w:highlight w:val="none"/>
                      <w:lang w:val="en-US" w:eastAsia="zh-CN"/>
                    </w:rPr>
                  </w:pPr>
                  <w:r>
                    <w:rPr>
                      <w:rFonts w:hint="eastAsia"/>
                      <w:b/>
                      <w:bCs/>
                      <w:color w:val="auto"/>
                      <w:highlight w:val="none"/>
                      <w:lang w:val="en-US" w:eastAsia="zh-CN"/>
                    </w:rPr>
                    <w:t>TP</w:t>
                  </w:r>
                </w:p>
              </w:tc>
              <w:tc>
                <w:tcPr>
                  <w:tcW w:w="644" w:type="pct"/>
                  <w:vAlign w:val="center"/>
                </w:tcPr>
                <w:p w14:paraId="075454B3">
                  <w:pPr>
                    <w:pStyle w:val="13"/>
                    <w:rPr>
                      <w:b/>
                      <w:bCs/>
                      <w:color w:val="auto"/>
                      <w:highlight w:val="none"/>
                    </w:rPr>
                  </w:pPr>
                  <w:r>
                    <w:rPr>
                      <w:rFonts w:hint="eastAsia"/>
                      <w:b/>
                      <w:bCs/>
                      <w:color w:val="auto"/>
                      <w:highlight w:val="none"/>
                    </w:rPr>
                    <w:t>动植物油</w:t>
                  </w:r>
                </w:p>
              </w:tc>
            </w:tr>
            <w:tr w14:paraId="1D747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23" w:type="pct"/>
                  <w:vAlign w:val="center"/>
                </w:tcPr>
                <w:p w14:paraId="05CAA657">
                  <w:pPr>
                    <w:pStyle w:val="13"/>
                    <w:rPr>
                      <w:color w:val="auto"/>
                      <w:highlight w:val="none"/>
                    </w:rPr>
                  </w:pPr>
                  <w:r>
                    <w:rPr>
                      <w:rFonts w:hint="eastAsia"/>
                      <w:color w:val="auto"/>
                      <w:highlight w:val="none"/>
                    </w:rPr>
                    <w:t>酉华镇污水处理站</w:t>
                  </w:r>
                  <w:r>
                    <w:rPr>
                      <w:color w:val="auto"/>
                      <w:highlight w:val="none"/>
                    </w:rPr>
                    <w:t>接管标准</w:t>
                  </w:r>
                </w:p>
              </w:tc>
              <w:tc>
                <w:tcPr>
                  <w:tcW w:w="298" w:type="pct"/>
                  <w:vAlign w:val="center"/>
                </w:tcPr>
                <w:p w14:paraId="4A5C114D">
                  <w:pPr>
                    <w:pStyle w:val="13"/>
                    <w:rPr>
                      <w:color w:val="auto"/>
                      <w:highlight w:val="none"/>
                    </w:rPr>
                  </w:pPr>
                  <w:r>
                    <w:rPr>
                      <w:rFonts w:hint="eastAsia"/>
                      <w:color w:val="auto"/>
                      <w:highlight w:val="none"/>
                    </w:rPr>
                    <w:t>6-9</w:t>
                  </w:r>
                </w:p>
              </w:tc>
              <w:tc>
                <w:tcPr>
                  <w:tcW w:w="381" w:type="pct"/>
                  <w:vAlign w:val="center"/>
                </w:tcPr>
                <w:p w14:paraId="7C56A608">
                  <w:pPr>
                    <w:pStyle w:val="13"/>
                    <w:rPr>
                      <w:rFonts w:hint="eastAsia" w:eastAsia="宋体"/>
                      <w:color w:val="auto"/>
                      <w:highlight w:val="none"/>
                      <w:lang w:val="en-US" w:eastAsia="zh-CN"/>
                    </w:rPr>
                  </w:pPr>
                  <w:r>
                    <w:rPr>
                      <w:rFonts w:hint="eastAsia"/>
                      <w:color w:val="auto"/>
                      <w:highlight w:val="none"/>
                      <w:lang w:val="en-US" w:eastAsia="zh-CN"/>
                    </w:rPr>
                    <w:t>-</w:t>
                  </w:r>
                </w:p>
              </w:tc>
              <w:tc>
                <w:tcPr>
                  <w:tcW w:w="298" w:type="pct"/>
                  <w:vAlign w:val="center"/>
                </w:tcPr>
                <w:p w14:paraId="03B86B67">
                  <w:pPr>
                    <w:pStyle w:val="13"/>
                    <w:rPr>
                      <w:rFonts w:hint="default" w:eastAsia="宋体"/>
                      <w:color w:val="auto"/>
                      <w:highlight w:val="none"/>
                      <w:lang w:val="en-US" w:eastAsia="zh-CN"/>
                    </w:rPr>
                  </w:pPr>
                  <w:r>
                    <w:rPr>
                      <w:rFonts w:hint="eastAsia"/>
                      <w:color w:val="auto"/>
                      <w:highlight w:val="none"/>
                      <w:lang w:val="en-US" w:eastAsia="zh-CN"/>
                    </w:rPr>
                    <w:t>400</w:t>
                  </w:r>
                </w:p>
              </w:tc>
              <w:tc>
                <w:tcPr>
                  <w:tcW w:w="447" w:type="pct"/>
                  <w:vAlign w:val="center"/>
                </w:tcPr>
                <w:p w14:paraId="49108B91">
                  <w:pPr>
                    <w:pStyle w:val="13"/>
                    <w:rPr>
                      <w:color w:val="auto"/>
                      <w:highlight w:val="none"/>
                    </w:rPr>
                  </w:pPr>
                  <w:r>
                    <w:rPr>
                      <w:rFonts w:hint="eastAsia"/>
                      <w:color w:val="auto"/>
                      <w:highlight w:val="none"/>
                      <w:lang w:val="en-US" w:eastAsia="zh-CN"/>
                    </w:rPr>
                    <w:t>3</w:t>
                  </w:r>
                  <w:r>
                    <w:rPr>
                      <w:color w:val="auto"/>
                      <w:highlight w:val="none"/>
                    </w:rPr>
                    <w:t>00</w:t>
                  </w:r>
                </w:p>
              </w:tc>
              <w:tc>
                <w:tcPr>
                  <w:tcW w:w="384" w:type="pct"/>
                  <w:vAlign w:val="center"/>
                </w:tcPr>
                <w:p w14:paraId="1AC7164A">
                  <w:pPr>
                    <w:pStyle w:val="13"/>
                    <w:rPr>
                      <w:color w:val="auto"/>
                      <w:highlight w:val="none"/>
                    </w:rPr>
                  </w:pPr>
                  <w:r>
                    <w:rPr>
                      <w:rFonts w:hint="eastAsia"/>
                      <w:color w:val="auto"/>
                      <w:highlight w:val="none"/>
                      <w:lang w:val="en-US" w:eastAsia="zh-CN"/>
                    </w:rPr>
                    <w:t>5</w:t>
                  </w:r>
                  <w:r>
                    <w:rPr>
                      <w:rFonts w:hint="eastAsia"/>
                      <w:color w:val="auto"/>
                      <w:highlight w:val="none"/>
                    </w:rPr>
                    <w:t>0</w:t>
                  </w:r>
                  <w:r>
                    <w:rPr>
                      <w:color w:val="auto"/>
                      <w:highlight w:val="none"/>
                    </w:rPr>
                    <w:t>0</w:t>
                  </w:r>
                </w:p>
              </w:tc>
              <w:tc>
                <w:tcPr>
                  <w:tcW w:w="453" w:type="pct"/>
                  <w:vAlign w:val="center"/>
                </w:tcPr>
                <w:p w14:paraId="62AEDBD7">
                  <w:pPr>
                    <w:pStyle w:val="13"/>
                    <w:rPr>
                      <w:rFonts w:hint="eastAsia" w:eastAsia="宋体"/>
                      <w:color w:val="auto"/>
                      <w:highlight w:val="none"/>
                      <w:lang w:eastAsia="zh-CN"/>
                    </w:rPr>
                  </w:pPr>
                  <w:r>
                    <w:rPr>
                      <w:rFonts w:hint="eastAsia"/>
                      <w:color w:val="auto"/>
                      <w:highlight w:val="none"/>
                      <w:lang w:val="en-US" w:eastAsia="zh-CN"/>
                    </w:rPr>
                    <w:t>-</w:t>
                  </w:r>
                </w:p>
              </w:tc>
              <w:tc>
                <w:tcPr>
                  <w:tcW w:w="280" w:type="pct"/>
                  <w:vAlign w:val="center"/>
                </w:tcPr>
                <w:p w14:paraId="6934A178">
                  <w:pPr>
                    <w:pStyle w:val="13"/>
                    <w:rPr>
                      <w:rFonts w:hint="eastAsia" w:eastAsia="宋体"/>
                      <w:color w:val="auto"/>
                      <w:highlight w:val="none"/>
                      <w:lang w:eastAsia="zh-CN"/>
                    </w:rPr>
                  </w:pPr>
                  <w:r>
                    <w:rPr>
                      <w:rFonts w:hint="eastAsia"/>
                      <w:color w:val="auto"/>
                      <w:highlight w:val="none"/>
                      <w:lang w:val="en-US" w:eastAsia="zh-CN"/>
                    </w:rPr>
                    <w:t>-</w:t>
                  </w:r>
                </w:p>
              </w:tc>
              <w:tc>
                <w:tcPr>
                  <w:tcW w:w="289" w:type="pct"/>
                  <w:vAlign w:val="center"/>
                </w:tcPr>
                <w:p w14:paraId="5E691F1A">
                  <w:pPr>
                    <w:pStyle w:val="13"/>
                    <w:rPr>
                      <w:rFonts w:hint="default" w:eastAsia="宋体"/>
                      <w:color w:val="auto"/>
                      <w:highlight w:val="none"/>
                      <w:lang w:val="en-US" w:eastAsia="zh-CN"/>
                    </w:rPr>
                  </w:pPr>
                  <w:r>
                    <w:rPr>
                      <w:rFonts w:hint="eastAsia"/>
                      <w:color w:val="auto"/>
                      <w:highlight w:val="none"/>
                      <w:lang w:val="en-US" w:eastAsia="zh-CN"/>
                    </w:rPr>
                    <w:t>-</w:t>
                  </w:r>
                </w:p>
              </w:tc>
              <w:tc>
                <w:tcPr>
                  <w:tcW w:w="644" w:type="pct"/>
                  <w:vAlign w:val="center"/>
                </w:tcPr>
                <w:p w14:paraId="232354AF">
                  <w:pPr>
                    <w:pStyle w:val="13"/>
                    <w:rPr>
                      <w:color w:val="auto"/>
                      <w:highlight w:val="none"/>
                    </w:rPr>
                  </w:pPr>
                  <w:r>
                    <w:rPr>
                      <w:rFonts w:hint="eastAsia"/>
                      <w:color w:val="auto"/>
                      <w:highlight w:val="none"/>
                    </w:rPr>
                    <w:t>100</w:t>
                  </w:r>
                </w:p>
              </w:tc>
            </w:tr>
            <w:tr w14:paraId="18167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23" w:type="pct"/>
                  <w:vAlign w:val="center"/>
                </w:tcPr>
                <w:p w14:paraId="187DA1C0">
                  <w:pPr>
                    <w:pStyle w:val="13"/>
                    <w:rPr>
                      <w:rFonts w:hint="default" w:eastAsia="宋体"/>
                      <w:color w:val="auto"/>
                      <w:highlight w:val="none"/>
                      <w:lang w:val="en-US" w:eastAsia="zh-CN"/>
                    </w:rPr>
                  </w:pPr>
                  <w:r>
                    <w:rPr>
                      <w:rFonts w:hint="eastAsia"/>
                      <w:color w:val="auto"/>
                      <w:highlight w:val="none"/>
                    </w:rPr>
                    <w:t>《食品加工制造业水污染物排放标准》</w:t>
                  </w:r>
                  <w:r>
                    <w:rPr>
                      <w:rFonts w:hint="eastAsia"/>
                      <w:color w:val="auto"/>
                      <w:highlight w:val="none"/>
                      <w:lang w:val="en-US" w:eastAsia="zh-CN"/>
                    </w:rPr>
                    <w:t>（</w:t>
                  </w:r>
                  <w:r>
                    <w:rPr>
                      <w:rFonts w:hint="eastAsia"/>
                      <w:color w:val="auto"/>
                      <w:highlight w:val="none"/>
                    </w:rPr>
                    <w:t>GB46817-2025</w:t>
                  </w:r>
                  <w:r>
                    <w:rPr>
                      <w:rFonts w:hint="eastAsia"/>
                      <w:color w:val="auto"/>
                      <w:highlight w:val="none"/>
                      <w:lang w:val="en-US" w:eastAsia="zh-CN"/>
                    </w:rPr>
                    <w:t>）</w:t>
                  </w:r>
                  <w:r>
                    <w:rPr>
                      <w:color w:val="auto"/>
                      <w:highlight w:val="none"/>
                    </w:rPr>
                    <w:t>表</w:t>
                  </w:r>
                  <w:r>
                    <w:rPr>
                      <w:rFonts w:hint="eastAsia"/>
                      <w:color w:val="auto"/>
                      <w:highlight w:val="none"/>
                      <w:lang w:val="en-US" w:eastAsia="zh-CN"/>
                    </w:rPr>
                    <w:t>1限值标准</w:t>
                  </w:r>
                </w:p>
              </w:tc>
              <w:tc>
                <w:tcPr>
                  <w:tcW w:w="298" w:type="pct"/>
                  <w:vAlign w:val="center"/>
                </w:tcPr>
                <w:p w14:paraId="26B2F5DA">
                  <w:pPr>
                    <w:pStyle w:val="13"/>
                    <w:rPr>
                      <w:color w:val="auto"/>
                      <w:highlight w:val="none"/>
                    </w:rPr>
                  </w:pPr>
                  <w:r>
                    <w:rPr>
                      <w:rFonts w:hint="eastAsia"/>
                      <w:color w:val="auto"/>
                      <w:highlight w:val="none"/>
                    </w:rPr>
                    <w:t>6-9</w:t>
                  </w:r>
                </w:p>
              </w:tc>
              <w:tc>
                <w:tcPr>
                  <w:tcW w:w="381" w:type="pct"/>
                  <w:vAlign w:val="center"/>
                </w:tcPr>
                <w:p w14:paraId="32E420CB">
                  <w:pPr>
                    <w:pStyle w:val="13"/>
                    <w:rPr>
                      <w:rFonts w:hint="default" w:eastAsia="宋体"/>
                      <w:color w:val="auto"/>
                      <w:highlight w:val="none"/>
                      <w:lang w:val="en-US" w:eastAsia="zh-CN"/>
                    </w:rPr>
                  </w:pPr>
                  <w:r>
                    <w:rPr>
                      <w:rFonts w:hint="eastAsia"/>
                      <w:color w:val="auto"/>
                      <w:highlight w:val="none"/>
                      <w:lang w:val="en-US" w:eastAsia="zh-CN"/>
                    </w:rPr>
                    <w:t>100</w:t>
                  </w:r>
                </w:p>
              </w:tc>
              <w:tc>
                <w:tcPr>
                  <w:tcW w:w="298" w:type="pct"/>
                  <w:vAlign w:val="center"/>
                </w:tcPr>
                <w:p w14:paraId="7C65CA59">
                  <w:pPr>
                    <w:pStyle w:val="13"/>
                    <w:rPr>
                      <w:rFonts w:hint="default" w:eastAsia="宋体"/>
                      <w:color w:val="auto"/>
                      <w:highlight w:val="none"/>
                      <w:lang w:val="en-US" w:eastAsia="zh-CN"/>
                    </w:rPr>
                  </w:pPr>
                  <w:r>
                    <w:rPr>
                      <w:rFonts w:hint="eastAsia"/>
                      <w:color w:val="auto"/>
                      <w:highlight w:val="none"/>
                      <w:lang w:val="en-US" w:eastAsia="zh-CN"/>
                    </w:rPr>
                    <w:t>400</w:t>
                  </w:r>
                </w:p>
              </w:tc>
              <w:tc>
                <w:tcPr>
                  <w:tcW w:w="447" w:type="pct"/>
                  <w:vAlign w:val="center"/>
                </w:tcPr>
                <w:p w14:paraId="3A8E8164">
                  <w:pPr>
                    <w:pStyle w:val="13"/>
                    <w:rPr>
                      <w:color w:val="auto"/>
                      <w:highlight w:val="none"/>
                    </w:rPr>
                  </w:pPr>
                  <w:r>
                    <w:rPr>
                      <w:rFonts w:hint="eastAsia"/>
                      <w:color w:val="auto"/>
                      <w:highlight w:val="none"/>
                      <w:lang w:val="en-US" w:eastAsia="zh-CN"/>
                    </w:rPr>
                    <w:t>35</w:t>
                  </w:r>
                  <w:r>
                    <w:rPr>
                      <w:color w:val="auto"/>
                      <w:highlight w:val="none"/>
                    </w:rPr>
                    <w:t>0</w:t>
                  </w:r>
                </w:p>
              </w:tc>
              <w:tc>
                <w:tcPr>
                  <w:tcW w:w="384" w:type="pct"/>
                  <w:vAlign w:val="center"/>
                </w:tcPr>
                <w:p w14:paraId="0806A0F7">
                  <w:pPr>
                    <w:pStyle w:val="13"/>
                    <w:rPr>
                      <w:color w:val="auto"/>
                      <w:highlight w:val="none"/>
                    </w:rPr>
                  </w:pPr>
                  <w:r>
                    <w:rPr>
                      <w:rFonts w:hint="eastAsia"/>
                      <w:color w:val="auto"/>
                      <w:highlight w:val="none"/>
                      <w:lang w:val="en-US" w:eastAsia="zh-CN"/>
                    </w:rPr>
                    <w:t>5</w:t>
                  </w:r>
                  <w:r>
                    <w:rPr>
                      <w:color w:val="auto"/>
                      <w:highlight w:val="none"/>
                    </w:rPr>
                    <w:t>00</w:t>
                  </w:r>
                </w:p>
              </w:tc>
              <w:tc>
                <w:tcPr>
                  <w:tcW w:w="453" w:type="pct"/>
                  <w:vAlign w:val="center"/>
                </w:tcPr>
                <w:p w14:paraId="0159C9B9">
                  <w:pPr>
                    <w:pStyle w:val="13"/>
                    <w:rPr>
                      <w:rFonts w:hint="default" w:eastAsia="宋体"/>
                      <w:color w:val="auto"/>
                      <w:highlight w:val="none"/>
                      <w:lang w:val="en-US" w:eastAsia="zh-CN"/>
                    </w:rPr>
                  </w:pPr>
                  <w:r>
                    <w:rPr>
                      <w:rFonts w:hint="eastAsia"/>
                      <w:color w:val="auto"/>
                      <w:highlight w:val="none"/>
                      <w:lang w:val="en-US" w:eastAsia="zh-CN"/>
                    </w:rPr>
                    <w:t>45</w:t>
                  </w:r>
                </w:p>
              </w:tc>
              <w:tc>
                <w:tcPr>
                  <w:tcW w:w="280" w:type="pct"/>
                  <w:vAlign w:val="center"/>
                </w:tcPr>
                <w:p w14:paraId="6C9C7534">
                  <w:pPr>
                    <w:pStyle w:val="13"/>
                    <w:rPr>
                      <w:rFonts w:hint="default" w:eastAsia="宋体"/>
                      <w:color w:val="auto"/>
                      <w:highlight w:val="none"/>
                      <w:lang w:val="en-US" w:eastAsia="zh-CN"/>
                    </w:rPr>
                  </w:pPr>
                  <w:r>
                    <w:rPr>
                      <w:rFonts w:hint="eastAsia"/>
                      <w:color w:val="auto"/>
                      <w:highlight w:val="none"/>
                      <w:lang w:val="en-US" w:eastAsia="zh-CN"/>
                    </w:rPr>
                    <w:t>70</w:t>
                  </w:r>
                </w:p>
              </w:tc>
              <w:tc>
                <w:tcPr>
                  <w:tcW w:w="289" w:type="pct"/>
                  <w:vAlign w:val="center"/>
                </w:tcPr>
                <w:p w14:paraId="0306EFFD">
                  <w:pPr>
                    <w:pStyle w:val="13"/>
                    <w:rPr>
                      <w:rFonts w:hint="default" w:eastAsia="宋体"/>
                      <w:color w:val="auto"/>
                      <w:highlight w:val="none"/>
                      <w:lang w:val="en-US" w:eastAsia="zh-CN"/>
                    </w:rPr>
                  </w:pPr>
                  <w:r>
                    <w:rPr>
                      <w:rFonts w:hint="eastAsia"/>
                      <w:color w:val="auto"/>
                      <w:highlight w:val="none"/>
                      <w:lang w:val="en-US" w:eastAsia="zh-CN"/>
                    </w:rPr>
                    <w:t>8.0</w:t>
                  </w:r>
                </w:p>
              </w:tc>
              <w:tc>
                <w:tcPr>
                  <w:tcW w:w="644" w:type="pct"/>
                  <w:vAlign w:val="center"/>
                </w:tcPr>
                <w:p w14:paraId="4949322B">
                  <w:pPr>
                    <w:pStyle w:val="13"/>
                    <w:rPr>
                      <w:color w:val="auto"/>
                      <w:highlight w:val="none"/>
                    </w:rPr>
                  </w:pPr>
                  <w:r>
                    <w:rPr>
                      <w:rFonts w:hint="eastAsia"/>
                      <w:color w:val="auto"/>
                      <w:highlight w:val="none"/>
                    </w:rPr>
                    <w:t>100</w:t>
                  </w:r>
                </w:p>
              </w:tc>
            </w:tr>
            <w:tr w14:paraId="744B8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23" w:type="pct"/>
                  <w:vAlign w:val="center"/>
                </w:tcPr>
                <w:p w14:paraId="32097181">
                  <w:pPr>
                    <w:pStyle w:val="13"/>
                    <w:rPr>
                      <w:color w:val="auto"/>
                      <w:highlight w:val="none"/>
                    </w:rPr>
                  </w:pPr>
                  <w:r>
                    <w:rPr>
                      <w:rFonts w:hint="eastAsia"/>
                      <w:color w:val="auto"/>
                      <w:highlight w:val="none"/>
                    </w:rPr>
                    <w:t>《城镇污水处理站污染物排放标准</w:t>
                  </w:r>
                  <w:r>
                    <w:rPr>
                      <w:color w:val="auto"/>
                      <w:highlight w:val="none"/>
                    </w:rPr>
                    <w:t>》</w:t>
                  </w:r>
                  <w:r>
                    <w:rPr>
                      <w:rFonts w:hint="eastAsia"/>
                      <w:color w:val="auto"/>
                      <w:highlight w:val="none"/>
                    </w:rPr>
                    <w:t>（</w:t>
                  </w:r>
                  <w:r>
                    <w:rPr>
                      <w:color w:val="auto"/>
                      <w:highlight w:val="none"/>
                    </w:rPr>
                    <w:t>GB</w:t>
                  </w:r>
                  <w:r>
                    <w:rPr>
                      <w:rFonts w:hint="eastAsia"/>
                      <w:color w:val="auto"/>
                      <w:highlight w:val="none"/>
                    </w:rPr>
                    <w:t xml:space="preserve"> </w:t>
                  </w:r>
                  <w:r>
                    <w:rPr>
                      <w:color w:val="auto"/>
                      <w:highlight w:val="none"/>
                    </w:rPr>
                    <w:t>18918-2002</w:t>
                  </w:r>
                  <w:r>
                    <w:rPr>
                      <w:rFonts w:hint="eastAsia"/>
                      <w:color w:val="auto"/>
                      <w:highlight w:val="none"/>
                    </w:rPr>
                    <w:t>）</w:t>
                  </w:r>
                  <w:r>
                    <w:rPr>
                      <w:color w:val="auto"/>
                      <w:highlight w:val="none"/>
                    </w:rPr>
                    <w:t>一级A标准</w:t>
                  </w:r>
                </w:p>
              </w:tc>
              <w:tc>
                <w:tcPr>
                  <w:tcW w:w="298" w:type="pct"/>
                  <w:vAlign w:val="center"/>
                </w:tcPr>
                <w:p w14:paraId="2F542EF7">
                  <w:pPr>
                    <w:pStyle w:val="13"/>
                    <w:rPr>
                      <w:color w:val="auto"/>
                      <w:highlight w:val="none"/>
                    </w:rPr>
                  </w:pPr>
                  <w:r>
                    <w:rPr>
                      <w:rFonts w:hint="eastAsia"/>
                      <w:color w:val="auto"/>
                      <w:highlight w:val="none"/>
                    </w:rPr>
                    <w:t>6-9</w:t>
                  </w:r>
                </w:p>
              </w:tc>
              <w:tc>
                <w:tcPr>
                  <w:tcW w:w="381" w:type="pct"/>
                  <w:vAlign w:val="center"/>
                </w:tcPr>
                <w:p w14:paraId="5BDDD43B">
                  <w:pPr>
                    <w:pStyle w:val="13"/>
                    <w:rPr>
                      <w:rFonts w:hint="default" w:eastAsia="宋体"/>
                      <w:color w:val="auto"/>
                      <w:highlight w:val="none"/>
                      <w:lang w:val="en-US" w:eastAsia="zh-CN"/>
                    </w:rPr>
                  </w:pPr>
                  <w:r>
                    <w:rPr>
                      <w:rFonts w:hint="eastAsia"/>
                      <w:color w:val="auto"/>
                      <w:highlight w:val="none"/>
                      <w:lang w:val="en-US" w:eastAsia="zh-CN"/>
                    </w:rPr>
                    <w:t>30</w:t>
                  </w:r>
                </w:p>
              </w:tc>
              <w:tc>
                <w:tcPr>
                  <w:tcW w:w="298" w:type="pct"/>
                  <w:vAlign w:val="center"/>
                </w:tcPr>
                <w:p w14:paraId="71F7C4B3">
                  <w:pPr>
                    <w:pStyle w:val="13"/>
                    <w:rPr>
                      <w:rFonts w:hint="default" w:eastAsia="宋体"/>
                      <w:color w:val="auto"/>
                      <w:highlight w:val="none"/>
                      <w:lang w:val="en-US" w:eastAsia="zh-CN"/>
                    </w:rPr>
                  </w:pPr>
                  <w:r>
                    <w:rPr>
                      <w:rFonts w:hint="eastAsia"/>
                      <w:color w:val="auto"/>
                      <w:highlight w:val="none"/>
                      <w:lang w:val="en-US" w:eastAsia="zh-CN"/>
                    </w:rPr>
                    <w:t>10</w:t>
                  </w:r>
                </w:p>
              </w:tc>
              <w:tc>
                <w:tcPr>
                  <w:tcW w:w="447" w:type="pct"/>
                  <w:vAlign w:val="center"/>
                </w:tcPr>
                <w:p w14:paraId="4B9A900C">
                  <w:pPr>
                    <w:pStyle w:val="13"/>
                    <w:rPr>
                      <w:rFonts w:hint="default" w:eastAsia="宋体"/>
                      <w:color w:val="auto"/>
                      <w:highlight w:val="none"/>
                      <w:lang w:val="en-US" w:eastAsia="zh-CN"/>
                    </w:rPr>
                  </w:pPr>
                  <w:r>
                    <w:rPr>
                      <w:rFonts w:hint="eastAsia"/>
                      <w:color w:val="auto"/>
                      <w:highlight w:val="none"/>
                      <w:lang w:val="en-US" w:eastAsia="zh-CN"/>
                    </w:rPr>
                    <w:t>10</w:t>
                  </w:r>
                </w:p>
              </w:tc>
              <w:tc>
                <w:tcPr>
                  <w:tcW w:w="384" w:type="pct"/>
                  <w:vAlign w:val="center"/>
                </w:tcPr>
                <w:p w14:paraId="0394FFCB">
                  <w:pPr>
                    <w:pStyle w:val="13"/>
                    <w:rPr>
                      <w:color w:val="auto"/>
                      <w:highlight w:val="none"/>
                    </w:rPr>
                  </w:pPr>
                  <w:r>
                    <w:rPr>
                      <w:rFonts w:hint="eastAsia"/>
                      <w:color w:val="auto"/>
                      <w:highlight w:val="none"/>
                      <w:lang w:val="en-US" w:eastAsia="zh-CN"/>
                    </w:rPr>
                    <w:t>5</w:t>
                  </w:r>
                  <w:r>
                    <w:rPr>
                      <w:color w:val="auto"/>
                      <w:highlight w:val="none"/>
                    </w:rPr>
                    <w:t>0</w:t>
                  </w:r>
                </w:p>
              </w:tc>
              <w:tc>
                <w:tcPr>
                  <w:tcW w:w="453" w:type="pct"/>
                  <w:vAlign w:val="center"/>
                </w:tcPr>
                <w:p w14:paraId="0625C3A6">
                  <w:pPr>
                    <w:pStyle w:val="13"/>
                    <w:rPr>
                      <w:rFonts w:hint="eastAsia" w:eastAsia="宋体"/>
                      <w:color w:val="auto"/>
                      <w:highlight w:val="none"/>
                      <w:lang w:eastAsia="zh-CN"/>
                    </w:rPr>
                  </w:pPr>
                  <w:r>
                    <w:rPr>
                      <w:rFonts w:hint="eastAsia"/>
                      <w:color w:val="auto"/>
                      <w:highlight w:val="none"/>
                      <w:lang w:val="en-US" w:eastAsia="zh-CN"/>
                    </w:rPr>
                    <w:t>5</w:t>
                  </w:r>
                </w:p>
              </w:tc>
              <w:tc>
                <w:tcPr>
                  <w:tcW w:w="280" w:type="pct"/>
                  <w:vAlign w:val="center"/>
                </w:tcPr>
                <w:p w14:paraId="71CF73EB">
                  <w:pPr>
                    <w:pStyle w:val="13"/>
                    <w:rPr>
                      <w:color w:val="auto"/>
                      <w:highlight w:val="none"/>
                    </w:rPr>
                  </w:pPr>
                  <w:r>
                    <w:rPr>
                      <w:rFonts w:hint="eastAsia"/>
                      <w:color w:val="auto"/>
                      <w:highlight w:val="none"/>
                      <w:lang w:val="en-US" w:eastAsia="zh-CN"/>
                    </w:rPr>
                    <w:t>1</w:t>
                  </w:r>
                  <w:r>
                    <w:rPr>
                      <w:rFonts w:hint="eastAsia"/>
                      <w:color w:val="auto"/>
                      <w:highlight w:val="none"/>
                    </w:rPr>
                    <w:t>5</w:t>
                  </w:r>
                </w:p>
              </w:tc>
              <w:tc>
                <w:tcPr>
                  <w:tcW w:w="289" w:type="pct"/>
                  <w:vAlign w:val="center"/>
                </w:tcPr>
                <w:p w14:paraId="33D61D1A">
                  <w:pPr>
                    <w:pStyle w:val="13"/>
                    <w:rPr>
                      <w:rFonts w:hint="default" w:eastAsia="宋体"/>
                      <w:color w:val="auto"/>
                      <w:highlight w:val="none"/>
                      <w:lang w:val="en-US" w:eastAsia="zh-CN"/>
                    </w:rPr>
                  </w:pPr>
                  <w:r>
                    <w:rPr>
                      <w:rFonts w:hint="eastAsia"/>
                      <w:color w:val="auto"/>
                      <w:highlight w:val="none"/>
                      <w:lang w:val="en-US" w:eastAsia="zh-CN"/>
                    </w:rPr>
                    <w:t>0.5</w:t>
                  </w:r>
                </w:p>
              </w:tc>
              <w:tc>
                <w:tcPr>
                  <w:tcW w:w="644" w:type="pct"/>
                  <w:vAlign w:val="center"/>
                </w:tcPr>
                <w:p w14:paraId="3E9EFC8D">
                  <w:pPr>
                    <w:pStyle w:val="13"/>
                    <w:rPr>
                      <w:color w:val="auto"/>
                      <w:highlight w:val="none"/>
                    </w:rPr>
                  </w:pPr>
                  <w:r>
                    <w:rPr>
                      <w:rFonts w:hint="eastAsia"/>
                      <w:color w:val="auto"/>
                      <w:highlight w:val="none"/>
                    </w:rPr>
                    <w:t>1</w:t>
                  </w:r>
                </w:p>
              </w:tc>
            </w:tr>
          </w:tbl>
          <w:p w14:paraId="0FDCCA3F">
            <w:pPr>
              <w:pStyle w:val="2"/>
              <w:ind w:firstLine="482"/>
              <w:rPr>
                <w:color w:val="auto"/>
                <w:highlight w:val="none"/>
              </w:rPr>
            </w:pPr>
            <w:r>
              <w:rPr>
                <w:color w:val="auto"/>
                <w:highlight w:val="none"/>
              </w:rPr>
              <w:t>3、噪声排放标准</w:t>
            </w:r>
          </w:p>
          <w:p w14:paraId="24479726">
            <w:pPr>
              <w:ind w:firstLine="480"/>
              <w:rPr>
                <w:color w:val="auto"/>
                <w:highlight w:val="none"/>
              </w:rPr>
            </w:pPr>
            <w:r>
              <w:rPr>
                <w:color w:val="auto"/>
                <w:highlight w:val="none"/>
              </w:rPr>
              <w:t>本项目运营期噪声执行《工业企业厂界环境噪声排放标准》（GB</w:t>
            </w:r>
            <w:r>
              <w:rPr>
                <w:rFonts w:hint="eastAsia"/>
                <w:color w:val="auto"/>
                <w:highlight w:val="none"/>
              </w:rPr>
              <w:t xml:space="preserve"> </w:t>
            </w:r>
            <w:r>
              <w:rPr>
                <w:color w:val="auto"/>
                <w:highlight w:val="none"/>
              </w:rPr>
              <w:t>12348-2008）中</w:t>
            </w:r>
            <w:r>
              <w:rPr>
                <w:rFonts w:hint="eastAsia"/>
                <w:color w:val="auto"/>
                <w:highlight w:val="none"/>
                <w:lang w:eastAsia="zh-CN"/>
              </w:rPr>
              <w:t>2类</w:t>
            </w:r>
            <w:r>
              <w:rPr>
                <w:color w:val="auto"/>
                <w:highlight w:val="none"/>
              </w:rPr>
              <w:t>标准限值，详见</w:t>
            </w:r>
            <w:r>
              <w:rPr>
                <w:rFonts w:hint="eastAsia"/>
                <w:color w:val="auto"/>
                <w:highlight w:val="none"/>
              </w:rPr>
              <w:t>下表</w:t>
            </w:r>
            <w:r>
              <w:rPr>
                <w:color w:val="auto"/>
                <w:highlight w:val="none"/>
              </w:rPr>
              <w:t>。</w:t>
            </w:r>
          </w:p>
          <w:p w14:paraId="697E527C">
            <w:pPr>
              <w:pStyle w:val="14"/>
              <w:spacing w:before="156"/>
              <w:rPr>
                <w:color w:val="auto"/>
                <w:highlight w:val="none"/>
              </w:rPr>
            </w:pPr>
            <w:r>
              <w:rPr>
                <w:color w:val="auto"/>
                <w:highlight w:val="none"/>
              </w:rPr>
              <w:t>表3-</w:t>
            </w:r>
            <w:r>
              <w:rPr>
                <w:rFonts w:hint="eastAsia"/>
                <w:color w:val="auto"/>
                <w:highlight w:val="none"/>
                <w:lang w:val="en-US" w:eastAsia="zh-CN"/>
              </w:rPr>
              <w:t>5</w:t>
            </w:r>
            <w:r>
              <w:rPr>
                <w:color w:val="auto"/>
                <w:highlight w:val="none"/>
              </w:rPr>
              <w:t xml:space="preserve">  </w:t>
            </w:r>
            <w:r>
              <w:rPr>
                <w:rFonts w:hint="eastAsia"/>
                <w:color w:val="auto"/>
                <w:highlight w:val="none"/>
              </w:rPr>
              <w:t>拟建项目</w:t>
            </w:r>
            <w:r>
              <w:rPr>
                <w:color w:val="auto"/>
                <w:highlight w:val="none"/>
              </w:rPr>
              <w:t>噪声排放标准</w:t>
            </w:r>
          </w:p>
          <w:tbl>
            <w:tblPr>
              <w:tblStyle w:val="9"/>
              <w:tblW w:w="4997"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3014"/>
              <w:gridCol w:w="3015"/>
              <w:gridCol w:w="3017"/>
            </w:tblGrid>
            <w:tr w14:paraId="43F030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666" w:type="pct"/>
                  <w:tcBorders>
                    <w:tl2br w:val="nil"/>
                    <w:tr2bl w:val="nil"/>
                  </w:tcBorders>
                  <w:vAlign w:val="center"/>
                </w:tcPr>
                <w:p w14:paraId="2E2F5C67">
                  <w:pPr>
                    <w:pStyle w:val="13"/>
                    <w:rPr>
                      <w:b/>
                      <w:bCs/>
                      <w:color w:val="auto"/>
                      <w:highlight w:val="none"/>
                    </w:rPr>
                  </w:pPr>
                  <w:r>
                    <w:rPr>
                      <w:rFonts w:hint="eastAsia"/>
                      <w:b/>
                      <w:bCs/>
                      <w:color w:val="auto"/>
                      <w:highlight w:val="none"/>
                    </w:rPr>
                    <w:t>类别</w:t>
                  </w:r>
                </w:p>
              </w:tc>
              <w:tc>
                <w:tcPr>
                  <w:tcW w:w="1666" w:type="pct"/>
                  <w:tcBorders>
                    <w:tl2br w:val="nil"/>
                    <w:tr2bl w:val="nil"/>
                  </w:tcBorders>
                  <w:vAlign w:val="center"/>
                </w:tcPr>
                <w:p w14:paraId="69F8B0D6">
                  <w:pPr>
                    <w:pStyle w:val="13"/>
                    <w:rPr>
                      <w:b/>
                      <w:bCs/>
                      <w:color w:val="auto"/>
                      <w:highlight w:val="none"/>
                    </w:rPr>
                  </w:pPr>
                  <w:r>
                    <w:rPr>
                      <w:b/>
                      <w:bCs/>
                      <w:color w:val="auto"/>
                      <w:highlight w:val="none"/>
                    </w:rPr>
                    <w:t>昼间</w:t>
                  </w:r>
                </w:p>
              </w:tc>
              <w:tc>
                <w:tcPr>
                  <w:tcW w:w="1667" w:type="pct"/>
                  <w:tcBorders>
                    <w:tl2br w:val="nil"/>
                    <w:tr2bl w:val="nil"/>
                  </w:tcBorders>
                  <w:vAlign w:val="center"/>
                </w:tcPr>
                <w:p w14:paraId="04A4DE48">
                  <w:pPr>
                    <w:pStyle w:val="13"/>
                    <w:rPr>
                      <w:b/>
                      <w:bCs/>
                      <w:color w:val="auto"/>
                      <w:highlight w:val="none"/>
                    </w:rPr>
                  </w:pPr>
                  <w:r>
                    <w:rPr>
                      <w:rFonts w:hint="eastAsia"/>
                      <w:b/>
                      <w:bCs/>
                      <w:color w:val="auto"/>
                      <w:highlight w:val="none"/>
                    </w:rPr>
                    <w:t>夜间</w:t>
                  </w:r>
                </w:p>
              </w:tc>
            </w:tr>
            <w:tr w14:paraId="7DE412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666" w:type="pct"/>
                  <w:tcBorders>
                    <w:tl2br w:val="nil"/>
                    <w:tr2bl w:val="nil"/>
                  </w:tcBorders>
                  <w:vAlign w:val="center"/>
                </w:tcPr>
                <w:p w14:paraId="7073D9EC">
                  <w:pPr>
                    <w:pStyle w:val="13"/>
                    <w:rPr>
                      <w:rFonts w:hint="eastAsia" w:eastAsia="宋体"/>
                      <w:color w:val="auto"/>
                      <w:highlight w:val="none"/>
                      <w:lang w:eastAsia="zh-CN"/>
                    </w:rPr>
                  </w:pPr>
                  <w:r>
                    <w:rPr>
                      <w:rFonts w:hint="eastAsia"/>
                      <w:color w:val="auto"/>
                      <w:highlight w:val="none"/>
                      <w:lang w:eastAsia="zh-CN"/>
                    </w:rPr>
                    <w:t>2类</w:t>
                  </w:r>
                </w:p>
              </w:tc>
              <w:tc>
                <w:tcPr>
                  <w:tcW w:w="1666" w:type="pct"/>
                  <w:tcBorders>
                    <w:tl2br w:val="nil"/>
                    <w:tr2bl w:val="nil"/>
                  </w:tcBorders>
                  <w:vAlign w:val="center"/>
                </w:tcPr>
                <w:p w14:paraId="277C34D0">
                  <w:pPr>
                    <w:pStyle w:val="13"/>
                    <w:rPr>
                      <w:rFonts w:hint="default" w:eastAsia="宋体"/>
                      <w:color w:val="auto"/>
                      <w:highlight w:val="none"/>
                      <w:lang w:val="en-US" w:eastAsia="zh-CN"/>
                    </w:rPr>
                  </w:pPr>
                  <w:r>
                    <w:rPr>
                      <w:rFonts w:hint="eastAsia"/>
                      <w:color w:val="auto"/>
                      <w:highlight w:val="none"/>
                      <w:lang w:val="en-US" w:eastAsia="zh-CN"/>
                    </w:rPr>
                    <w:t>60</w:t>
                  </w:r>
                </w:p>
              </w:tc>
              <w:tc>
                <w:tcPr>
                  <w:tcW w:w="1667" w:type="pct"/>
                  <w:tcBorders>
                    <w:tl2br w:val="nil"/>
                    <w:tr2bl w:val="nil"/>
                  </w:tcBorders>
                  <w:vAlign w:val="center"/>
                </w:tcPr>
                <w:p w14:paraId="6302CFA0">
                  <w:pPr>
                    <w:pStyle w:val="13"/>
                    <w:rPr>
                      <w:rFonts w:hint="default" w:eastAsia="宋体"/>
                      <w:color w:val="auto"/>
                      <w:highlight w:val="none"/>
                      <w:lang w:val="en-US" w:eastAsia="zh-CN"/>
                    </w:rPr>
                  </w:pPr>
                  <w:r>
                    <w:rPr>
                      <w:rFonts w:hint="eastAsia"/>
                      <w:color w:val="auto"/>
                      <w:highlight w:val="none"/>
                      <w:lang w:val="en-US" w:eastAsia="zh-CN"/>
                    </w:rPr>
                    <w:t>50</w:t>
                  </w:r>
                </w:p>
              </w:tc>
            </w:tr>
          </w:tbl>
          <w:p w14:paraId="31A98F5C">
            <w:pPr>
              <w:pStyle w:val="2"/>
              <w:ind w:firstLine="482"/>
              <w:rPr>
                <w:color w:val="auto"/>
                <w:highlight w:val="none"/>
              </w:rPr>
            </w:pPr>
            <w:r>
              <w:rPr>
                <w:color w:val="auto"/>
                <w:highlight w:val="none"/>
              </w:rPr>
              <w:t>4、固废排放标准</w:t>
            </w:r>
          </w:p>
          <w:p w14:paraId="50ED7CEF">
            <w:pPr>
              <w:ind w:firstLine="480"/>
              <w:rPr>
                <w:color w:val="auto"/>
                <w:highlight w:val="none"/>
              </w:rPr>
            </w:pPr>
            <w:r>
              <w:rPr>
                <w:color w:val="auto"/>
                <w:highlight w:val="none"/>
              </w:rPr>
              <w:t>一般工业固体废物执行《中华人民共和国固体废物污染环境防治法》（2020年）等相关标准及规范要求，参考执行《一般工业固体废物贮存和填埋污染控制标准》（GB</w:t>
            </w:r>
            <w:r>
              <w:rPr>
                <w:rFonts w:hint="eastAsia"/>
                <w:color w:val="auto"/>
                <w:highlight w:val="none"/>
              </w:rPr>
              <w:t xml:space="preserve"> </w:t>
            </w:r>
            <w:r>
              <w:rPr>
                <w:color w:val="auto"/>
                <w:highlight w:val="none"/>
              </w:rPr>
              <w:t>18599-2020）；危险废物的贮存执行《危险废物贮存污染控制标准》（GB</w:t>
            </w:r>
            <w:r>
              <w:rPr>
                <w:rFonts w:hint="eastAsia"/>
                <w:color w:val="auto"/>
                <w:highlight w:val="none"/>
              </w:rPr>
              <w:t xml:space="preserve"> </w:t>
            </w:r>
            <w:r>
              <w:rPr>
                <w:color w:val="auto"/>
                <w:highlight w:val="none"/>
              </w:rPr>
              <w:t>18597-2023）的要求</w:t>
            </w:r>
            <w:r>
              <w:rPr>
                <w:rFonts w:hint="eastAsia"/>
                <w:color w:val="auto"/>
                <w:highlight w:val="none"/>
              </w:rPr>
              <w:t>。</w:t>
            </w:r>
          </w:p>
        </w:tc>
      </w:tr>
      <w:tr w14:paraId="4308A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 w:type="pct"/>
          </w:tcPr>
          <w:p w14:paraId="1A542F70">
            <w:pPr>
              <w:ind w:firstLine="0" w:firstLineChars="0"/>
              <w:rPr>
                <w:color w:val="auto"/>
                <w:highlight w:val="none"/>
              </w:rPr>
            </w:pPr>
            <w:r>
              <w:rPr>
                <w:rFonts w:hint="eastAsia"/>
                <w:b/>
                <w:bCs/>
                <w:color w:val="auto"/>
                <w:highlight w:val="none"/>
              </w:rPr>
              <w:t>总</w:t>
            </w:r>
            <w:r>
              <w:rPr>
                <w:b/>
                <w:bCs/>
                <w:color w:val="auto"/>
                <w:highlight w:val="none"/>
              </w:rPr>
              <w:t>量控制指标</w:t>
            </w:r>
          </w:p>
        </w:tc>
        <w:tc>
          <w:tcPr>
            <w:tcW w:w="4767" w:type="pct"/>
          </w:tcPr>
          <w:p w14:paraId="2AAC9E60">
            <w:pPr>
              <w:ind w:firstLine="480"/>
              <w:rPr>
                <w:rFonts w:cs="Times New Roman"/>
                <w:color w:val="auto"/>
                <w:highlight w:val="none"/>
              </w:rPr>
            </w:pPr>
            <w:r>
              <w:rPr>
                <w:rFonts w:cs="Times New Roman"/>
                <w:color w:val="auto"/>
                <w:highlight w:val="none"/>
              </w:rPr>
              <w:t>根据《建设项目主要污染物排放总量指标审核及管理暂行办法》的通知（环发〔2014〕197号）及安徽省环保厅关于进一步加强建设项目新增大气主要污染物总量指标管理工作的通知（皖环发〔2017〕19号），总量控制指标主要为COD、氨氮、烟（粉）尘和VOCs。</w:t>
            </w:r>
          </w:p>
          <w:p w14:paraId="3B4495AD">
            <w:pPr>
              <w:ind w:firstLine="480"/>
              <w:rPr>
                <w:rFonts w:cs="Times New Roman"/>
                <w:color w:val="auto"/>
                <w:highlight w:val="none"/>
              </w:rPr>
            </w:pPr>
            <w:r>
              <w:rPr>
                <w:rFonts w:cs="Times New Roman"/>
                <w:color w:val="auto"/>
                <w:highlight w:val="none"/>
              </w:rPr>
              <w:t>项目新增大气污染物烟粉尘、VOCs，项目生活污水经隔油池、化粪池处理达酉华镇污水</w:t>
            </w:r>
            <w:r>
              <w:rPr>
                <w:rFonts w:hint="eastAsia" w:cs="Times New Roman"/>
                <w:color w:val="auto"/>
                <w:highlight w:val="none"/>
              </w:rPr>
              <w:t>处理站</w:t>
            </w:r>
            <w:r>
              <w:rPr>
                <w:rFonts w:cs="Times New Roman"/>
                <w:color w:val="auto"/>
                <w:highlight w:val="none"/>
              </w:rPr>
              <w:t>接管标准后，纳管排入酉华镇污水</w:t>
            </w:r>
            <w:r>
              <w:rPr>
                <w:rFonts w:hint="eastAsia" w:cs="Times New Roman"/>
                <w:color w:val="auto"/>
                <w:highlight w:val="none"/>
              </w:rPr>
              <w:t>处理站</w:t>
            </w:r>
            <w:r>
              <w:rPr>
                <w:rFonts w:cs="Times New Roman"/>
                <w:color w:val="auto"/>
                <w:highlight w:val="none"/>
              </w:rPr>
              <w:t>处理。根据《安徽省排污权有偿使用和交易管理办法（试行）》（皖环发[2023]72号）第五条 阶段实施排污权交易的排污单位为全省列入排污许可重点和简化管理范围内有污染物许可排放量要求的排污单位，本项目属于排污许可登记管理。废气、废水排放口均为一般排放口，不载明许可排放量，无需开展排污权交易。</w:t>
            </w:r>
          </w:p>
          <w:p w14:paraId="512EEEA7">
            <w:pPr>
              <w:ind w:firstLine="480"/>
              <w:rPr>
                <w:rFonts w:cs="Times New Roman"/>
                <w:color w:val="auto"/>
                <w:highlight w:val="none"/>
              </w:rPr>
            </w:pPr>
            <w:r>
              <w:rPr>
                <w:rFonts w:cs="Times New Roman"/>
                <w:color w:val="auto"/>
                <w:highlight w:val="none"/>
              </w:rPr>
              <w:t>本项目不产生生产废水，生活污水污染物纳入酉华镇污水</w:t>
            </w:r>
            <w:r>
              <w:rPr>
                <w:rFonts w:hint="eastAsia" w:cs="Times New Roman"/>
                <w:color w:val="auto"/>
                <w:highlight w:val="none"/>
              </w:rPr>
              <w:t>处理站</w:t>
            </w:r>
            <w:r>
              <w:rPr>
                <w:rFonts w:cs="Times New Roman"/>
                <w:color w:val="auto"/>
                <w:highlight w:val="none"/>
              </w:rPr>
              <w:t>总量控制指标管理，因此无需申请总量控制。</w:t>
            </w:r>
          </w:p>
          <w:p w14:paraId="7D4582B3">
            <w:pPr>
              <w:ind w:firstLine="480"/>
              <w:rPr>
                <w:color w:val="auto"/>
                <w:highlight w:val="none"/>
              </w:rPr>
            </w:pPr>
            <w:r>
              <w:rPr>
                <w:rFonts w:cs="Times New Roman"/>
                <w:color w:val="auto"/>
                <w:highlight w:val="none"/>
              </w:rPr>
              <w:t>本次评价建议申请有组织总量为：烟（粉）尘：0.</w:t>
            </w:r>
            <w:r>
              <w:rPr>
                <w:rFonts w:hint="eastAsia" w:cs="Times New Roman"/>
                <w:color w:val="auto"/>
                <w:highlight w:val="none"/>
              </w:rPr>
              <w:t>875</w:t>
            </w:r>
            <w:r>
              <w:rPr>
                <w:rFonts w:cs="Times New Roman"/>
                <w:color w:val="auto"/>
                <w:highlight w:val="none"/>
              </w:rPr>
              <w:t>t/a</w:t>
            </w:r>
            <w:r>
              <w:rPr>
                <w:rFonts w:hint="eastAsia" w:cs="Times New Roman"/>
                <w:color w:val="auto"/>
                <w:highlight w:val="none"/>
                <w:lang w:eastAsia="zh-CN"/>
              </w:rPr>
              <w:t>，</w:t>
            </w:r>
            <w:r>
              <w:rPr>
                <w:rFonts w:hint="eastAsia" w:cs="Times New Roman"/>
                <w:color w:val="auto"/>
                <w:highlight w:val="none"/>
                <w:lang w:val="en-US" w:eastAsia="zh-CN"/>
              </w:rPr>
              <w:t>二氧化硫：0.051，氮氧化物：0.076</w:t>
            </w:r>
            <w:r>
              <w:rPr>
                <w:rFonts w:cs="Times New Roman"/>
                <w:color w:val="auto"/>
                <w:highlight w:val="none"/>
              </w:rPr>
              <w:t>。</w:t>
            </w:r>
          </w:p>
          <w:p w14:paraId="6EB4013D">
            <w:pPr>
              <w:ind w:firstLine="480"/>
              <w:rPr>
                <w:color w:val="auto"/>
                <w:highlight w:val="none"/>
              </w:rPr>
            </w:pPr>
          </w:p>
          <w:p w14:paraId="343FBF12">
            <w:pPr>
              <w:ind w:firstLine="480"/>
              <w:rPr>
                <w:color w:val="auto"/>
                <w:highlight w:val="none"/>
              </w:rPr>
            </w:pPr>
          </w:p>
          <w:p w14:paraId="3E76AA54">
            <w:pPr>
              <w:ind w:firstLine="480"/>
              <w:rPr>
                <w:color w:val="auto"/>
                <w:highlight w:val="none"/>
              </w:rPr>
            </w:pPr>
          </w:p>
          <w:p w14:paraId="641CA3DF">
            <w:pPr>
              <w:ind w:firstLine="480"/>
              <w:rPr>
                <w:color w:val="auto"/>
                <w:highlight w:val="none"/>
              </w:rPr>
            </w:pPr>
          </w:p>
          <w:p w14:paraId="7851FA8A">
            <w:pPr>
              <w:ind w:firstLine="480"/>
              <w:rPr>
                <w:color w:val="auto"/>
                <w:highlight w:val="none"/>
              </w:rPr>
            </w:pPr>
          </w:p>
          <w:p w14:paraId="603FBAEE">
            <w:pPr>
              <w:ind w:firstLine="480"/>
              <w:rPr>
                <w:color w:val="auto"/>
                <w:highlight w:val="none"/>
              </w:rPr>
            </w:pPr>
          </w:p>
          <w:p w14:paraId="62C4039A">
            <w:pPr>
              <w:ind w:firstLine="480"/>
              <w:rPr>
                <w:color w:val="auto"/>
                <w:highlight w:val="none"/>
              </w:rPr>
            </w:pPr>
          </w:p>
          <w:p w14:paraId="72F8850C">
            <w:pPr>
              <w:ind w:firstLine="480"/>
              <w:rPr>
                <w:color w:val="auto"/>
                <w:highlight w:val="none"/>
              </w:rPr>
            </w:pPr>
          </w:p>
          <w:p w14:paraId="6C63F7EF">
            <w:pPr>
              <w:ind w:firstLine="480"/>
              <w:rPr>
                <w:color w:val="auto"/>
                <w:highlight w:val="none"/>
              </w:rPr>
            </w:pPr>
          </w:p>
          <w:p w14:paraId="234AB598">
            <w:pPr>
              <w:ind w:firstLine="480"/>
              <w:rPr>
                <w:color w:val="auto"/>
                <w:highlight w:val="none"/>
              </w:rPr>
            </w:pPr>
          </w:p>
          <w:p w14:paraId="087C1B57">
            <w:pPr>
              <w:ind w:firstLine="480"/>
              <w:rPr>
                <w:color w:val="auto"/>
                <w:highlight w:val="none"/>
              </w:rPr>
            </w:pPr>
          </w:p>
          <w:p w14:paraId="59B08D43">
            <w:pPr>
              <w:ind w:firstLine="480"/>
              <w:rPr>
                <w:color w:val="auto"/>
                <w:highlight w:val="none"/>
              </w:rPr>
            </w:pPr>
          </w:p>
          <w:p w14:paraId="24432745">
            <w:pPr>
              <w:ind w:firstLine="480"/>
              <w:rPr>
                <w:color w:val="auto"/>
                <w:highlight w:val="none"/>
              </w:rPr>
            </w:pPr>
          </w:p>
          <w:p w14:paraId="2ABE2491">
            <w:pPr>
              <w:ind w:firstLine="480"/>
              <w:rPr>
                <w:color w:val="auto"/>
                <w:highlight w:val="none"/>
              </w:rPr>
            </w:pPr>
          </w:p>
          <w:p w14:paraId="202F856B">
            <w:pPr>
              <w:ind w:firstLine="480"/>
              <w:rPr>
                <w:color w:val="auto"/>
                <w:highlight w:val="none"/>
              </w:rPr>
            </w:pPr>
          </w:p>
          <w:p w14:paraId="3AF4C69C">
            <w:pPr>
              <w:ind w:firstLine="480"/>
              <w:rPr>
                <w:color w:val="auto"/>
                <w:highlight w:val="none"/>
              </w:rPr>
            </w:pPr>
          </w:p>
          <w:p w14:paraId="636F6203">
            <w:pPr>
              <w:ind w:firstLine="480"/>
              <w:rPr>
                <w:color w:val="auto"/>
                <w:highlight w:val="none"/>
              </w:rPr>
            </w:pPr>
          </w:p>
          <w:p w14:paraId="56E0DF2A">
            <w:pPr>
              <w:ind w:firstLine="480"/>
              <w:rPr>
                <w:color w:val="auto"/>
                <w:highlight w:val="none"/>
              </w:rPr>
            </w:pPr>
          </w:p>
          <w:p w14:paraId="0BDE4493">
            <w:pPr>
              <w:ind w:firstLine="480"/>
              <w:rPr>
                <w:color w:val="auto"/>
                <w:highlight w:val="none"/>
              </w:rPr>
            </w:pPr>
          </w:p>
          <w:p w14:paraId="68F9679C">
            <w:pPr>
              <w:ind w:firstLine="480"/>
              <w:rPr>
                <w:color w:val="auto"/>
                <w:highlight w:val="none"/>
              </w:rPr>
            </w:pPr>
          </w:p>
        </w:tc>
      </w:tr>
    </w:tbl>
    <w:p w14:paraId="3EB99924">
      <w:pPr>
        <w:ind w:firstLine="480"/>
        <w:rPr>
          <w:color w:val="auto"/>
          <w:highlight w:val="none"/>
        </w:rPr>
        <w:sectPr>
          <w:pgSz w:w="11906" w:h="16838"/>
          <w:pgMar w:top="1134" w:right="1247" w:bottom="1247" w:left="1134" w:header="851" w:footer="850" w:gutter="0"/>
          <w:cols w:space="425" w:num="1"/>
          <w:docGrid w:type="lines" w:linePitch="312" w:charSpace="0"/>
        </w:sectPr>
      </w:pPr>
    </w:p>
    <w:p w14:paraId="7134CA53">
      <w:pPr>
        <w:pStyle w:val="17"/>
        <w:rPr>
          <w:color w:val="auto"/>
          <w:highlight w:val="none"/>
        </w:rPr>
      </w:pPr>
      <w:r>
        <w:rPr>
          <w:rFonts w:hint="default"/>
          <w:color w:val="auto"/>
          <w:highlight w:val="none"/>
        </w:rPr>
        <w:t>四、主要环境影响和保护措施</w:t>
      </w:r>
    </w:p>
    <w:tbl>
      <w:tblPr>
        <w:tblStyle w:val="1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9278"/>
      </w:tblGrid>
      <w:tr w14:paraId="304D3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 w:type="pct"/>
          </w:tcPr>
          <w:p w14:paraId="1142C09A">
            <w:pPr>
              <w:ind w:firstLine="0" w:firstLineChars="0"/>
              <w:rPr>
                <w:color w:val="auto"/>
                <w:highlight w:val="none"/>
              </w:rPr>
            </w:pPr>
            <w:r>
              <w:rPr>
                <w:rFonts w:hint="eastAsia"/>
                <w:b/>
                <w:bCs/>
                <w:color w:val="auto"/>
                <w:highlight w:val="none"/>
              </w:rPr>
              <w:t>施工期环境保护措施</w:t>
            </w:r>
          </w:p>
        </w:tc>
        <w:tc>
          <w:tcPr>
            <w:tcW w:w="4765" w:type="pct"/>
          </w:tcPr>
          <w:p w14:paraId="48E37D88">
            <w:pPr>
              <w:ind w:firstLine="480"/>
              <w:rPr>
                <w:color w:val="auto"/>
                <w:highlight w:val="none"/>
              </w:rPr>
            </w:pPr>
            <w:r>
              <w:rPr>
                <w:rFonts w:hint="eastAsia"/>
                <w:color w:val="auto"/>
                <w:highlight w:val="none"/>
              </w:rPr>
              <w:t>本项目施工期的工程内容主要为：平整土地、建筑施工、铺设管线、安装设备和景观绿化。产生的污染物主要为施工噪声、施工扬尘、施工废水和施工废弃土方及施工人员生活垃圾。</w:t>
            </w:r>
          </w:p>
          <w:p w14:paraId="5A539CFA">
            <w:pPr>
              <w:pStyle w:val="2"/>
              <w:ind w:firstLine="482"/>
              <w:rPr>
                <w:color w:val="auto"/>
                <w:highlight w:val="none"/>
              </w:rPr>
            </w:pPr>
            <w:r>
              <w:rPr>
                <w:rFonts w:hint="eastAsia"/>
                <w:color w:val="auto"/>
                <w:highlight w:val="none"/>
              </w:rPr>
              <w:t>1、大气环境影响分析</w:t>
            </w:r>
          </w:p>
          <w:p w14:paraId="54BA031A">
            <w:pPr>
              <w:ind w:firstLine="480"/>
              <w:rPr>
                <w:rFonts w:cs="Times New Roman"/>
                <w:color w:val="auto"/>
                <w:highlight w:val="none"/>
              </w:rPr>
            </w:pPr>
            <w:r>
              <w:rPr>
                <w:rFonts w:cs="Times New Roman"/>
                <w:color w:val="auto"/>
                <w:highlight w:val="none"/>
              </w:rPr>
              <w:t>建设项目施工期总悬浮颗粒物（TSP）主要污染主要源是基础开挖、土方回填作业、混凝土与建筑材料运输和装卸等环节。</w:t>
            </w:r>
          </w:p>
          <w:p w14:paraId="7F15E5F1">
            <w:pPr>
              <w:ind w:firstLine="480"/>
              <w:rPr>
                <w:rFonts w:cs="Times New Roman"/>
                <w:color w:val="auto"/>
                <w:highlight w:val="none"/>
              </w:rPr>
            </w:pPr>
            <w:r>
              <w:rPr>
                <w:rFonts w:cs="Times New Roman"/>
                <w:color w:val="auto"/>
                <w:highlight w:val="none"/>
              </w:rPr>
              <w:t>据相关研究报道，施工过程，可产生地面扬尘的总悬浮颗粒物（TSP）粒径分布中，</w:t>
            </w:r>
            <w:r>
              <w:rPr>
                <w:rFonts w:eastAsia="微软雅黑" w:cs="Times New Roman"/>
                <w:color w:val="auto"/>
                <w:highlight w:val="none"/>
              </w:rPr>
              <w:t>&gt;</w:t>
            </w:r>
            <w:r>
              <w:rPr>
                <w:rFonts w:cs="Times New Roman"/>
                <w:color w:val="auto"/>
                <w:highlight w:val="none"/>
              </w:rPr>
              <w:t>20μm尘粒占TSP总量68%。施工区域、施工便道大量颗粒物粒径在可产生扬尘粒径范围内，在无任何防尘措施的情况下，建设项目施工场地周围大气重污染区域150m范围，TSP最大浓度是对照点6.39倍，200m时TSP浓度可达到《环境空气质量标准》（GB 3095-20</w:t>
            </w:r>
            <w:r>
              <w:rPr>
                <w:rFonts w:hint="eastAsia" w:cs="Times New Roman"/>
                <w:color w:val="auto"/>
                <w:highlight w:val="none"/>
                <w:lang w:val="en-US" w:eastAsia="zh-CN"/>
              </w:rPr>
              <w:t>26</w:t>
            </w:r>
            <w:r>
              <w:rPr>
                <w:rFonts w:cs="Times New Roman"/>
                <w:color w:val="auto"/>
                <w:highlight w:val="none"/>
              </w:rPr>
              <w:t>）二级区24h平均标准；有金属挡板防尘措施情况下，大气重污染区域降至75m范围，TSP最大浓度是对照点4.04倍，TSP最大浓度较无防尘措施降低0.479mg/m</w:t>
            </w:r>
            <w:r>
              <w:rPr>
                <w:rFonts w:eastAsia="微软雅黑" w:cs="Times New Roman"/>
                <w:color w:val="auto"/>
                <w:highlight w:val="none"/>
              </w:rPr>
              <w:t>³</w:t>
            </w:r>
            <w:r>
              <w:rPr>
                <w:rFonts w:cs="Times New Roman"/>
                <w:color w:val="auto"/>
                <w:highlight w:val="none"/>
              </w:rPr>
              <w:t>，100m时TSP浓度可达到GB</w:t>
            </w:r>
            <w:r>
              <w:rPr>
                <w:rFonts w:hint="eastAsia" w:cs="Times New Roman"/>
                <w:color w:val="auto"/>
                <w:highlight w:val="none"/>
              </w:rPr>
              <w:t xml:space="preserve"> </w:t>
            </w:r>
            <w:r>
              <w:rPr>
                <w:rFonts w:cs="Times New Roman"/>
                <w:color w:val="auto"/>
                <w:highlight w:val="none"/>
              </w:rPr>
              <w:t>3095中二级区24h平均标准，施工扬尘大气环境影响距离减少1倍以上。</w:t>
            </w:r>
          </w:p>
          <w:p w14:paraId="0623452B">
            <w:pPr>
              <w:ind w:firstLine="480"/>
              <w:rPr>
                <w:rFonts w:cs="Times New Roman"/>
                <w:color w:val="auto"/>
                <w:highlight w:val="none"/>
              </w:rPr>
            </w:pPr>
            <w:r>
              <w:rPr>
                <w:rFonts w:cs="Times New Roman"/>
                <w:color w:val="auto"/>
                <w:highlight w:val="none"/>
              </w:rPr>
              <w:t>建设项目工程施工过程中，挖方、填方、土方临时堆存、弃土渣运输都易产生扬尘，对施工场地、弃土渣运输道路两侧范围内造成大气环境影响。</w:t>
            </w:r>
          </w:p>
          <w:p w14:paraId="1221246B">
            <w:pPr>
              <w:ind w:firstLine="480"/>
              <w:rPr>
                <w:rFonts w:cs="Times New Roman"/>
                <w:color w:val="auto"/>
                <w:highlight w:val="none"/>
              </w:rPr>
            </w:pPr>
            <w:r>
              <w:rPr>
                <w:rFonts w:cs="Times New Roman"/>
                <w:color w:val="auto"/>
                <w:highlight w:val="none"/>
              </w:rPr>
              <w:t>基础开挖过程中，弃土渣应直接装车外运。然而，实际施工中大都设临时堆存场地，由此不可避免地产生扬尘污染。据调查，堆存含水率20%新挖泥土，一般气象条件下，若干日其堆土表面即被风干，由此产生风蚀扬尘。</w:t>
            </w:r>
          </w:p>
          <w:p w14:paraId="1C7ECD47">
            <w:pPr>
              <w:ind w:firstLine="480"/>
              <w:rPr>
                <w:rFonts w:cs="Times New Roman"/>
                <w:color w:val="auto"/>
                <w:highlight w:val="none"/>
              </w:rPr>
            </w:pPr>
            <w:r>
              <w:rPr>
                <w:rFonts w:cs="Times New Roman"/>
                <w:color w:val="auto"/>
                <w:highlight w:val="none"/>
              </w:rPr>
              <w:t>建设项目施工弃土渣运输车辆装卸、施工场地及其沿线道路行驶过程中，渣土抛洒、车身和车轮夹带尘渣污染施工便道；有风条件下，因施工场地裸露而产生扬尘。根据计算，道路施工区扬尘的TSP污染，一般距施工场地50~150m范围内，环境空气中TSP浓度均超过GB 3095的二级标准；200~300m以外，环境空气中TSP浓度可达到GB 3095的二级标准。</w:t>
            </w:r>
          </w:p>
          <w:p w14:paraId="4795DD4E">
            <w:pPr>
              <w:ind w:firstLine="480"/>
              <w:rPr>
                <w:rFonts w:cs="Times New Roman"/>
                <w:color w:val="auto"/>
                <w:highlight w:val="none"/>
              </w:rPr>
            </w:pPr>
            <w:r>
              <w:rPr>
                <w:rFonts w:cs="Times New Roman"/>
                <w:color w:val="auto"/>
                <w:highlight w:val="none"/>
              </w:rPr>
              <w:t>一般来说，建设项目施工机械设备主要有：载重机、打桩机、柴油动力机械等，排放的主要大气污染物有氮氧化物（NOx）、一氧化碳（CO）、碳氢化合物（THC）。</w:t>
            </w:r>
          </w:p>
          <w:p w14:paraId="5B57E23C">
            <w:pPr>
              <w:ind w:firstLine="480"/>
              <w:rPr>
                <w:rFonts w:cs="Times New Roman"/>
                <w:color w:val="auto"/>
                <w:highlight w:val="none"/>
              </w:rPr>
            </w:pPr>
            <w:r>
              <w:rPr>
                <w:rFonts w:cs="Times New Roman"/>
                <w:color w:val="auto"/>
                <w:highlight w:val="none"/>
              </w:rPr>
              <w:t>建设项目施工机械设备，单台大气污染物排放量大；施工机械设备少且分散，大气环境污染相对较轻。据建设项目施工场地调查，距施工场地50m处NOx、CO小时平均浓度分别为0.06mg/m</w:t>
            </w:r>
            <w:r>
              <w:rPr>
                <w:rFonts w:eastAsia="微软雅黑" w:cs="Times New Roman"/>
                <w:color w:val="auto"/>
                <w:highlight w:val="none"/>
              </w:rPr>
              <w:t>³</w:t>
            </w:r>
            <w:r>
              <w:rPr>
                <w:rFonts w:cs="Times New Roman"/>
                <w:color w:val="auto"/>
                <w:highlight w:val="none"/>
              </w:rPr>
              <w:t>、0.2mg/m</w:t>
            </w:r>
            <w:r>
              <w:rPr>
                <w:rFonts w:eastAsia="微软雅黑" w:cs="Times New Roman"/>
                <w:color w:val="auto"/>
                <w:highlight w:val="none"/>
              </w:rPr>
              <w:t>³</w:t>
            </w:r>
            <w:r>
              <w:rPr>
                <w:rFonts w:cs="Times New Roman"/>
                <w:color w:val="auto"/>
                <w:highlight w:val="none"/>
              </w:rPr>
              <w:t>，均满足GB 3095-20</w:t>
            </w:r>
            <w:r>
              <w:rPr>
                <w:rFonts w:hint="eastAsia" w:cs="Times New Roman"/>
                <w:color w:val="auto"/>
                <w:highlight w:val="none"/>
                <w:lang w:val="en-US" w:eastAsia="zh-CN"/>
              </w:rPr>
              <w:t>26</w:t>
            </w:r>
            <w:r>
              <w:rPr>
                <w:rFonts w:cs="Times New Roman"/>
                <w:color w:val="auto"/>
                <w:highlight w:val="none"/>
              </w:rPr>
              <w:t>中二级标准。</w:t>
            </w:r>
          </w:p>
          <w:p w14:paraId="558EFD06">
            <w:pPr>
              <w:pStyle w:val="2"/>
              <w:ind w:firstLine="482"/>
              <w:rPr>
                <w:rFonts w:cs="Times New Roman"/>
                <w:color w:val="auto"/>
                <w:highlight w:val="none"/>
              </w:rPr>
            </w:pPr>
            <w:r>
              <w:rPr>
                <w:rFonts w:cs="Times New Roman"/>
                <w:color w:val="auto"/>
                <w:highlight w:val="none"/>
              </w:rPr>
              <w:t>2、水环境影响分析</w:t>
            </w:r>
          </w:p>
          <w:p w14:paraId="698DB83A">
            <w:pPr>
              <w:ind w:firstLine="480"/>
              <w:rPr>
                <w:rFonts w:cs="Times New Roman"/>
                <w:color w:val="auto"/>
                <w:highlight w:val="none"/>
              </w:rPr>
            </w:pPr>
            <w:r>
              <w:rPr>
                <w:rFonts w:cs="Times New Roman"/>
                <w:color w:val="auto"/>
                <w:highlight w:val="none"/>
              </w:rPr>
              <w:t>建设项目施工运输车辆和流动机械冲洗主要集中在夜间，1次/d，主要水污染物为悬浮物（SS）、石油类等，SS浓度3000mg/L，石油类20mg/L；汽车和机械设备维护、检修过程中产生零部件清洗废水，主要污染物石油类100mg/L。</w:t>
            </w:r>
          </w:p>
          <w:p w14:paraId="7CE17C3B">
            <w:pPr>
              <w:ind w:firstLine="480"/>
              <w:rPr>
                <w:rFonts w:cs="Times New Roman"/>
                <w:color w:val="auto"/>
                <w:highlight w:val="none"/>
              </w:rPr>
            </w:pPr>
            <w:r>
              <w:rPr>
                <w:rFonts w:cs="Times New Roman"/>
                <w:color w:val="auto"/>
                <w:highlight w:val="none"/>
              </w:rPr>
              <w:t>建设项目施工期间，常住施工人员平均按20人/d计，人均生活污水100L/d计，施工期12个月，施工期生活污水量720m</w:t>
            </w:r>
            <w:r>
              <w:rPr>
                <w:rFonts w:eastAsia="微软雅黑" w:cs="Times New Roman"/>
                <w:color w:val="auto"/>
                <w:highlight w:val="none"/>
              </w:rPr>
              <w:t>³</w:t>
            </w:r>
            <w:r>
              <w:rPr>
                <w:rFonts w:cs="Times New Roman"/>
                <w:color w:val="auto"/>
                <w:highlight w:val="none"/>
              </w:rPr>
              <w:t>；主要污染物为悬浮物（SS）、化学需氧量（CODCr）、氨氮、动植物油。</w:t>
            </w:r>
          </w:p>
          <w:p w14:paraId="7167EA9A">
            <w:pPr>
              <w:pStyle w:val="2"/>
              <w:ind w:firstLine="482"/>
              <w:rPr>
                <w:rFonts w:cs="Times New Roman"/>
                <w:color w:val="auto"/>
                <w:highlight w:val="none"/>
              </w:rPr>
            </w:pPr>
            <w:r>
              <w:rPr>
                <w:rFonts w:cs="Times New Roman"/>
                <w:color w:val="auto"/>
                <w:highlight w:val="none"/>
              </w:rPr>
              <w:t>3、声环境影响分析</w:t>
            </w:r>
          </w:p>
          <w:p w14:paraId="3AA009DC">
            <w:pPr>
              <w:ind w:firstLine="480"/>
              <w:rPr>
                <w:rFonts w:cs="Times New Roman"/>
                <w:color w:val="auto"/>
                <w:highlight w:val="none"/>
              </w:rPr>
            </w:pPr>
            <w:r>
              <w:rPr>
                <w:rFonts w:cs="Times New Roman"/>
                <w:color w:val="auto"/>
                <w:highlight w:val="none"/>
              </w:rPr>
              <w:t>建设项目施工期主要噪声源为高噪声施工机械设备、施工便道交通噪声，对施工场地直接影响区居民生活环境将造成一定影响。</w:t>
            </w:r>
          </w:p>
          <w:p w14:paraId="28A716C3">
            <w:pPr>
              <w:ind w:firstLine="480"/>
              <w:rPr>
                <w:rFonts w:cs="Times New Roman"/>
                <w:color w:val="auto"/>
                <w:highlight w:val="none"/>
              </w:rPr>
            </w:pPr>
            <w:r>
              <w:rPr>
                <w:rFonts w:cs="Times New Roman"/>
                <w:color w:val="auto"/>
                <w:highlight w:val="none"/>
              </w:rPr>
              <w:t>一般来说，建设项目施工机械设备中，轮式装载车、平地机噪声级为最，昼间80m处、夜间200m处辐射声级超过《建筑施工场界环境噪声排放标准》（</w:t>
            </w:r>
            <w:r>
              <w:rPr>
                <w:rFonts w:hint="eastAsia" w:cs="Times New Roman"/>
                <w:color w:val="auto"/>
                <w:highlight w:val="none"/>
                <w:lang w:eastAsia="zh-CN"/>
              </w:rPr>
              <w:t>GB 12523-2025</w:t>
            </w:r>
            <w:r>
              <w:rPr>
                <w:rFonts w:cs="Times New Roman"/>
                <w:color w:val="auto"/>
                <w:highlight w:val="none"/>
              </w:rPr>
              <w:t>）昼间70dB（A）、夜间55dB（A）限值；50m处各类施工机械设备辐射声级55</w:t>
            </w:r>
            <w:r>
              <w:rPr>
                <w:rFonts w:hint="eastAsia" w:cs="Times New Roman"/>
                <w:color w:val="auto"/>
                <w:highlight w:val="none"/>
                <w:lang w:val="en-US" w:eastAsia="zh-CN"/>
              </w:rPr>
              <w:t>-</w:t>
            </w:r>
            <w:r>
              <w:rPr>
                <w:rFonts w:cs="Times New Roman"/>
                <w:color w:val="auto"/>
                <w:highlight w:val="none"/>
              </w:rPr>
              <w:t>70dB（A），项目周边50m内内无居民点，故施工期噪声对周边声环境影响较小。</w:t>
            </w:r>
          </w:p>
          <w:p w14:paraId="2D210883">
            <w:pPr>
              <w:pStyle w:val="2"/>
              <w:ind w:firstLine="482"/>
              <w:rPr>
                <w:rFonts w:cs="Times New Roman"/>
                <w:color w:val="auto"/>
                <w:highlight w:val="none"/>
              </w:rPr>
            </w:pPr>
            <w:r>
              <w:rPr>
                <w:rFonts w:cs="Times New Roman"/>
                <w:color w:val="auto"/>
                <w:highlight w:val="none"/>
              </w:rPr>
              <w:t>4、固体废物环境影响分析</w:t>
            </w:r>
          </w:p>
          <w:p w14:paraId="675062FA">
            <w:pPr>
              <w:ind w:firstLine="480"/>
              <w:rPr>
                <w:rFonts w:cs="Times New Roman"/>
                <w:color w:val="auto"/>
                <w:highlight w:val="none"/>
              </w:rPr>
            </w:pPr>
            <w:r>
              <w:rPr>
                <w:rFonts w:cs="Times New Roman"/>
                <w:color w:val="auto"/>
                <w:highlight w:val="none"/>
              </w:rPr>
              <w:t>建设项目施工期固体废物主要有二，一是基础开挖产生的弃土渣；二是建筑垃圾，包括废弃建筑材料、包装材料、生活垃圾等。</w:t>
            </w:r>
          </w:p>
          <w:p w14:paraId="11F20569">
            <w:pPr>
              <w:ind w:firstLine="480"/>
              <w:rPr>
                <w:rFonts w:cs="Times New Roman"/>
                <w:color w:val="auto"/>
                <w:highlight w:val="none"/>
              </w:rPr>
            </w:pPr>
            <w:r>
              <w:rPr>
                <w:rFonts w:cs="Times New Roman"/>
                <w:color w:val="auto"/>
                <w:highlight w:val="none"/>
              </w:rPr>
              <w:t>根据相关设计参数测算，建设项目挖方量与填方量大体相同，基本不存在弃方量；施工人员20人，生活垃圾产生量按1.0kg/d计，施工期12个月，生活垃圾产生量7.2t。</w:t>
            </w:r>
          </w:p>
          <w:p w14:paraId="0CC658E7">
            <w:pPr>
              <w:ind w:firstLine="480"/>
              <w:rPr>
                <w:rFonts w:cs="Times New Roman"/>
                <w:color w:val="auto"/>
                <w:highlight w:val="none"/>
              </w:rPr>
            </w:pPr>
            <w:r>
              <w:rPr>
                <w:rFonts w:cs="Times New Roman"/>
                <w:color w:val="auto"/>
                <w:highlight w:val="none"/>
              </w:rPr>
              <w:t>固体废物往往在施工营地附近堆存，若建筑垃圾和生活垃圾不能及时处置，将直接破坏厂区周围植被，甚至造成严重的不良后果。</w:t>
            </w:r>
          </w:p>
          <w:p w14:paraId="4260890C">
            <w:pPr>
              <w:pStyle w:val="2"/>
              <w:bidi w:val="0"/>
              <w:rPr>
                <w:rFonts w:hint="default"/>
                <w:color w:val="auto"/>
                <w:highlight w:val="none"/>
                <w:lang w:val="en-US" w:eastAsia="zh-CN"/>
              </w:rPr>
            </w:pPr>
            <w:r>
              <w:rPr>
                <w:rFonts w:hint="eastAsia"/>
                <w:color w:val="auto"/>
                <w:highlight w:val="none"/>
                <w:lang w:val="en-US" w:eastAsia="zh-CN"/>
              </w:rPr>
              <w:t>5、施工期环境保护措施</w:t>
            </w:r>
          </w:p>
          <w:p w14:paraId="4E0FFCEC">
            <w:pPr>
              <w:pStyle w:val="3"/>
              <w:bidi w:val="0"/>
              <w:rPr>
                <w:rFonts w:hint="eastAsia"/>
                <w:color w:val="auto"/>
                <w:highlight w:val="none"/>
              </w:rPr>
            </w:pPr>
            <w:r>
              <w:rPr>
                <w:rFonts w:hint="eastAsia"/>
                <w:color w:val="auto"/>
                <w:highlight w:val="none"/>
                <w:lang w:eastAsia="zh-CN"/>
              </w:rPr>
              <w:t>（</w:t>
            </w:r>
            <w:r>
              <w:rPr>
                <w:rFonts w:hint="eastAsia"/>
                <w:color w:val="auto"/>
                <w:highlight w:val="none"/>
                <w:lang w:val="en-US" w:eastAsia="zh-CN"/>
              </w:rPr>
              <w:t>1</w:t>
            </w:r>
            <w:r>
              <w:rPr>
                <w:rFonts w:hint="eastAsia"/>
                <w:color w:val="auto"/>
                <w:highlight w:val="none"/>
                <w:lang w:eastAsia="zh-CN"/>
              </w:rPr>
              <w:t>）</w:t>
            </w:r>
            <w:r>
              <w:rPr>
                <w:rFonts w:hint="eastAsia"/>
                <w:color w:val="auto"/>
                <w:highlight w:val="none"/>
              </w:rPr>
              <w:t>施工期大气环境保护措施</w:t>
            </w:r>
          </w:p>
          <w:p w14:paraId="550779F8">
            <w:pPr>
              <w:ind w:firstLine="480"/>
              <w:rPr>
                <w:rFonts w:hint="eastAsia" w:cs="Times New Roman"/>
                <w:color w:val="auto"/>
                <w:highlight w:val="none"/>
              </w:rPr>
            </w:pPr>
            <w:r>
              <w:rPr>
                <w:rFonts w:hint="eastAsia" w:cs="Times New Roman"/>
                <w:color w:val="auto"/>
                <w:highlight w:val="none"/>
              </w:rPr>
              <w:t>本项目施工废气主要为施工扬尘和施工机械燃油废气，施工单位应在施工期应严格执行《安徽省大气污染防治行动计划实施方案》等大气污染防治法律、法规、规章及文件精神，严格落实“六个百分百”相关要求，具体的施工期大气环境保护措施主要有以下几点：</w:t>
            </w:r>
          </w:p>
          <w:p w14:paraId="29B4A0A4">
            <w:pPr>
              <w:ind w:firstLine="480"/>
              <w:rPr>
                <w:rFonts w:hint="eastAsia" w:cs="Times New Roman"/>
                <w:color w:val="auto"/>
                <w:highlight w:val="none"/>
              </w:rPr>
            </w:pPr>
            <w:r>
              <w:rPr>
                <w:rFonts w:hint="default" w:ascii="Times New Roman" w:hAnsi="Times New Roman" w:eastAsia="微软雅黑" w:cs="Times New Roman"/>
                <w:color w:val="auto"/>
                <w:highlight w:val="none"/>
              </w:rPr>
              <w:t>①</w:t>
            </w:r>
            <w:r>
              <w:rPr>
                <w:rFonts w:hint="eastAsia" w:cs="Times New Roman"/>
                <w:color w:val="auto"/>
                <w:highlight w:val="none"/>
              </w:rPr>
              <w:t>施工工地周边100%围挡</w:t>
            </w:r>
          </w:p>
          <w:p w14:paraId="7DEB1887">
            <w:pPr>
              <w:ind w:firstLine="480"/>
              <w:rPr>
                <w:rFonts w:hint="eastAsia" w:cs="Times New Roman"/>
                <w:color w:val="auto"/>
                <w:highlight w:val="none"/>
              </w:rPr>
            </w:pPr>
            <w:r>
              <w:rPr>
                <w:rFonts w:hint="eastAsia" w:cs="Times New Roman"/>
                <w:color w:val="auto"/>
                <w:highlight w:val="none"/>
              </w:rPr>
              <w:t>施工现场应设置稳固、整齐、美观并符合安全标准要求的连续封闭式围挡；围挡底部应设置30厘米防溢座，防止泥浆外漏；房屋建筑工程施工期在30天以上的，必须设置不低于2.5米的围墙，工期在30天以内的可设置彩钢围挡。</w:t>
            </w:r>
          </w:p>
          <w:p w14:paraId="6DD307AB">
            <w:pPr>
              <w:ind w:firstLine="480"/>
              <w:rPr>
                <w:rFonts w:hint="eastAsia" w:cs="Times New Roman"/>
                <w:color w:val="auto"/>
                <w:highlight w:val="none"/>
              </w:rPr>
            </w:pPr>
            <w:r>
              <w:rPr>
                <w:rFonts w:hint="default" w:ascii="Times New Roman" w:hAnsi="Times New Roman" w:eastAsia="微软雅黑" w:cs="Times New Roman"/>
                <w:color w:val="auto"/>
                <w:highlight w:val="none"/>
              </w:rPr>
              <w:t>②</w:t>
            </w:r>
            <w:r>
              <w:rPr>
                <w:rFonts w:hint="eastAsia" w:cs="Times New Roman"/>
                <w:color w:val="auto"/>
                <w:highlight w:val="none"/>
              </w:rPr>
              <w:t>物料堆放100%覆盖</w:t>
            </w:r>
          </w:p>
          <w:p w14:paraId="17E10EBE">
            <w:pPr>
              <w:ind w:firstLine="480"/>
              <w:rPr>
                <w:rFonts w:hint="eastAsia" w:cs="Times New Roman"/>
                <w:color w:val="auto"/>
                <w:highlight w:val="none"/>
              </w:rPr>
            </w:pPr>
            <w:r>
              <w:rPr>
                <w:rFonts w:hint="eastAsia" w:cs="Times New Roman"/>
                <w:color w:val="auto"/>
                <w:highlight w:val="none"/>
              </w:rPr>
              <w:t>施工现场建筑材料、构配件、施工设备等应按施工现场平面布置图确定的位置放置，对渣土、水泥等易产生扬尘的建筑材料，应严密遮盖或存放库房内；专门设置集中堆放建筑垃圾、渣土的场地；不能按时完成清运的，应及时覆盖。</w:t>
            </w:r>
          </w:p>
          <w:p w14:paraId="5654232D">
            <w:pPr>
              <w:ind w:firstLine="480"/>
              <w:rPr>
                <w:rFonts w:hint="eastAsia" w:cs="Times New Roman"/>
                <w:color w:val="auto"/>
                <w:highlight w:val="none"/>
              </w:rPr>
            </w:pPr>
            <w:r>
              <w:rPr>
                <w:rFonts w:hint="default" w:ascii="Times New Roman" w:hAnsi="Times New Roman" w:eastAsia="微软雅黑" w:cs="Times New Roman"/>
                <w:color w:val="auto"/>
                <w:highlight w:val="none"/>
              </w:rPr>
              <w:t>③</w:t>
            </w:r>
            <w:r>
              <w:rPr>
                <w:rFonts w:hint="eastAsia" w:cs="Times New Roman"/>
                <w:color w:val="auto"/>
                <w:highlight w:val="none"/>
              </w:rPr>
              <w:t>出入车辆100%冲洗</w:t>
            </w:r>
          </w:p>
          <w:p w14:paraId="5E7D5C0B">
            <w:pPr>
              <w:ind w:firstLine="480"/>
              <w:rPr>
                <w:rFonts w:hint="eastAsia" w:cs="Times New Roman"/>
                <w:color w:val="auto"/>
                <w:highlight w:val="none"/>
              </w:rPr>
            </w:pPr>
            <w:r>
              <w:rPr>
                <w:rFonts w:hint="eastAsia" w:cs="Times New Roman"/>
                <w:color w:val="auto"/>
                <w:highlight w:val="none"/>
              </w:rPr>
              <w:t>施工现场的出入口均应设置车辆冲洗台，四周设置排水沟，上盖钢篦，设置两级沉淀池，排水沟与沉淀池相连，沉淀池大小应满足冲洗要求；配备高压冲洗设备或设置自动冲洗台；应配备保洁员负责车辆、进出道路的冲洗、清扫和保洁工作。</w:t>
            </w:r>
          </w:p>
          <w:p w14:paraId="3740B42D">
            <w:pPr>
              <w:ind w:firstLine="480"/>
              <w:rPr>
                <w:rFonts w:hint="eastAsia" w:cs="Times New Roman"/>
                <w:color w:val="auto"/>
                <w:highlight w:val="none"/>
              </w:rPr>
            </w:pPr>
            <w:r>
              <w:rPr>
                <w:rFonts w:hint="default" w:ascii="Times New Roman" w:hAnsi="Times New Roman" w:eastAsia="微软雅黑" w:cs="Times New Roman"/>
                <w:color w:val="auto"/>
                <w:highlight w:val="none"/>
              </w:rPr>
              <w:t>④</w:t>
            </w:r>
            <w:r>
              <w:rPr>
                <w:rFonts w:hint="eastAsia" w:cs="Times New Roman"/>
                <w:color w:val="auto"/>
                <w:highlight w:val="none"/>
              </w:rPr>
              <w:t>施工现场地面100%硬化</w:t>
            </w:r>
          </w:p>
          <w:p w14:paraId="374BAFC6">
            <w:pPr>
              <w:ind w:firstLine="480"/>
              <w:rPr>
                <w:rFonts w:hint="eastAsia" w:cs="Times New Roman"/>
                <w:color w:val="auto"/>
                <w:highlight w:val="none"/>
              </w:rPr>
            </w:pPr>
            <w:r>
              <w:rPr>
                <w:rFonts w:hint="eastAsia" w:cs="Times New Roman"/>
                <w:color w:val="auto"/>
                <w:highlight w:val="none"/>
              </w:rPr>
              <w:t>施工现场出入口、操作场地、材料堆场、生活区、场内道路等应采取铺设钢板、水泥混凝土、沥青混凝土或焦渣、细石或其它功能相当的材料进行硬化，并辅以洒水、喷洒抑尘剂等其他有效的防尘措施，保证不扬尘、不泥泞；场地硬化的强度、厚度、宽度应满足安全通行卫生保洁的需要。</w:t>
            </w:r>
          </w:p>
          <w:p w14:paraId="4A1E4FC4">
            <w:pPr>
              <w:ind w:firstLine="480"/>
              <w:rPr>
                <w:rFonts w:hint="eastAsia" w:cs="Times New Roman"/>
                <w:color w:val="auto"/>
                <w:highlight w:val="none"/>
              </w:rPr>
            </w:pPr>
            <w:r>
              <w:rPr>
                <w:rFonts w:hint="default" w:ascii="Times New Roman" w:hAnsi="Times New Roman" w:eastAsia="微软雅黑" w:cs="Times New Roman"/>
                <w:color w:val="auto"/>
                <w:highlight w:val="none"/>
              </w:rPr>
              <w:t>⑤</w:t>
            </w:r>
            <w:r>
              <w:rPr>
                <w:rFonts w:hint="eastAsia" w:cs="Times New Roman"/>
                <w:color w:val="auto"/>
                <w:highlight w:val="none"/>
              </w:rPr>
              <w:t>拆迁工地100%湿法作业</w:t>
            </w:r>
          </w:p>
          <w:p w14:paraId="69FEDD58">
            <w:pPr>
              <w:ind w:firstLine="480"/>
              <w:rPr>
                <w:rFonts w:hint="eastAsia" w:cs="Times New Roman"/>
                <w:color w:val="auto"/>
                <w:highlight w:val="none"/>
              </w:rPr>
            </w:pPr>
            <w:r>
              <w:rPr>
                <w:rFonts w:hint="eastAsia" w:cs="Times New Roman"/>
                <w:color w:val="auto"/>
                <w:highlight w:val="none"/>
              </w:rPr>
              <w:t>旧建筑物拆除施工应严格落实文明施工和作业标准，配备洒水、喷雾等防尘设备和设施，施工时要采取湿法作业，进行洒水、喷雾抑尘，拆除的垃圾必须随拆随清运。</w:t>
            </w:r>
          </w:p>
          <w:p w14:paraId="0B7A7BCF">
            <w:pPr>
              <w:ind w:firstLine="480"/>
              <w:rPr>
                <w:rFonts w:hint="eastAsia" w:cs="Times New Roman"/>
                <w:color w:val="auto"/>
                <w:highlight w:val="none"/>
              </w:rPr>
            </w:pPr>
            <w:r>
              <w:rPr>
                <w:rFonts w:hint="default" w:ascii="Times New Roman" w:hAnsi="Times New Roman" w:eastAsia="微软雅黑" w:cs="Times New Roman"/>
                <w:color w:val="auto"/>
                <w:highlight w:val="none"/>
              </w:rPr>
              <w:t>⑥</w:t>
            </w:r>
            <w:r>
              <w:rPr>
                <w:rFonts w:hint="eastAsia" w:cs="Times New Roman"/>
                <w:color w:val="auto"/>
                <w:highlight w:val="none"/>
              </w:rPr>
              <w:t>渣土车辆100%密闭运输</w:t>
            </w:r>
          </w:p>
          <w:p w14:paraId="4E16EF45">
            <w:pPr>
              <w:ind w:firstLine="480"/>
              <w:rPr>
                <w:rFonts w:hint="eastAsia" w:cs="Times New Roman"/>
                <w:color w:val="auto"/>
                <w:highlight w:val="none"/>
              </w:rPr>
            </w:pPr>
            <w:r>
              <w:rPr>
                <w:rFonts w:hint="eastAsia" w:cs="Times New Roman"/>
                <w:color w:val="auto"/>
                <w:highlight w:val="none"/>
              </w:rPr>
              <w:t>进出工地车辆应采取密闭车斗，并保证物料不遗撒外漏。若无密闭车斗，物料、垃圾、渣土的装载与车厢持平，不得超高；车斗应用苫布盖严、捆实，车厢左右侧各三竖道，车后十字交叉并收紧，保证物料、垃圾、渣土等不露出、不遗撒。</w:t>
            </w:r>
          </w:p>
          <w:p w14:paraId="69AC62C7">
            <w:pPr>
              <w:ind w:firstLine="480"/>
              <w:rPr>
                <w:rFonts w:hint="eastAsia" w:cs="Times New Roman"/>
                <w:color w:val="auto"/>
                <w:highlight w:val="none"/>
              </w:rPr>
            </w:pPr>
            <w:r>
              <w:rPr>
                <w:rFonts w:hint="eastAsia" w:cs="Times New Roman"/>
                <w:color w:val="auto"/>
                <w:highlight w:val="none"/>
              </w:rPr>
              <w:t>另外，针对施工机械燃油废气，施工单位应做好机械的维护、保养工作，避免油料在柴油机内不完全燃烧而产生大量的黑烟；对运输车辆禁止超载、不得使用劣质燃料；对车辆的尾气排放进行监督管理，严格执行汽车排污监管办法、汽车排放监测制度。</w:t>
            </w:r>
          </w:p>
          <w:p w14:paraId="4E54EE48">
            <w:pPr>
              <w:ind w:firstLine="480"/>
              <w:rPr>
                <w:rFonts w:hint="eastAsia" w:cs="Times New Roman"/>
                <w:color w:val="auto"/>
                <w:highlight w:val="none"/>
              </w:rPr>
            </w:pPr>
            <w:r>
              <w:rPr>
                <w:rFonts w:hint="eastAsia" w:cs="Times New Roman"/>
                <w:color w:val="auto"/>
                <w:highlight w:val="none"/>
              </w:rPr>
              <w:t>综上，经采用上述施工废气污染防治措施后，项目施工期废气对区域的大气环境影响较小。另外，项目施工期是偶然的、短暂的，其不利影响会随着施工期的结束而消失。</w:t>
            </w:r>
          </w:p>
          <w:p w14:paraId="13C1129D">
            <w:pPr>
              <w:pStyle w:val="3"/>
              <w:bidi w:val="0"/>
              <w:rPr>
                <w:rFonts w:hint="eastAsia"/>
                <w:color w:val="auto"/>
                <w:highlight w:val="none"/>
              </w:rPr>
            </w:pP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color w:val="auto"/>
                <w:highlight w:val="none"/>
              </w:rPr>
              <w:t>施工期水环境保护措施</w:t>
            </w:r>
          </w:p>
          <w:p w14:paraId="3DA9101E">
            <w:pPr>
              <w:ind w:firstLine="480"/>
              <w:rPr>
                <w:rFonts w:hint="eastAsia" w:cs="Times New Roman"/>
                <w:color w:val="auto"/>
                <w:highlight w:val="none"/>
              </w:rPr>
            </w:pPr>
            <w:r>
              <w:rPr>
                <w:rFonts w:hint="eastAsia" w:cs="Times New Roman"/>
                <w:color w:val="auto"/>
                <w:highlight w:val="none"/>
              </w:rPr>
              <w:t>本项目施工废水主要是施工人员的日常生活污水和建筑施工作业废水。</w:t>
            </w:r>
          </w:p>
          <w:p w14:paraId="0F706DB9">
            <w:pPr>
              <w:ind w:firstLine="480"/>
              <w:rPr>
                <w:rFonts w:hint="eastAsia" w:cs="Times New Roman"/>
                <w:color w:val="auto"/>
                <w:highlight w:val="none"/>
              </w:rPr>
            </w:pPr>
            <w:r>
              <w:rPr>
                <w:rFonts w:hint="eastAsia" w:cs="Times New Roman"/>
                <w:color w:val="auto"/>
                <w:highlight w:val="none"/>
              </w:rPr>
              <w:t>本项目施工人员不在施工工地食宿，人员生活污水主要污染因子为COD、BOD</w:t>
            </w:r>
            <w:r>
              <w:rPr>
                <w:rFonts w:hint="eastAsia" w:cs="Times New Roman"/>
                <w:color w:val="auto"/>
                <w:highlight w:val="none"/>
                <w:vertAlign w:val="subscript"/>
              </w:rPr>
              <w:t>5</w:t>
            </w:r>
            <w:r>
              <w:rPr>
                <w:rFonts w:hint="eastAsia" w:cs="Times New Roman"/>
                <w:color w:val="auto"/>
                <w:highlight w:val="none"/>
              </w:rPr>
              <w:t>、NH</w:t>
            </w:r>
            <w:r>
              <w:rPr>
                <w:rFonts w:hint="eastAsia" w:cs="Times New Roman"/>
                <w:color w:val="auto"/>
                <w:highlight w:val="none"/>
                <w:vertAlign w:val="subscript"/>
              </w:rPr>
              <w:t>3</w:t>
            </w:r>
            <w:r>
              <w:rPr>
                <w:rFonts w:hint="eastAsia" w:cs="Times New Roman"/>
                <w:color w:val="auto"/>
                <w:highlight w:val="none"/>
              </w:rPr>
              <w:t>-N和SS等；建筑施工废水主要污染因子为SS。施工人员生活污水量不大，通过设置简易化粪池收集人员生活污水，定期委托环卫部门清掏。施工场地设置施工作业废水收集沉淀池，建筑施工废水经收集沉淀后回用，不外排。</w:t>
            </w:r>
          </w:p>
          <w:p w14:paraId="774815F0">
            <w:pPr>
              <w:ind w:firstLine="480"/>
              <w:rPr>
                <w:rFonts w:hint="eastAsia" w:cs="Times New Roman"/>
                <w:color w:val="auto"/>
                <w:highlight w:val="none"/>
              </w:rPr>
            </w:pPr>
            <w:r>
              <w:rPr>
                <w:rFonts w:hint="eastAsia" w:cs="Times New Roman"/>
                <w:color w:val="auto"/>
                <w:highlight w:val="none"/>
              </w:rPr>
              <w:t>加强现场施工管理，按要求做好施工废水等截流、收集措施，禁止废水外排进入地表水体青通河。</w:t>
            </w:r>
          </w:p>
          <w:p w14:paraId="500C7463">
            <w:pPr>
              <w:ind w:firstLine="480"/>
              <w:rPr>
                <w:rFonts w:hint="eastAsia" w:cs="Times New Roman"/>
                <w:color w:val="auto"/>
                <w:highlight w:val="none"/>
              </w:rPr>
            </w:pPr>
            <w:r>
              <w:rPr>
                <w:rFonts w:hint="eastAsia" w:cs="Times New Roman"/>
                <w:color w:val="auto"/>
                <w:highlight w:val="none"/>
              </w:rPr>
              <w:t>综上，经采用上述施工废水污染防治措施后，项目施工废水对区域的地表水环境无影响。</w:t>
            </w:r>
          </w:p>
          <w:p w14:paraId="054FBE80">
            <w:pPr>
              <w:pStyle w:val="3"/>
              <w:bidi w:val="0"/>
              <w:rPr>
                <w:rFonts w:hint="eastAsia"/>
                <w:color w:val="auto"/>
                <w:highlight w:val="none"/>
              </w:rPr>
            </w:pPr>
            <w:r>
              <w:rPr>
                <w:rFonts w:hint="eastAsia"/>
                <w:color w:val="auto"/>
                <w:highlight w:val="none"/>
                <w:lang w:eastAsia="zh-CN"/>
              </w:rPr>
              <w:t>（</w:t>
            </w:r>
            <w:r>
              <w:rPr>
                <w:rFonts w:hint="eastAsia"/>
                <w:color w:val="auto"/>
                <w:highlight w:val="none"/>
                <w:lang w:val="en-US" w:eastAsia="zh-CN"/>
              </w:rPr>
              <w:t>3</w:t>
            </w:r>
            <w:r>
              <w:rPr>
                <w:rFonts w:hint="eastAsia"/>
                <w:color w:val="auto"/>
                <w:highlight w:val="none"/>
                <w:lang w:eastAsia="zh-CN"/>
              </w:rPr>
              <w:t>）</w:t>
            </w:r>
            <w:r>
              <w:rPr>
                <w:rFonts w:hint="eastAsia"/>
                <w:color w:val="auto"/>
                <w:highlight w:val="none"/>
              </w:rPr>
              <w:t>施工期声环境保护措施</w:t>
            </w:r>
          </w:p>
          <w:p w14:paraId="27F2E17C">
            <w:pPr>
              <w:ind w:firstLine="480"/>
              <w:rPr>
                <w:rFonts w:hint="eastAsia" w:cs="Times New Roman"/>
                <w:color w:val="auto"/>
                <w:highlight w:val="none"/>
              </w:rPr>
            </w:pPr>
            <w:r>
              <w:rPr>
                <w:rFonts w:hint="eastAsia" w:cs="Times New Roman"/>
                <w:color w:val="auto"/>
                <w:highlight w:val="none"/>
              </w:rPr>
              <w:t>施工噪声主要是各类机械设备噪声及物料运输的交通噪声，其主要来源包括施工现场的各类机械设备和物料运输的交通车辆等。</w:t>
            </w:r>
          </w:p>
          <w:p w14:paraId="6F077977">
            <w:pPr>
              <w:ind w:firstLine="480"/>
              <w:rPr>
                <w:rFonts w:hint="eastAsia" w:cs="Times New Roman"/>
                <w:color w:val="auto"/>
                <w:highlight w:val="none"/>
              </w:rPr>
            </w:pPr>
            <w:r>
              <w:rPr>
                <w:rFonts w:hint="eastAsia" w:cs="Times New Roman"/>
                <w:color w:val="auto"/>
                <w:highlight w:val="none"/>
              </w:rPr>
              <w:t>为了防治并减少施工噪声的影响，减少建议采取以下控制措施：</w:t>
            </w:r>
          </w:p>
          <w:p w14:paraId="45AD4E97">
            <w:pPr>
              <w:ind w:firstLine="480"/>
              <w:rPr>
                <w:rFonts w:hint="eastAsia" w:cs="Times New Roman"/>
                <w:color w:val="auto"/>
                <w:highlight w:val="none"/>
              </w:rPr>
            </w:pPr>
            <w:r>
              <w:rPr>
                <w:rFonts w:hint="default" w:ascii="Times New Roman" w:hAnsi="Times New Roman" w:eastAsia="微软雅黑" w:cs="Times New Roman"/>
                <w:color w:val="auto"/>
                <w:highlight w:val="none"/>
              </w:rPr>
              <w:t>①</w:t>
            </w:r>
            <w:r>
              <w:rPr>
                <w:rFonts w:hint="eastAsia" w:cs="Times New Roman"/>
                <w:color w:val="auto"/>
                <w:highlight w:val="none"/>
              </w:rPr>
              <w:t>施工机械选型时尽量选用可替代的低噪声的设备；对动力机械设备进行定期的维修、养护，避免设备因松动部件的振动或消声器的损坏而增加其工作时的声压级；设备用完后或不用时应立即关闭。</w:t>
            </w:r>
          </w:p>
          <w:p w14:paraId="45379A34">
            <w:pPr>
              <w:ind w:firstLine="480"/>
              <w:rPr>
                <w:rFonts w:hint="eastAsia" w:cs="Times New Roman"/>
                <w:color w:val="auto"/>
                <w:highlight w:val="none"/>
              </w:rPr>
            </w:pPr>
            <w:r>
              <w:rPr>
                <w:rFonts w:hint="default" w:ascii="Times New Roman" w:hAnsi="Times New Roman" w:eastAsia="微软雅黑" w:cs="Times New Roman"/>
                <w:color w:val="auto"/>
                <w:highlight w:val="none"/>
              </w:rPr>
              <w:t>②</w:t>
            </w:r>
            <w:r>
              <w:rPr>
                <w:rFonts w:hint="eastAsia" w:cs="Times New Roman"/>
                <w:color w:val="auto"/>
                <w:highlight w:val="none"/>
              </w:rPr>
              <w:t>项目施工过程中应尽可能将产生高噪声的作业点布置于远离周围居民的位置；避免在同一地点安排大量动力机械设备，以避免局部累积声级过高；将高噪声设备置于有隔声效果的工棚、消声屏障中使用。</w:t>
            </w:r>
          </w:p>
          <w:p w14:paraId="5FF507D4">
            <w:pPr>
              <w:ind w:firstLine="480"/>
              <w:rPr>
                <w:rFonts w:hint="eastAsia" w:cs="Times New Roman"/>
                <w:color w:val="auto"/>
                <w:highlight w:val="none"/>
              </w:rPr>
            </w:pPr>
            <w:r>
              <w:rPr>
                <w:rFonts w:hint="default" w:ascii="Times New Roman" w:hAnsi="Times New Roman" w:eastAsia="微软雅黑" w:cs="Times New Roman"/>
                <w:color w:val="auto"/>
                <w:highlight w:val="none"/>
              </w:rPr>
              <w:t>③</w:t>
            </w:r>
            <w:r>
              <w:rPr>
                <w:rFonts w:hint="eastAsia" w:cs="Times New Roman"/>
                <w:color w:val="auto"/>
                <w:highlight w:val="none"/>
              </w:rPr>
              <w:t>合理安排施工工序，尽量缩短施工周期。施工现场合理布局，尽可能将施工机械布置在施工地块的中央，以避免局部声级过高。</w:t>
            </w:r>
          </w:p>
          <w:p w14:paraId="3C655FCF">
            <w:pPr>
              <w:ind w:firstLine="480"/>
              <w:rPr>
                <w:rFonts w:hint="eastAsia" w:cs="Times New Roman"/>
                <w:color w:val="auto"/>
                <w:highlight w:val="none"/>
              </w:rPr>
            </w:pPr>
            <w:r>
              <w:rPr>
                <w:rFonts w:hint="default" w:ascii="Times New Roman" w:hAnsi="Times New Roman" w:eastAsia="微软雅黑" w:cs="Times New Roman"/>
                <w:color w:val="auto"/>
                <w:highlight w:val="none"/>
              </w:rPr>
              <w:t>④</w:t>
            </w:r>
            <w:r>
              <w:rPr>
                <w:rFonts w:hint="eastAsia" w:cs="Times New Roman"/>
                <w:color w:val="auto"/>
                <w:highlight w:val="none"/>
              </w:rPr>
              <w:t>施工中采用低噪声的施工方法，并应尽量使用低噪声新技术，如改变垂直振打为螺旋、静压、喷注式打桩机新技术，如减少同时作业的高噪施工机械数量，从而尽可能减轻声源叠加影响。</w:t>
            </w:r>
          </w:p>
          <w:p w14:paraId="12FB0073">
            <w:pPr>
              <w:ind w:firstLine="480"/>
              <w:rPr>
                <w:rFonts w:hint="eastAsia" w:cs="Times New Roman"/>
                <w:color w:val="auto"/>
                <w:highlight w:val="none"/>
              </w:rPr>
            </w:pPr>
            <w:r>
              <w:rPr>
                <w:rFonts w:hint="default" w:ascii="Times New Roman" w:hAnsi="Times New Roman" w:eastAsia="微软雅黑" w:cs="Times New Roman"/>
                <w:color w:val="auto"/>
                <w:highlight w:val="none"/>
              </w:rPr>
              <w:t>⑤</w:t>
            </w:r>
            <w:r>
              <w:rPr>
                <w:rFonts w:hint="eastAsia" w:cs="Times New Roman"/>
                <w:color w:val="auto"/>
                <w:highlight w:val="none"/>
              </w:rPr>
              <w:t>严格执行《建筑施工场界环境噪声排放标准》（</w:t>
            </w:r>
            <w:r>
              <w:rPr>
                <w:rFonts w:hint="eastAsia" w:cs="Times New Roman"/>
                <w:color w:val="auto"/>
                <w:highlight w:val="none"/>
                <w:lang w:eastAsia="zh-CN"/>
              </w:rPr>
              <w:t>GB 12523-2025</w:t>
            </w:r>
            <w:r>
              <w:rPr>
                <w:rFonts w:hint="eastAsia" w:cs="Times New Roman"/>
                <w:color w:val="auto"/>
                <w:highlight w:val="none"/>
              </w:rPr>
              <w:t>）和有关建筑施工噪声管理的规定，避免施工扰民事件的发生。</w:t>
            </w:r>
          </w:p>
          <w:p w14:paraId="44FFF264">
            <w:pPr>
              <w:ind w:firstLine="480"/>
              <w:rPr>
                <w:rFonts w:hint="eastAsia" w:cs="Times New Roman"/>
                <w:color w:val="auto"/>
                <w:highlight w:val="none"/>
              </w:rPr>
            </w:pPr>
            <w:r>
              <w:rPr>
                <w:rFonts w:hint="eastAsia" w:cs="Times New Roman"/>
                <w:color w:val="auto"/>
                <w:highlight w:val="none"/>
              </w:rPr>
              <w:t>综上，经采用上述施工噪声防治措施后，项目施工期噪声对区域的声环境影响较小。另外，项目施工期是偶然的、短暂的，其不利影响会随着施工期的结束而消失。</w:t>
            </w:r>
          </w:p>
          <w:p w14:paraId="45A2F71C">
            <w:pPr>
              <w:pStyle w:val="3"/>
              <w:bidi w:val="0"/>
              <w:rPr>
                <w:rFonts w:hint="eastAsia"/>
                <w:color w:val="auto"/>
                <w:highlight w:val="none"/>
              </w:rPr>
            </w:pPr>
            <w:r>
              <w:rPr>
                <w:rFonts w:hint="eastAsia"/>
                <w:color w:val="auto"/>
                <w:highlight w:val="none"/>
                <w:lang w:eastAsia="zh-CN"/>
              </w:rPr>
              <w:t>（</w:t>
            </w:r>
            <w:r>
              <w:rPr>
                <w:rFonts w:hint="eastAsia"/>
                <w:color w:val="auto"/>
                <w:highlight w:val="none"/>
                <w:lang w:val="en-US" w:eastAsia="zh-CN"/>
              </w:rPr>
              <w:t>4</w:t>
            </w:r>
            <w:r>
              <w:rPr>
                <w:rFonts w:hint="eastAsia"/>
                <w:color w:val="auto"/>
                <w:highlight w:val="none"/>
                <w:lang w:eastAsia="zh-CN"/>
              </w:rPr>
              <w:t>）</w:t>
            </w:r>
            <w:r>
              <w:rPr>
                <w:rFonts w:hint="eastAsia"/>
                <w:color w:val="auto"/>
                <w:highlight w:val="none"/>
              </w:rPr>
              <w:t>施工期固体废弃物防治措施</w:t>
            </w:r>
          </w:p>
          <w:p w14:paraId="27229180">
            <w:pPr>
              <w:ind w:firstLine="480"/>
              <w:rPr>
                <w:rFonts w:hint="eastAsia" w:cs="Times New Roman"/>
                <w:color w:val="auto"/>
                <w:highlight w:val="none"/>
              </w:rPr>
            </w:pPr>
            <w:r>
              <w:rPr>
                <w:rFonts w:hint="eastAsia" w:cs="Times New Roman"/>
                <w:color w:val="auto"/>
                <w:highlight w:val="none"/>
              </w:rPr>
              <w:t>本项目施工期的固体废物主要为施工过程中产生的施工建筑垃圾和施工人员的生活垃圾等。</w:t>
            </w:r>
          </w:p>
          <w:p w14:paraId="37688264">
            <w:pPr>
              <w:ind w:firstLine="480"/>
              <w:rPr>
                <w:rFonts w:hint="eastAsia" w:cs="Times New Roman"/>
                <w:color w:val="auto"/>
                <w:highlight w:val="none"/>
              </w:rPr>
            </w:pPr>
            <w:r>
              <w:rPr>
                <w:rFonts w:hint="eastAsia" w:cs="Times New Roman"/>
                <w:color w:val="auto"/>
                <w:highlight w:val="none"/>
              </w:rPr>
              <w:t>项目施工过程中，施工建筑垃圾主要是废渣土、废混凝土、废沙石、钢筋头等，其中废钢筋头、废木料等约占20%，全部回收利用，剩余建筑垃圾部分按照有关规定运至市政指定地点堆放，施工挖掘产生的废土方（渣土）由施工单位或承建单位和市容局渣土办联系外运；施工人员生活垃圾经统一收集后，委托当地环卫部门及时清运、集中处置。施工渣土运输过程中严格执行有关条例和规定，渣土运输车辆应在规定的时间和规定的路线进出施工场地，沿途应注意保持道路的清洁，应尽量减少装土过满、车辆颠簸等造成的渣土倾撒。</w:t>
            </w:r>
          </w:p>
          <w:p w14:paraId="65FA8855">
            <w:pPr>
              <w:ind w:firstLine="480"/>
              <w:rPr>
                <w:rFonts w:hint="eastAsia" w:cs="Times New Roman"/>
                <w:color w:val="auto"/>
                <w:highlight w:val="none"/>
              </w:rPr>
            </w:pPr>
            <w:r>
              <w:rPr>
                <w:rFonts w:hint="eastAsia" w:cs="Times New Roman"/>
                <w:color w:val="auto"/>
                <w:highlight w:val="none"/>
              </w:rPr>
              <w:t>综上，施工期的固体废物均得到了有效处理处置，不会对周围环境产生影响。</w:t>
            </w:r>
          </w:p>
          <w:p w14:paraId="4FA90918">
            <w:pPr>
              <w:pStyle w:val="3"/>
              <w:bidi w:val="0"/>
              <w:rPr>
                <w:rFonts w:hint="eastAsia"/>
                <w:color w:val="auto"/>
                <w:highlight w:val="none"/>
              </w:rPr>
            </w:pPr>
            <w:r>
              <w:rPr>
                <w:rFonts w:hint="eastAsia"/>
                <w:color w:val="auto"/>
                <w:highlight w:val="none"/>
                <w:lang w:eastAsia="zh-CN"/>
              </w:rPr>
              <w:t>（</w:t>
            </w:r>
            <w:r>
              <w:rPr>
                <w:rFonts w:hint="eastAsia"/>
                <w:color w:val="auto"/>
                <w:highlight w:val="none"/>
                <w:lang w:val="en-US" w:eastAsia="zh-CN"/>
              </w:rPr>
              <w:t>5</w:t>
            </w:r>
            <w:r>
              <w:rPr>
                <w:rFonts w:hint="eastAsia"/>
                <w:color w:val="auto"/>
                <w:highlight w:val="none"/>
                <w:lang w:eastAsia="zh-CN"/>
              </w:rPr>
              <w:t>）</w:t>
            </w:r>
            <w:r>
              <w:rPr>
                <w:rFonts w:hint="eastAsia"/>
                <w:color w:val="auto"/>
                <w:highlight w:val="none"/>
              </w:rPr>
              <w:t>生态影响分析</w:t>
            </w:r>
          </w:p>
          <w:p w14:paraId="1A046335">
            <w:pPr>
              <w:ind w:firstLine="480"/>
              <w:rPr>
                <w:rFonts w:cs="Times New Roman"/>
                <w:color w:val="auto"/>
                <w:highlight w:val="none"/>
              </w:rPr>
            </w:pPr>
            <w:r>
              <w:rPr>
                <w:rFonts w:hint="eastAsia" w:cs="Times New Roman"/>
                <w:color w:val="auto"/>
                <w:highlight w:val="none"/>
              </w:rPr>
              <w:t>施工期环境影响主要为场地挖填对土地扰动作用，植被破坏，短期内使水土流失加剧，对局部生态环境有不利影响。评价要求合理划定施工范围，严格控制开挖面和开挖量，对施工期土方进行苫盖等，施工期结束后对厂区进行硬化、绿化。施工期对生态的影响较小。</w:t>
            </w:r>
          </w:p>
          <w:p w14:paraId="10EEB9BC">
            <w:pPr>
              <w:ind w:firstLine="480"/>
              <w:rPr>
                <w:rFonts w:cs="Times New Roman"/>
                <w:color w:val="auto"/>
                <w:highlight w:val="none"/>
              </w:rPr>
            </w:pPr>
          </w:p>
          <w:p w14:paraId="1720E98D">
            <w:pPr>
              <w:ind w:firstLine="480"/>
              <w:rPr>
                <w:rFonts w:cs="Times New Roman"/>
                <w:color w:val="auto"/>
                <w:highlight w:val="none"/>
              </w:rPr>
            </w:pPr>
          </w:p>
          <w:p w14:paraId="3E778BF0">
            <w:pPr>
              <w:ind w:firstLine="480"/>
              <w:rPr>
                <w:rFonts w:cs="Times New Roman"/>
                <w:color w:val="auto"/>
                <w:highlight w:val="none"/>
              </w:rPr>
            </w:pPr>
          </w:p>
          <w:p w14:paraId="008D6B7B">
            <w:pPr>
              <w:ind w:firstLine="480"/>
              <w:rPr>
                <w:rFonts w:cs="Times New Roman"/>
                <w:color w:val="auto"/>
                <w:highlight w:val="none"/>
              </w:rPr>
            </w:pPr>
          </w:p>
          <w:p w14:paraId="7517DF07">
            <w:pPr>
              <w:ind w:firstLine="480"/>
              <w:rPr>
                <w:rFonts w:cs="Times New Roman"/>
                <w:color w:val="auto"/>
                <w:highlight w:val="none"/>
              </w:rPr>
            </w:pPr>
          </w:p>
          <w:p w14:paraId="5FADAD53">
            <w:pPr>
              <w:ind w:firstLine="480"/>
              <w:rPr>
                <w:rFonts w:cs="Times New Roman"/>
                <w:color w:val="auto"/>
                <w:highlight w:val="none"/>
              </w:rPr>
            </w:pPr>
          </w:p>
          <w:p w14:paraId="764F7655">
            <w:pPr>
              <w:ind w:firstLine="480"/>
              <w:rPr>
                <w:rFonts w:cs="Times New Roman"/>
                <w:color w:val="auto"/>
                <w:highlight w:val="none"/>
              </w:rPr>
            </w:pPr>
          </w:p>
          <w:p w14:paraId="362340FD">
            <w:pPr>
              <w:ind w:firstLine="480"/>
              <w:rPr>
                <w:rFonts w:cs="Times New Roman"/>
                <w:color w:val="auto"/>
                <w:highlight w:val="none"/>
              </w:rPr>
            </w:pPr>
          </w:p>
          <w:p w14:paraId="0C29D6D9">
            <w:pPr>
              <w:ind w:firstLine="480"/>
              <w:rPr>
                <w:rFonts w:cs="Times New Roman"/>
                <w:color w:val="auto"/>
                <w:highlight w:val="none"/>
              </w:rPr>
            </w:pPr>
          </w:p>
          <w:p w14:paraId="10ABD9B3">
            <w:pPr>
              <w:ind w:firstLine="480"/>
              <w:rPr>
                <w:rFonts w:cs="Times New Roman"/>
                <w:color w:val="auto"/>
                <w:highlight w:val="none"/>
              </w:rPr>
            </w:pPr>
          </w:p>
          <w:p w14:paraId="0CE7E160">
            <w:pPr>
              <w:ind w:firstLine="480"/>
              <w:rPr>
                <w:rFonts w:cs="Times New Roman"/>
                <w:color w:val="auto"/>
                <w:highlight w:val="none"/>
              </w:rPr>
            </w:pPr>
          </w:p>
          <w:p w14:paraId="4084486B">
            <w:pPr>
              <w:ind w:firstLine="480"/>
              <w:rPr>
                <w:rFonts w:cs="Times New Roman"/>
                <w:color w:val="auto"/>
                <w:highlight w:val="none"/>
              </w:rPr>
            </w:pPr>
          </w:p>
          <w:p w14:paraId="238AC736">
            <w:pPr>
              <w:ind w:firstLine="480"/>
              <w:rPr>
                <w:rFonts w:cs="Times New Roman"/>
                <w:color w:val="auto"/>
                <w:highlight w:val="none"/>
              </w:rPr>
            </w:pPr>
          </w:p>
          <w:p w14:paraId="2E5710AD">
            <w:pPr>
              <w:ind w:firstLine="480"/>
              <w:rPr>
                <w:rFonts w:cs="Times New Roman"/>
                <w:color w:val="auto"/>
                <w:highlight w:val="none"/>
              </w:rPr>
            </w:pPr>
          </w:p>
          <w:p w14:paraId="039ACE1B">
            <w:pPr>
              <w:ind w:firstLine="480"/>
              <w:rPr>
                <w:rFonts w:cs="Times New Roman"/>
                <w:color w:val="auto"/>
                <w:highlight w:val="none"/>
              </w:rPr>
            </w:pPr>
          </w:p>
          <w:p w14:paraId="1843A540">
            <w:pPr>
              <w:ind w:firstLine="480"/>
              <w:rPr>
                <w:rFonts w:cs="Times New Roman"/>
                <w:color w:val="auto"/>
                <w:highlight w:val="none"/>
              </w:rPr>
            </w:pPr>
          </w:p>
          <w:p w14:paraId="5D595323">
            <w:pPr>
              <w:ind w:firstLine="480"/>
              <w:rPr>
                <w:rFonts w:cs="Times New Roman"/>
                <w:color w:val="auto"/>
                <w:highlight w:val="none"/>
              </w:rPr>
            </w:pPr>
          </w:p>
          <w:p w14:paraId="6A2F20DE">
            <w:pPr>
              <w:ind w:firstLine="480"/>
              <w:rPr>
                <w:rFonts w:cs="Times New Roman"/>
                <w:color w:val="auto"/>
                <w:highlight w:val="none"/>
              </w:rPr>
            </w:pPr>
          </w:p>
          <w:p w14:paraId="7729F434">
            <w:pPr>
              <w:ind w:firstLine="480"/>
              <w:rPr>
                <w:rFonts w:cs="Times New Roman"/>
                <w:color w:val="auto"/>
                <w:highlight w:val="none"/>
              </w:rPr>
            </w:pPr>
          </w:p>
        </w:tc>
      </w:tr>
    </w:tbl>
    <w:p w14:paraId="1DF1B14A">
      <w:pPr>
        <w:ind w:firstLine="480"/>
        <w:rPr>
          <w:color w:val="auto"/>
          <w:highlight w:val="none"/>
        </w:rPr>
        <w:sectPr>
          <w:pgSz w:w="11906" w:h="16838"/>
          <w:pgMar w:top="1134" w:right="1247" w:bottom="1247" w:left="1134" w:header="851" w:footer="850" w:gutter="0"/>
          <w:cols w:space="425" w:num="1"/>
          <w:docGrid w:type="lines" w:linePitch="312" w:charSpace="0"/>
        </w:sectPr>
      </w:pPr>
    </w:p>
    <w:tbl>
      <w:tblPr>
        <w:tblStyle w:val="1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14213"/>
      </w:tblGrid>
      <w:tr w14:paraId="38434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 w:type="pct"/>
          </w:tcPr>
          <w:p w14:paraId="5C2B3867">
            <w:pPr>
              <w:ind w:firstLine="0" w:firstLineChars="0"/>
              <w:rPr>
                <w:color w:val="auto"/>
                <w:highlight w:val="none"/>
              </w:rPr>
            </w:pPr>
            <w:r>
              <w:rPr>
                <w:rFonts w:hint="eastAsia"/>
                <w:b/>
                <w:bCs/>
                <w:color w:val="auto"/>
                <w:highlight w:val="none"/>
              </w:rPr>
              <w:t>运营期环境保护措施</w:t>
            </w:r>
          </w:p>
        </w:tc>
        <w:tc>
          <w:tcPr>
            <w:tcW w:w="4845" w:type="pct"/>
          </w:tcPr>
          <w:p w14:paraId="011F9D11">
            <w:pPr>
              <w:pStyle w:val="2"/>
              <w:ind w:firstLine="482"/>
              <w:rPr>
                <w:color w:val="auto"/>
                <w:highlight w:val="none"/>
              </w:rPr>
            </w:pPr>
            <w:r>
              <w:rPr>
                <w:rFonts w:hint="eastAsia"/>
                <w:color w:val="auto"/>
                <w:highlight w:val="none"/>
              </w:rPr>
              <w:t>1、大气环境影响及保护措施</w:t>
            </w:r>
          </w:p>
          <w:p w14:paraId="34D939E4">
            <w:pPr>
              <w:ind w:firstLine="480"/>
              <w:rPr>
                <w:color w:val="auto"/>
                <w:highlight w:val="none"/>
              </w:rPr>
            </w:pPr>
            <w:r>
              <w:rPr>
                <w:rFonts w:hint="eastAsia"/>
                <w:color w:val="auto"/>
                <w:highlight w:val="none"/>
              </w:rPr>
              <w:t>本项目废气污染物产生排放情况如下：</w:t>
            </w:r>
          </w:p>
          <w:p w14:paraId="0C8EB9D2">
            <w:pPr>
              <w:pStyle w:val="14"/>
              <w:spacing w:before="156"/>
              <w:rPr>
                <w:color w:val="auto"/>
                <w:highlight w:val="none"/>
              </w:rPr>
            </w:pPr>
            <w:r>
              <w:rPr>
                <w:color w:val="auto"/>
                <w:highlight w:val="none"/>
              </w:rPr>
              <w:t>表4-</w:t>
            </w:r>
            <w:r>
              <w:rPr>
                <w:rFonts w:hint="eastAsia"/>
                <w:color w:val="auto"/>
                <w:highlight w:val="none"/>
              </w:rPr>
              <w:t>1</w:t>
            </w:r>
            <w:r>
              <w:rPr>
                <w:color w:val="auto"/>
                <w:highlight w:val="none"/>
              </w:rPr>
              <w:t xml:space="preserve">  项目</w:t>
            </w:r>
            <w:r>
              <w:rPr>
                <w:rFonts w:hint="eastAsia"/>
                <w:color w:val="auto"/>
                <w:highlight w:val="none"/>
              </w:rPr>
              <w:t>有组织</w:t>
            </w:r>
            <w:r>
              <w:rPr>
                <w:color w:val="auto"/>
                <w:highlight w:val="none"/>
              </w:rPr>
              <w:t>废气污染物产生、排放情况一览表</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1"/>
              <w:gridCol w:w="1154"/>
              <w:gridCol w:w="748"/>
              <w:gridCol w:w="748"/>
              <w:gridCol w:w="689"/>
              <w:gridCol w:w="899"/>
              <w:gridCol w:w="868"/>
              <w:gridCol w:w="1004"/>
              <w:gridCol w:w="1274"/>
              <w:gridCol w:w="779"/>
              <w:gridCol w:w="837"/>
              <w:gridCol w:w="807"/>
              <w:gridCol w:w="1005"/>
              <w:gridCol w:w="866"/>
            </w:tblGrid>
            <w:tr w14:paraId="7E621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8" w:type="pct"/>
                  <w:vMerge w:val="restart"/>
                  <w:tcBorders>
                    <w:tl2br w:val="nil"/>
                    <w:tr2bl w:val="nil"/>
                  </w:tcBorders>
                  <w:vAlign w:val="center"/>
                </w:tcPr>
                <w:p w14:paraId="5A7B7209">
                  <w:pPr>
                    <w:pStyle w:val="13"/>
                    <w:rPr>
                      <w:b/>
                      <w:bCs/>
                      <w:color w:val="auto"/>
                      <w:highlight w:val="none"/>
                    </w:rPr>
                  </w:pPr>
                  <w:r>
                    <w:rPr>
                      <w:b/>
                      <w:bCs/>
                      <w:color w:val="auto"/>
                      <w:highlight w:val="none"/>
                    </w:rPr>
                    <w:t>产污环节</w:t>
                  </w:r>
                </w:p>
              </w:tc>
              <w:tc>
                <w:tcPr>
                  <w:tcW w:w="418" w:type="pct"/>
                  <w:vMerge w:val="restart"/>
                  <w:tcBorders>
                    <w:tl2br w:val="nil"/>
                    <w:tr2bl w:val="nil"/>
                  </w:tcBorders>
                  <w:vAlign w:val="center"/>
                </w:tcPr>
                <w:p w14:paraId="4CD2A311">
                  <w:pPr>
                    <w:pStyle w:val="13"/>
                    <w:rPr>
                      <w:b/>
                      <w:bCs/>
                      <w:color w:val="auto"/>
                      <w:highlight w:val="none"/>
                    </w:rPr>
                  </w:pPr>
                  <w:r>
                    <w:rPr>
                      <w:b/>
                      <w:bCs/>
                      <w:color w:val="auto"/>
                      <w:highlight w:val="none"/>
                    </w:rPr>
                    <w:t>污染物种类</w:t>
                  </w:r>
                </w:p>
              </w:tc>
              <w:tc>
                <w:tcPr>
                  <w:tcW w:w="273" w:type="pct"/>
                  <w:vMerge w:val="restart"/>
                  <w:tcBorders>
                    <w:tl2br w:val="nil"/>
                    <w:tr2bl w:val="nil"/>
                  </w:tcBorders>
                  <w:vAlign w:val="center"/>
                </w:tcPr>
                <w:p w14:paraId="47C6929A">
                  <w:pPr>
                    <w:pStyle w:val="13"/>
                    <w:rPr>
                      <w:b/>
                      <w:bCs/>
                      <w:color w:val="auto"/>
                      <w:highlight w:val="none"/>
                    </w:rPr>
                  </w:pPr>
                  <w:r>
                    <w:rPr>
                      <w:b/>
                      <w:bCs/>
                      <w:color w:val="auto"/>
                      <w:highlight w:val="none"/>
                    </w:rPr>
                    <w:t>时间h/a</w:t>
                  </w:r>
                </w:p>
              </w:tc>
              <w:tc>
                <w:tcPr>
                  <w:tcW w:w="273" w:type="pct"/>
                  <w:vMerge w:val="restart"/>
                  <w:tcBorders>
                    <w:tl2br w:val="nil"/>
                    <w:tr2bl w:val="nil"/>
                  </w:tcBorders>
                  <w:vAlign w:val="center"/>
                </w:tcPr>
                <w:p w14:paraId="27F2E61A">
                  <w:pPr>
                    <w:pStyle w:val="13"/>
                    <w:rPr>
                      <w:b/>
                      <w:bCs/>
                      <w:color w:val="auto"/>
                      <w:highlight w:val="none"/>
                    </w:rPr>
                  </w:pPr>
                  <w:r>
                    <w:rPr>
                      <w:b/>
                      <w:bCs/>
                      <w:color w:val="auto"/>
                      <w:highlight w:val="none"/>
                    </w:rPr>
                    <w:t>风量m³/h</w:t>
                  </w:r>
                </w:p>
              </w:tc>
              <w:tc>
                <w:tcPr>
                  <w:tcW w:w="252" w:type="pct"/>
                  <w:vMerge w:val="restart"/>
                  <w:tcBorders>
                    <w:tl2br w:val="nil"/>
                    <w:tr2bl w:val="nil"/>
                  </w:tcBorders>
                  <w:vAlign w:val="center"/>
                </w:tcPr>
                <w:p w14:paraId="2C724A37">
                  <w:pPr>
                    <w:pStyle w:val="13"/>
                    <w:rPr>
                      <w:b/>
                      <w:bCs/>
                      <w:color w:val="auto"/>
                      <w:highlight w:val="none"/>
                    </w:rPr>
                  </w:pPr>
                  <w:r>
                    <w:rPr>
                      <w:rFonts w:hint="eastAsia"/>
                      <w:b/>
                      <w:bCs/>
                      <w:color w:val="auto"/>
                      <w:highlight w:val="none"/>
                    </w:rPr>
                    <w:t>收集率%</w:t>
                  </w:r>
                </w:p>
              </w:tc>
              <w:tc>
                <w:tcPr>
                  <w:tcW w:w="954" w:type="pct"/>
                  <w:gridSpan w:val="3"/>
                  <w:tcBorders>
                    <w:tl2br w:val="nil"/>
                    <w:tr2bl w:val="nil"/>
                  </w:tcBorders>
                  <w:vAlign w:val="center"/>
                </w:tcPr>
                <w:p w14:paraId="3795E07F">
                  <w:pPr>
                    <w:pStyle w:val="13"/>
                    <w:rPr>
                      <w:b/>
                      <w:bCs/>
                      <w:color w:val="auto"/>
                      <w:highlight w:val="none"/>
                    </w:rPr>
                  </w:pPr>
                  <w:r>
                    <w:rPr>
                      <w:b/>
                      <w:bCs/>
                      <w:color w:val="auto"/>
                      <w:highlight w:val="none"/>
                    </w:rPr>
                    <w:t>污染物产生情况</w:t>
                  </w:r>
                </w:p>
              </w:tc>
              <w:tc>
                <w:tcPr>
                  <w:tcW w:w="461" w:type="pct"/>
                  <w:vMerge w:val="restart"/>
                  <w:tcBorders>
                    <w:tl2br w:val="nil"/>
                    <w:tr2bl w:val="nil"/>
                  </w:tcBorders>
                  <w:vAlign w:val="center"/>
                </w:tcPr>
                <w:p w14:paraId="0BD22AAD">
                  <w:pPr>
                    <w:pStyle w:val="13"/>
                    <w:rPr>
                      <w:b/>
                      <w:bCs/>
                      <w:color w:val="auto"/>
                      <w:highlight w:val="none"/>
                    </w:rPr>
                  </w:pPr>
                  <w:r>
                    <w:rPr>
                      <w:b/>
                      <w:bCs/>
                      <w:color w:val="auto"/>
                      <w:highlight w:val="none"/>
                    </w:rPr>
                    <w:t>治理措施</w:t>
                  </w:r>
                </w:p>
              </w:tc>
              <w:tc>
                <w:tcPr>
                  <w:tcW w:w="284" w:type="pct"/>
                  <w:vMerge w:val="restart"/>
                  <w:tcBorders>
                    <w:tl2br w:val="nil"/>
                    <w:tr2bl w:val="nil"/>
                  </w:tcBorders>
                  <w:vAlign w:val="center"/>
                </w:tcPr>
                <w:p w14:paraId="18BBEDB7">
                  <w:pPr>
                    <w:pStyle w:val="13"/>
                    <w:rPr>
                      <w:b/>
                      <w:bCs/>
                      <w:color w:val="auto"/>
                      <w:highlight w:val="none"/>
                    </w:rPr>
                  </w:pPr>
                  <w:r>
                    <w:rPr>
                      <w:b/>
                      <w:bCs/>
                      <w:color w:val="auto"/>
                      <w:highlight w:val="none"/>
                    </w:rPr>
                    <w:t>处理</w:t>
                  </w:r>
                  <w:r>
                    <w:rPr>
                      <w:rFonts w:hint="eastAsia"/>
                      <w:b/>
                      <w:bCs/>
                      <w:color w:val="auto"/>
                      <w:highlight w:val="none"/>
                    </w:rPr>
                    <w:t>率%</w:t>
                  </w:r>
                </w:p>
              </w:tc>
              <w:tc>
                <w:tcPr>
                  <w:tcW w:w="938" w:type="pct"/>
                  <w:gridSpan w:val="3"/>
                  <w:tcBorders>
                    <w:tl2br w:val="nil"/>
                    <w:tr2bl w:val="nil"/>
                  </w:tcBorders>
                  <w:vAlign w:val="center"/>
                </w:tcPr>
                <w:p w14:paraId="7C9B482A">
                  <w:pPr>
                    <w:pStyle w:val="13"/>
                    <w:rPr>
                      <w:b/>
                      <w:bCs/>
                      <w:color w:val="auto"/>
                      <w:highlight w:val="none"/>
                    </w:rPr>
                  </w:pPr>
                  <w:r>
                    <w:rPr>
                      <w:b/>
                      <w:bCs/>
                      <w:color w:val="auto"/>
                      <w:highlight w:val="none"/>
                    </w:rPr>
                    <w:t>污染物排放情况</w:t>
                  </w:r>
                </w:p>
              </w:tc>
              <w:tc>
                <w:tcPr>
                  <w:tcW w:w="315" w:type="pct"/>
                  <w:vMerge w:val="restart"/>
                  <w:tcBorders>
                    <w:tl2br w:val="nil"/>
                    <w:tr2bl w:val="nil"/>
                  </w:tcBorders>
                  <w:vAlign w:val="center"/>
                </w:tcPr>
                <w:p w14:paraId="6C2C666C">
                  <w:pPr>
                    <w:pStyle w:val="13"/>
                    <w:rPr>
                      <w:b/>
                      <w:bCs/>
                      <w:color w:val="auto"/>
                      <w:highlight w:val="none"/>
                    </w:rPr>
                  </w:pPr>
                  <w:r>
                    <w:rPr>
                      <w:b/>
                      <w:bCs/>
                      <w:color w:val="auto"/>
                      <w:highlight w:val="none"/>
                    </w:rPr>
                    <w:t>排气筒编号</w:t>
                  </w:r>
                </w:p>
              </w:tc>
            </w:tr>
            <w:tr w14:paraId="6DCF9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8" w:type="pct"/>
                  <w:vMerge w:val="continue"/>
                  <w:tcBorders>
                    <w:tl2br w:val="nil"/>
                    <w:tr2bl w:val="nil"/>
                  </w:tcBorders>
                  <w:vAlign w:val="center"/>
                </w:tcPr>
                <w:p w14:paraId="152A397F">
                  <w:pPr>
                    <w:pStyle w:val="13"/>
                    <w:rPr>
                      <w:b/>
                      <w:bCs/>
                      <w:color w:val="auto"/>
                      <w:highlight w:val="none"/>
                    </w:rPr>
                  </w:pPr>
                </w:p>
              </w:tc>
              <w:tc>
                <w:tcPr>
                  <w:tcW w:w="418" w:type="pct"/>
                  <w:vMerge w:val="continue"/>
                  <w:tcBorders>
                    <w:tl2br w:val="nil"/>
                    <w:tr2bl w:val="nil"/>
                  </w:tcBorders>
                  <w:vAlign w:val="center"/>
                </w:tcPr>
                <w:p w14:paraId="0FEC7377">
                  <w:pPr>
                    <w:pStyle w:val="13"/>
                    <w:rPr>
                      <w:b/>
                      <w:bCs/>
                      <w:color w:val="auto"/>
                      <w:highlight w:val="none"/>
                    </w:rPr>
                  </w:pPr>
                </w:p>
              </w:tc>
              <w:tc>
                <w:tcPr>
                  <w:tcW w:w="273" w:type="pct"/>
                  <w:vMerge w:val="continue"/>
                  <w:tcBorders>
                    <w:tl2br w:val="nil"/>
                    <w:tr2bl w:val="nil"/>
                  </w:tcBorders>
                  <w:vAlign w:val="center"/>
                </w:tcPr>
                <w:p w14:paraId="7D1643CA">
                  <w:pPr>
                    <w:pStyle w:val="13"/>
                    <w:rPr>
                      <w:b/>
                      <w:bCs/>
                      <w:color w:val="auto"/>
                      <w:highlight w:val="none"/>
                    </w:rPr>
                  </w:pPr>
                </w:p>
              </w:tc>
              <w:tc>
                <w:tcPr>
                  <w:tcW w:w="273" w:type="pct"/>
                  <w:vMerge w:val="continue"/>
                  <w:tcBorders>
                    <w:tl2br w:val="nil"/>
                    <w:tr2bl w:val="nil"/>
                  </w:tcBorders>
                  <w:vAlign w:val="center"/>
                </w:tcPr>
                <w:p w14:paraId="5A3398FD">
                  <w:pPr>
                    <w:pStyle w:val="13"/>
                    <w:rPr>
                      <w:b/>
                      <w:bCs/>
                      <w:color w:val="auto"/>
                      <w:highlight w:val="none"/>
                    </w:rPr>
                  </w:pPr>
                </w:p>
              </w:tc>
              <w:tc>
                <w:tcPr>
                  <w:tcW w:w="252" w:type="pct"/>
                  <w:vMerge w:val="continue"/>
                  <w:tcBorders>
                    <w:tl2br w:val="nil"/>
                    <w:tr2bl w:val="nil"/>
                  </w:tcBorders>
                  <w:vAlign w:val="center"/>
                </w:tcPr>
                <w:p w14:paraId="0880FE73">
                  <w:pPr>
                    <w:pStyle w:val="13"/>
                    <w:rPr>
                      <w:b/>
                      <w:bCs/>
                      <w:color w:val="auto"/>
                      <w:highlight w:val="none"/>
                    </w:rPr>
                  </w:pPr>
                </w:p>
              </w:tc>
              <w:tc>
                <w:tcPr>
                  <w:tcW w:w="311" w:type="pct"/>
                  <w:tcBorders>
                    <w:tl2br w:val="nil"/>
                    <w:tr2bl w:val="nil"/>
                  </w:tcBorders>
                  <w:vAlign w:val="center"/>
                </w:tcPr>
                <w:p w14:paraId="57AE41C4">
                  <w:pPr>
                    <w:pStyle w:val="13"/>
                    <w:rPr>
                      <w:b/>
                      <w:bCs/>
                      <w:color w:val="auto"/>
                      <w:highlight w:val="none"/>
                    </w:rPr>
                  </w:pPr>
                  <w:r>
                    <w:rPr>
                      <w:b/>
                      <w:bCs/>
                      <w:color w:val="auto"/>
                      <w:highlight w:val="none"/>
                    </w:rPr>
                    <w:t>产生量t/a</w:t>
                  </w:r>
                </w:p>
              </w:tc>
              <w:tc>
                <w:tcPr>
                  <w:tcW w:w="316" w:type="pct"/>
                  <w:tcBorders>
                    <w:tl2br w:val="nil"/>
                    <w:tr2bl w:val="nil"/>
                  </w:tcBorders>
                  <w:vAlign w:val="center"/>
                </w:tcPr>
                <w:p w14:paraId="531DDAB0">
                  <w:pPr>
                    <w:pStyle w:val="13"/>
                    <w:rPr>
                      <w:b/>
                      <w:bCs/>
                      <w:color w:val="auto"/>
                      <w:highlight w:val="none"/>
                    </w:rPr>
                  </w:pPr>
                  <w:r>
                    <w:rPr>
                      <w:b/>
                      <w:bCs/>
                      <w:color w:val="auto"/>
                      <w:highlight w:val="none"/>
                    </w:rPr>
                    <w:t>速率kg/h</w:t>
                  </w:r>
                </w:p>
              </w:tc>
              <w:tc>
                <w:tcPr>
                  <w:tcW w:w="327" w:type="pct"/>
                  <w:tcBorders>
                    <w:tl2br w:val="nil"/>
                    <w:tr2bl w:val="nil"/>
                  </w:tcBorders>
                  <w:vAlign w:val="center"/>
                </w:tcPr>
                <w:p w14:paraId="3B5B6DA6">
                  <w:pPr>
                    <w:pStyle w:val="13"/>
                    <w:rPr>
                      <w:b/>
                      <w:bCs/>
                      <w:color w:val="auto"/>
                      <w:highlight w:val="none"/>
                    </w:rPr>
                  </w:pPr>
                  <w:r>
                    <w:rPr>
                      <w:b/>
                      <w:bCs/>
                      <w:color w:val="auto"/>
                      <w:highlight w:val="none"/>
                    </w:rPr>
                    <w:t>浓度mg/m³</w:t>
                  </w:r>
                </w:p>
              </w:tc>
              <w:tc>
                <w:tcPr>
                  <w:tcW w:w="461" w:type="pct"/>
                  <w:vMerge w:val="continue"/>
                  <w:tcBorders>
                    <w:tl2br w:val="nil"/>
                    <w:tr2bl w:val="nil"/>
                  </w:tcBorders>
                  <w:vAlign w:val="center"/>
                </w:tcPr>
                <w:p w14:paraId="3D8A5FBB">
                  <w:pPr>
                    <w:pStyle w:val="13"/>
                    <w:rPr>
                      <w:b/>
                      <w:bCs/>
                      <w:color w:val="auto"/>
                      <w:highlight w:val="none"/>
                    </w:rPr>
                  </w:pPr>
                </w:p>
              </w:tc>
              <w:tc>
                <w:tcPr>
                  <w:tcW w:w="284" w:type="pct"/>
                  <w:vMerge w:val="continue"/>
                  <w:tcBorders>
                    <w:tl2br w:val="nil"/>
                    <w:tr2bl w:val="nil"/>
                  </w:tcBorders>
                  <w:vAlign w:val="center"/>
                </w:tcPr>
                <w:p w14:paraId="00876E64">
                  <w:pPr>
                    <w:pStyle w:val="13"/>
                    <w:rPr>
                      <w:b/>
                      <w:bCs/>
                      <w:color w:val="auto"/>
                      <w:highlight w:val="none"/>
                    </w:rPr>
                  </w:pPr>
                </w:p>
              </w:tc>
              <w:tc>
                <w:tcPr>
                  <w:tcW w:w="305" w:type="pct"/>
                  <w:tcBorders>
                    <w:tl2br w:val="nil"/>
                    <w:tr2bl w:val="nil"/>
                  </w:tcBorders>
                  <w:vAlign w:val="center"/>
                </w:tcPr>
                <w:p w14:paraId="66A2A38E">
                  <w:pPr>
                    <w:pStyle w:val="13"/>
                    <w:rPr>
                      <w:b/>
                      <w:bCs/>
                      <w:color w:val="auto"/>
                      <w:highlight w:val="none"/>
                    </w:rPr>
                  </w:pPr>
                  <w:r>
                    <w:rPr>
                      <w:b/>
                      <w:bCs/>
                      <w:color w:val="auto"/>
                      <w:highlight w:val="none"/>
                    </w:rPr>
                    <w:t>排放量t/a</w:t>
                  </w:r>
                </w:p>
              </w:tc>
              <w:tc>
                <w:tcPr>
                  <w:tcW w:w="294" w:type="pct"/>
                  <w:tcBorders>
                    <w:tl2br w:val="nil"/>
                    <w:tr2bl w:val="nil"/>
                  </w:tcBorders>
                  <w:vAlign w:val="center"/>
                </w:tcPr>
                <w:p w14:paraId="08696564">
                  <w:pPr>
                    <w:pStyle w:val="13"/>
                    <w:rPr>
                      <w:b/>
                      <w:bCs/>
                      <w:color w:val="auto"/>
                      <w:highlight w:val="none"/>
                    </w:rPr>
                  </w:pPr>
                  <w:r>
                    <w:rPr>
                      <w:b/>
                      <w:bCs/>
                      <w:color w:val="auto"/>
                      <w:highlight w:val="none"/>
                    </w:rPr>
                    <w:t>速率kg/h</w:t>
                  </w:r>
                </w:p>
              </w:tc>
              <w:tc>
                <w:tcPr>
                  <w:tcW w:w="339" w:type="pct"/>
                  <w:tcBorders>
                    <w:tl2br w:val="nil"/>
                    <w:tr2bl w:val="nil"/>
                  </w:tcBorders>
                  <w:vAlign w:val="center"/>
                </w:tcPr>
                <w:p w14:paraId="4E63745C">
                  <w:pPr>
                    <w:pStyle w:val="13"/>
                    <w:rPr>
                      <w:b/>
                      <w:bCs/>
                      <w:color w:val="auto"/>
                      <w:highlight w:val="none"/>
                    </w:rPr>
                  </w:pPr>
                  <w:r>
                    <w:rPr>
                      <w:b/>
                      <w:bCs/>
                      <w:color w:val="auto"/>
                      <w:highlight w:val="none"/>
                    </w:rPr>
                    <w:t>浓度mg/m³</w:t>
                  </w:r>
                </w:p>
              </w:tc>
              <w:tc>
                <w:tcPr>
                  <w:tcW w:w="315" w:type="pct"/>
                  <w:vMerge w:val="continue"/>
                  <w:tcBorders>
                    <w:tl2br w:val="nil"/>
                    <w:tr2bl w:val="nil"/>
                  </w:tcBorders>
                  <w:vAlign w:val="center"/>
                </w:tcPr>
                <w:p w14:paraId="5873CEC1">
                  <w:pPr>
                    <w:pStyle w:val="13"/>
                    <w:rPr>
                      <w:b/>
                      <w:bCs/>
                      <w:color w:val="auto"/>
                      <w:highlight w:val="none"/>
                    </w:rPr>
                  </w:pPr>
                </w:p>
              </w:tc>
            </w:tr>
            <w:tr w14:paraId="1EECE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8" w:type="pct"/>
                  <w:tcBorders>
                    <w:tl2br w:val="nil"/>
                    <w:tr2bl w:val="nil"/>
                  </w:tcBorders>
                  <w:vAlign w:val="center"/>
                </w:tcPr>
                <w:p w14:paraId="5056D48C">
                  <w:pPr>
                    <w:pStyle w:val="13"/>
                    <w:rPr>
                      <w:color w:val="auto"/>
                      <w:highlight w:val="none"/>
                    </w:rPr>
                  </w:pPr>
                  <w:r>
                    <w:rPr>
                      <w:rFonts w:hint="eastAsia"/>
                      <w:color w:val="auto"/>
                      <w:highlight w:val="none"/>
                    </w:rPr>
                    <w:t>G1秸秆饲料生产废气</w:t>
                  </w:r>
                </w:p>
              </w:tc>
              <w:tc>
                <w:tcPr>
                  <w:tcW w:w="418" w:type="pct"/>
                  <w:tcBorders>
                    <w:tl2br w:val="nil"/>
                    <w:tr2bl w:val="nil"/>
                  </w:tcBorders>
                  <w:vAlign w:val="center"/>
                </w:tcPr>
                <w:p w14:paraId="2E24CC43">
                  <w:pPr>
                    <w:pStyle w:val="13"/>
                    <w:rPr>
                      <w:color w:val="auto"/>
                      <w:highlight w:val="none"/>
                    </w:rPr>
                  </w:pPr>
                  <w:r>
                    <w:rPr>
                      <w:rFonts w:hint="eastAsia"/>
                      <w:color w:val="auto"/>
                      <w:highlight w:val="none"/>
                    </w:rPr>
                    <w:t>颗粒物</w:t>
                  </w:r>
                </w:p>
              </w:tc>
              <w:tc>
                <w:tcPr>
                  <w:tcW w:w="273" w:type="pct"/>
                  <w:vMerge w:val="restart"/>
                  <w:tcBorders>
                    <w:tl2br w:val="nil"/>
                    <w:tr2bl w:val="nil"/>
                  </w:tcBorders>
                  <w:vAlign w:val="center"/>
                </w:tcPr>
                <w:p w14:paraId="54BCF22B">
                  <w:pPr>
                    <w:pStyle w:val="13"/>
                    <w:rPr>
                      <w:color w:val="auto"/>
                      <w:highlight w:val="none"/>
                    </w:rPr>
                  </w:pPr>
                  <w:r>
                    <w:rPr>
                      <w:rFonts w:hint="eastAsia"/>
                      <w:color w:val="auto"/>
                      <w:highlight w:val="none"/>
                    </w:rPr>
                    <w:t>2400</w:t>
                  </w:r>
                </w:p>
              </w:tc>
              <w:tc>
                <w:tcPr>
                  <w:tcW w:w="273" w:type="pct"/>
                  <w:tcBorders>
                    <w:tl2br w:val="nil"/>
                    <w:tr2bl w:val="nil"/>
                  </w:tcBorders>
                  <w:vAlign w:val="center"/>
                </w:tcPr>
                <w:p w14:paraId="6FA32E90">
                  <w:pPr>
                    <w:pStyle w:val="13"/>
                    <w:rPr>
                      <w:color w:val="auto"/>
                      <w:highlight w:val="none"/>
                    </w:rPr>
                  </w:pPr>
                  <w:r>
                    <w:rPr>
                      <w:rFonts w:hint="eastAsia"/>
                      <w:color w:val="auto"/>
                      <w:highlight w:val="none"/>
                    </w:rPr>
                    <w:t>25000</w:t>
                  </w:r>
                </w:p>
              </w:tc>
              <w:tc>
                <w:tcPr>
                  <w:tcW w:w="252" w:type="pct"/>
                  <w:tcBorders>
                    <w:tl2br w:val="nil"/>
                    <w:tr2bl w:val="nil"/>
                  </w:tcBorders>
                  <w:vAlign w:val="center"/>
                </w:tcPr>
                <w:p w14:paraId="623E4D6F">
                  <w:pPr>
                    <w:pStyle w:val="13"/>
                    <w:rPr>
                      <w:color w:val="auto"/>
                      <w:highlight w:val="none"/>
                    </w:rPr>
                  </w:pPr>
                  <w:r>
                    <w:rPr>
                      <w:rFonts w:hint="eastAsia"/>
                      <w:color w:val="auto"/>
                      <w:highlight w:val="none"/>
                    </w:rPr>
                    <w:t>90</w:t>
                  </w:r>
                </w:p>
              </w:tc>
              <w:tc>
                <w:tcPr>
                  <w:tcW w:w="870" w:type="dxa"/>
                  <w:tcBorders>
                    <w:tl2br w:val="nil"/>
                    <w:tr2bl w:val="nil"/>
                  </w:tcBorders>
                  <w:vAlign w:val="center"/>
                </w:tcPr>
                <w:p w14:paraId="0B2D96BC">
                  <w:pPr>
                    <w:pStyle w:val="13"/>
                    <w:rPr>
                      <w:color w:val="auto"/>
                      <w:highlight w:val="none"/>
                    </w:rPr>
                  </w:pPr>
                  <w:r>
                    <w:rPr>
                      <w:color w:val="auto"/>
                      <w:highlight w:val="none"/>
                    </w:rPr>
                    <w:t>64.5</w:t>
                  </w:r>
                </w:p>
              </w:tc>
              <w:tc>
                <w:tcPr>
                  <w:tcW w:w="884" w:type="dxa"/>
                  <w:tcBorders>
                    <w:tl2br w:val="nil"/>
                    <w:tr2bl w:val="nil"/>
                  </w:tcBorders>
                  <w:vAlign w:val="center"/>
                </w:tcPr>
                <w:p w14:paraId="6EFC63FD">
                  <w:pPr>
                    <w:pStyle w:val="13"/>
                    <w:rPr>
                      <w:color w:val="auto"/>
                      <w:highlight w:val="none"/>
                    </w:rPr>
                  </w:pPr>
                  <w:r>
                    <w:rPr>
                      <w:color w:val="auto"/>
                      <w:highlight w:val="none"/>
                    </w:rPr>
                    <w:t>26.88</w:t>
                  </w:r>
                </w:p>
              </w:tc>
              <w:tc>
                <w:tcPr>
                  <w:tcW w:w="915" w:type="dxa"/>
                  <w:tcBorders>
                    <w:tl2br w:val="nil"/>
                    <w:tr2bl w:val="nil"/>
                  </w:tcBorders>
                  <w:vAlign w:val="center"/>
                </w:tcPr>
                <w:p w14:paraId="6394DBDE">
                  <w:pPr>
                    <w:pStyle w:val="13"/>
                    <w:rPr>
                      <w:color w:val="auto"/>
                      <w:highlight w:val="none"/>
                    </w:rPr>
                  </w:pPr>
                  <w:r>
                    <w:rPr>
                      <w:color w:val="auto"/>
                      <w:highlight w:val="none"/>
                    </w:rPr>
                    <w:t>1075</w:t>
                  </w:r>
                </w:p>
              </w:tc>
              <w:tc>
                <w:tcPr>
                  <w:tcW w:w="461" w:type="pct"/>
                  <w:tcBorders>
                    <w:tl2br w:val="nil"/>
                    <w:tr2bl w:val="nil"/>
                  </w:tcBorders>
                  <w:vAlign w:val="center"/>
                </w:tcPr>
                <w:p w14:paraId="60C3B055">
                  <w:pPr>
                    <w:pStyle w:val="13"/>
                    <w:rPr>
                      <w:color w:val="auto"/>
                      <w:highlight w:val="none"/>
                    </w:rPr>
                  </w:pPr>
                  <w:r>
                    <w:rPr>
                      <w:rFonts w:hint="eastAsia"/>
                      <w:color w:val="auto"/>
                      <w:highlight w:val="none"/>
                    </w:rPr>
                    <w:t>布袋除尘器</w:t>
                  </w:r>
                </w:p>
              </w:tc>
              <w:tc>
                <w:tcPr>
                  <w:tcW w:w="284" w:type="pct"/>
                  <w:tcBorders>
                    <w:tl2br w:val="nil"/>
                    <w:tr2bl w:val="nil"/>
                  </w:tcBorders>
                  <w:vAlign w:val="center"/>
                </w:tcPr>
                <w:p w14:paraId="4E50A12B">
                  <w:pPr>
                    <w:pStyle w:val="13"/>
                    <w:rPr>
                      <w:color w:val="auto"/>
                      <w:highlight w:val="none"/>
                    </w:rPr>
                  </w:pPr>
                  <w:r>
                    <w:rPr>
                      <w:rFonts w:hint="eastAsia"/>
                      <w:color w:val="auto"/>
                      <w:highlight w:val="none"/>
                    </w:rPr>
                    <w:t>99</w:t>
                  </w:r>
                </w:p>
              </w:tc>
              <w:tc>
                <w:tcPr>
                  <w:tcW w:w="853" w:type="dxa"/>
                  <w:tcBorders>
                    <w:tl2br w:val="nil"/>
                    <w:tr2bl w:val="nil"/>
                  </w:tcBorders>
                  <w:vAlign w:val="center"/>
                </w:tcPr>
                <w:p w14:paraId="0643C4DE">
                  <w:pPr>
                    <w:pStyle w:val="13"/>
                    <w:rPr>
                      <w:color w:val="auto"/>
                      <w:highlight w:val="none"/>
                    </w:rPr>
                  </w:pPr>
                  <w:r>
                    <w:rPr>
                      <w:color w:val="auto"/>
                      <w:highlight w:val="none"/>
                    </w:rPr>
                    <w:t>0.645</w:t>
                  </w:r>
                </w:p>
              </w:tc>
              <w:tc>
                <w:tcPr>
                  <w:tcW w:w="823" w:type="dxa"/>
                  <w:tcBorders>
                    <w:tl2br w:val="nil"/>
                    <w:tr2bl w:val="nil"/>
                  </w:tcBorders>
                  <w:vAlign w:val="center"/>
                </w:tcPr>
                <w:p w14:paraId="70E42EBE">
                  <w:pPr>
                    <w:pStyle w:val="13"/>
                    <w:rPr>
                      <w:color w:val="auto"/>
                      <w:highlight w:val="none"/>
                    </w:rPr>
                  </w:pPr>
                  <w:r>
                    <w:rPr>
                      <w:color w:val="auto"/>
                      <w:highlight w:val="none"/>
                    </w:rPr>
                    <w:t>0.2688</w:t>
                  </w:r>
                </w:p>
              </w:tc>
              <w:tc>
                <w:tcPr>
                  <w:tcW w:w="949" w:type="dxa"/>
                  <w:tcBorders>
                    <w:tl2br w:val="nil"/>
                    <w:tr2bl w:val="nil"/>
                  </w:tcBorders>
                  <w:vAlign w:val="center"/>
                </w:tcPr>
                <w:p w14:paraId="7CE234C4">
                  <w:pPr>
                    <w:pStyle w:val="13"/>
                    <w:rPr>
                      <w:color w:val="auto"/>
                      <w:highlight w:val="none"/>
                    </w:rPr>
                  </w:pPr>
                  <w:r>
                    <w:rPr>
                      <w:color w:val="auto"/>
                      <w:highlight w:val="none"/>
                    </w:rPr>
                    <w:t>10.75</w:t>
                  </w:r>
                </w:p>
              </w:tc>
              <w:tc>
                <w:tcPr>
                  <w:tcW w:w="315" w:type="pct"/>
                  <w:tcBorders>
                    <w:tl2br w:val="nil"/>
                    <w:tr2bl w:val="nil"/>
                  </w:tcBorders>
                  <w:vAlign w:val="center"/>
                </w:tcPr>
                <w:p w14:paraId="0D0F4C40">
                  <w:pPr>
                    <w:pStyle w:val="13"/>
                    <w:rPr>
                      <w:color w:val="auto"/>
                      <w:highlight w:val="none"/>
                    </w:rPr>
                  </w:pPr>
                  <w:r>
                    <w:rPr>
                      <w:rFonts w:hint="eastAsia"/>
                      <w:color w:val="auto"/>
                      <w:highlight w:val="none"/>
                    </w:rPr>
                    <w:t>DA001</w:t>
                  </w:r>
                </w:p>
              </w:tc>
            </w:tr>
            <w:tr w14:paraId="0E133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8" w:type="pct"/>
                  <w:tcBorders>
                    <w:tl2br w:val="nil"/>
                    <w:tr2bl w:val="nil"/>
                  </w:tcBorders>
                  <w:vAlign w:val="center"/>
                </w:tcPr>
                <w:p w14:paraId="02A3F081">
                  <w:pPr>
                    <w:pStyle w:val="13"/>
                    <w:rPr>
                      <w:color w:val="auto"/>
                      <w:highlight w:val="none"/>
                    </w:rPr>
                  </w:pPr>
                  <w:r>
                    <w:rPr>
                      <w:rFonts w:hint="eastAsia"/>
                      <w:color w:val="auto"/>
                      <w:highlight w:val="none"/>
                    </w:rPr>
                    <w:t>G2饲料颗粒生产废气</w:t>
                  </w:r>
                </w:p>
              </w:tc>
              <w:tc>
                <w:tcPr>
                  <w:tcW w:w="418" w:type="pct"/>
                  <w:tcBorders>
                    <w:tl2br w:val="nil"/>
                    <w:tr2bl w:val="nil"/>
                  </w:tcBorders>
                  <w:vAlign w:val="center"/>
                </w:tcPr>
                <w:p w14:paraId="664E2E72">
                  <w:pPr>
                    <w:pStyle w:val="13"/>
                    <w:rPr>
                      <w:color w:val="auto"/>
                      <w:highlight w:val="none"/>
                    </w:rPr>
                  </w:pPr>
                  <w:r>
                    <w:rPr>
                      <w:rFonts w:hint="eastAsia"/>
                      <w:color w:val="auto"/>
                      <w:highlight w:val="none"/>
                    </w:rPr>
                    <w:t>颗粒物</w:t>
                  </w:r>
                </w:p>
              </w:tc>
              <w:tc>
                <w:tcPr>
                  <w:tcW w:w="273" w:type="pct"/>
                  <w:vMerge w:val="continue"/>
                  <w:tcBorders>
                    <w:tl2br w:val="nil"/>
                    <w:tr2bl w:val="nil"/>
                  </w:tcBorders>
                  <w:vAlign w:val="center"/>
                </w:tcPr>
                <w:p w14:paraId="6058C459">
                  <w:pPr>
                    <w:pStyle w:val="13"/>
                    <w:rPr>
                      <w:color w:val="auto"/>
                      <w:highlight w:val="none"/>
                    </w:rPr>
                  </w:pPr>
                </w:p>
              </w:tc>
              <w:tc>
                <w:tcPr>
                  <w:tcW w:w="273" w:type="pct"/>
                  <w:tcBorders>
                    <w:tl2br w:val="nil"/>
                    <w:tr2bl w:val="nil"/>
                  </w:tcBorders>
                  <w:vAlign w:val="center"/>
                </w:tcPr>
                <w:p w14:paraId="4871819E">
                  <w:pPr>
                    <w:pStyle w:val="13"/>
                    <w:rPr>
                      <w:color w:val="auto"/>
                      <w:highlight w:val="none"/>
                    </w:rPr>
                  </w:pPr>
                  <w:r>
                    <w:rPr>
                      <w:rFonts w:hint="eastAsia"/>
                      <w:color w:val="auto"/>
                      <w:highlight w:val="none"/>
                    </w:rPr>
                    <w:t>10000</w:t>
                  </w:r>
                </w:p>
              </w:tc>
              <w:tc>
                <w:tcPr>
                  <w:tcW w:w="252" w:type="pct"/>
                  <w:tcBorders>
                    <w:tl2br w:val="nil"/>
                    <w:tr2bl w:val="nil"/>
                  </w:tcBorders>
                  <w:vAlign w:val="center"/>
                </w:tcPr>
                <w:p w14:paraId="45866AD5">
                  <w:pPr>
                    <w:pStyle w:val="13"/>
                    <w:rPr>
                      <w:color w:val="auto"/>
                      <w:highlight w:val="none"/>
                    </w:rPr>
                  </w:pPr>
                  <w:r>
                    <w:rPr>
                      <w:rFonts w:hint="eastAsia"/>
                      <w:color w:val="auto"/>
                      <w:highlight w:val="none"/>
                    </w:rPr>
                    <w:t>90</w:t>
                  </w:r>
                </w:p>
              </w:tc>
              <w:tc>
                <w:tcPr>
                  <w:tcW w:w="870" w:type="dxa"/>
                  <w:tcBorders>
                    <w:tl2br w:val="nil"/>
                    <w:tr2bl w:val="nil"/>
                  </w:tcBorders>
                  <w:vAlign w:val="center"/>
                </w:tcPr>
                <w:p w14:paraId="50BD3E73">
                  <w:pPr>
                    <w:pStyle w:val="13"/>
                    <w:bidi w:val="0"/>
                    <w:rPr>
                      <w:color w:val="auto"/>
                      <w:highlight w:val="none"/>
                    </w:rPr>
                  </w:pPr>
                  <w:r>
                    <w:rPr>
                      <w:rFonts w:hint="default"/>
                      <w:color w:val="auto"/>
                      <w:highlight w:val="none"/>
                      <w:lang w:val="en-US" w:eastAsia="zh-CN"/>
                    </w:rPr>
                    <w:t>21.8213</w:t>
                  </w:r>
                </w:p>
              </w:tc>
              <w:tc>
                <w:tcPr>
                  <w:tcW w:w="884" w:type="dxa"/>
                  <w:tcBorders>
                    <w:tl2br w:val="nil"/>
                    <w:tr2bl w:val="nil"/>
                  </w:tcBorders>
                  <w:vAlign w:val="center"/>
                </w:tcPr>
                <w:p w14:paraId="0711B027">
                  <w:pPr>
                    <w:pStyle w:val="13"/>
                    <w:bidi w:val="0"/>
                    <w:rPr>
                      <w:color w:val="auto"/>
                      <w:highlight w:val="none"/>
                    </w:rPr>
                  </w:pPr>
                  <w:r>
                    <w:rPr>
                      <w:rFonts w:hint="default"/>
                      <w:color w:val="auto"/>
                      <w:highlight w:val="none"/>
                      <w:lang w:val="en-US" w:eastAsia="zh-CN"/>
                    </w:rPr>
                    <w:t>9.0939</w:t>
                  </w:r>
                </w:p>
              </w:tc>
              <w:tc>
                <w:tcPr>
                  <w:tcW w:w="915" w:type="dxa"/>
                  <w:tcBorders>
                    <w:tl2br w:val="nil"/>
                    <w:tr2bl w:val="nil"/>
                  </w:tcBorders>
                  <w:vAlign w:val="center"/>
                </w:tcPr>
                <w:p w14:paraId="4C9F6AA2">
                  <w:pPr>
                    <w:pStyle w:val="13"/>
                    <w:bidi w:val="0"/>
                    <w:rPr>
                      <w:color w:val="auto"/>
                      <w:highlight w:val="none"/>
                    </w:rPr>
                  </w:pPr>
                  <w:r>
                    <w:rPr>
                      <w:rFonts w:hint="default"/>
                      <w:color w:val="auto"/>
                      <w:highlight w:val="none"/>
                      <w:lang w:val="en-US" w:eastAsia="zh-CN"/>
                    </w:rPr>
                    <w:t>909.2175</w:t>
                  </w:r>
                </w:p>
              </w:tc>
              <w:tc>
                <w:tcPr>
                  <w:tcW w:w="461" w:type="pct"/>
                  <w:tcBorders>
                    <w:tl2br w:val="nil"/>
                    <w:tr2bl w:val="nil"/>
                  </w:tcBorders>
                  <w:vAlign w:val="center"/>
                </w:tcPr>
                <w:p w14:paraId="1ACAB7F9">
                  <w:pPr>
                    <w:pStyle w:val="13"/>
                    <w:rPr>
                      <w:color w:val="auto"/>
                      <w:highlight w:val="none"/>
                    </w:rPr>
                  </w:pPr>
                  <w:r>
                    <w:rPr>
                      <w:rFonts w:hint="eastAsia"/>
                      <w:color w:val="auto"/>
                      <w:highlight w:val="none"/>
                    </w:rPr>
                    <w:t>布袋除尘器</w:t>
                  </w:r>
                </w:p>
              </w:tc>
              <w:tc>
                <w:tcPr>
                  <w:tcW w:w="284" w:type="pct"/>
                  <w:tcBorders>
                    <w:tl2br w:val="nil"/>
                    <w:tr2bl w:val="nil"/>
                  </w:tcBorders>
                  <w:vAlign w:val="center"/>
                </w:tcPr>
                <w:p w14:paraId="6E008D3E">
                  <w:pPr>
                    <w:pStyle w:val="13"/>
                    <w:rPr>
                      <w:color w:val="auto"/>
                      <w:highlight w:val="none"/>
                    </w:rPr>
                  </w:pPr>
                  <w:r>
                    <w:rPr>
                      <w:rFonts w:hint="eastAsia"/>
                      <w:color w:val="auto"/>
                      <w:highlight w:val="none"/>
                    </w:rPr>
                    <w:t>99</w:t>
                  </w:r>
                </w:p>
              </w:tc>
              <w:tc>
                <w:tcPr>
                  <w:tcW w:w="853" w:type="dxa"/>
                  <w:tcBorders>
                    <w:tl2br w:val="nil"/>
                    <w:tr2bl w:val="nil"/>
                  </w:tcBorders>
                  <w:vAlign w:val="center"/>
                </w:tcPr>
                <w:p w14:paraId="26376FCC">
                  <w:pPr>
                    <w:pStyle w:val="13"/>
                    <w:bidi w:val="0"/>
                    <w:rPr>
                      <w:color w:val="auto"/>
                      <w:highlight w:val="none"/>
                    </w:rPr>
                  </w:pPr>
                  <w:r>
                    <w:rPr>
                      <w:rFonts w:hint="default"/>
                      <w:color w:val="auto"/>
                      <w:highlight w:val="none"/>
                      <w:lang w:val="en-US" w:eastAsia="zh-CN"/>
                    </w:rPr>
                    <w:t>0.2182</w:t>
                  </w:r>
                </w:p>
              </w:tc>
              <w:tc>
                <w:tcPr>
                  <w:tcW w:w="823" w:type="dxa"/>
                  <w:tcBorders>
                    <w:tl2br w:val="nil"/>
                    <w:tr2bl w:val="nil"/>
                  </w:tcBorders>
                  <w:vAlign w:val="center"/>
                </w:tcPr>
                <w:p w14:paraId="37C8AAB8">
                  <w:pPr>
                    <w:pStyle w:val="13"/>
                    <w:bidi w:val="0"/>
                    <w:rPr>
                      <w:color w:val="auto"/>
                      <w:highlight w:val="none"/>
                    </w:rPr>
                  </w:pPr>
                  <w:r>
                    <w:rPr>
                      <w:rFonts w:hint="default"/>
                      <w:color w:val="auto"/>
                      <w:highlight w:val="none"/>
                      <w:lang w:val="en-US" w:eastAsia="zh-CN"/>
                    </w:rPr>
                    <w:t>0.0909</w:t>
                  </w:r>
                </w:p>
              </w:tc>
              <w:tc>
                <w:tcPr>
                  <w:tcW w:w="949" w:type="dxa"/>
                  <w:tcBorders>
                    <w:tl2br w:val="nil"/>
                    <w:tr2bl w:val="nil"/>
                  </w:tcBorders>
                  <w:vAlign w:val="center"/>
                </w:tcPr>
                <w:p w14:paraId="284A24DE">
                  <w:pPr>
                    <w:pStyle w:val="13"/>
                    <w:bidi w:val="0"/>
                    <w:rPr>
                      <w:color w:val="auto"/>
                      <w:highlight w:val="none"/>
                    </w:rPr>
                  </w:pPr>
                  <w:r>
                    <w:rPr>
                      <w:rFonts w:hint="default"/>
                      <w:color w:val="auto"/>
                      <w:highlight w:val="none"/>
                      <w:lang w:val="en-US" w:eastAsia="zh-CN"/>
                    </w:rPr>
                    <w:t>9.0922</w:t>
                  </w:r>
                </w:p>
              </w:tc>
              <w:tc>
                <w:tcPr>
                  <w:tcW w:w="315" w:type="pct"/>
                  <w:tcBorders>
                    <w:tl2br w:val="nil"/>
                    <w:tr2bl w:val="nil"/>
                  </w:tcBorders>
                  <w:vAlign w:val="center"/>
                </w:tcPr>
                <w:p w14:paraId="3F753230">
                  <w:pPr>
                    <w:pStyle w:val="13"/>
                    <w:rPr>
                      <w:color w:val="auto"/>
                      <w:highlight w:val="none"/>
                    </w:rPr>
                  </w:pPr>
                  <w:r>
                    <w:rPr>
                      <w:rFonts w:hint="eastAsia"/>
                      <w:color w:val="auto"/>
                      <w:highlight w:val="none"/>
                    </w:rPr>
                    <w:t>DA002</w:t>
                  </w:r>
                </w:p>
              </w:tc>
            </w:tr>
            <w:tr w14:paraId="5F69F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8" w:type="pct"/>
                  <w:vMerge w:val="restart"/>
                  <w:tcBorders>
                    <w:tl2br w:val="nil"/>
                    <w:tr2bl w:val="nil"/>
                  </w:tcBorders>
                  <w:vAlign w:val="center"/>
                </w:tcPr>
                <w:p w14:paraId="1248D275">
                  <w:pPr>
                    <w:pStyle w:val="13"/>
                    <w:rPr>
                      <w:color w:val="auto"/>
                      <w:highlight w:val="none"/>
                    </w:rPr>
                  </w:pPr>
                  <w:r>
                    <w:rPr>
                      <w:rFonts w:hint="eastAsia"/>
                      <w:color w:val="auto"/>
                      <w:highlight w:val="none"/>
                    </w:rPr>
                    <w:t>G3锅炉废气</w:t>
                  </w:r>
                </w:p>
              </w:tc>
              <w:tc>
                <w:tcPr>
                  <w:tcW w:w="418" w:type="pct"/>
                  <w:tcBorders>
                    <w:tl2br w:val="nil"/>
                    <w:tr2bl w:val="nil"/>
                  </w:tcBorders>
                  <w:vAlign w:val="center"/>
                </w:tcPr>
                <w:p w14:paraId="0EBE9F3C">
                  <w:pPr>
                    <w:pStyle w:val="13"/>
                    <w:rPr>
                      <w:color w:val="auto"/>
                      <w:highlight w:val="none"/>
                    </w:rPr>
                  </w:pPr>
                  <w:r>
                    <w:rPr>
                      <w:rFonts w:hint="eastAsia"/>
                      <w:color w:val="auto"/>
                      <w:highlight w:val="none"/>
                    </w:rPr>
                    <w:t>颗粒物</w:t>
                  </w:r>
                </w:p>
              </w:tc>
              <w:tc>
                <w:tcPr>
                  <w:tcW w:w="273" w:type="pct"/>
                  <w:vMerge w:val="restart"/>
                  <w:tcBorders>
                    <w:tl2br w:val="nil"/>
                    <w:tr2bl w:val="nil"/>
                  </w:tcBorders>
                  <w:vAlign w:val="center"/>
                </w:tcPr>
                <w:p w14:paraId="41EF7446">
                  <w:pPr>
                    <w:pStyle w:val="13"/>
                    <w:rPr>
                      <w:color w:val="auto"/>
                      <w:highlight w:val="none"/>
                    </w:rPr>
                  </w:pPr>
                  <w:r>
                    <w:rPr>
                      <w:rFonts w:hint="eastAsia"/>
                      <w:color w:val="auto"/>
                      <w:highlight w:val="none"/>
                    </w:rPr>
                    <w:t>135</w:t>
                  </w:r>
                </w:p>
              </w:tc>
              <w:tc>
                <w:tcPr>
                  <w:tcW w:w="273" w:type="pct"/>
                  <w:vMerge w:val="restart"/>
                  <w:tcBorders>
                    <w:tl2br w:val="nil"/>
                    <w:tr2bl w:val="nil"/>
                  </w:tcBorders>
                  <w:vAlign w:val="center"/>
                </w:tcPr>
                <w:p w14:paraId="1A4C731B">
                  <w:pPr>
                    <w:pStyle w:val="13"/>
                    <w:rPr>
                      <w:color w:val="auto"/>
                      <w:highlight w:val="none"/>
                    </w:rPr>
                  </w:pPr>
                  <w:r>
                    <w:rPr>
                      <w:rFonts w:hint="eastAsia"/>
                      <w:color w:val="auto"/>
                      <w:highlight w:val="none"/>
                    </w:rPr>
                    <w:t>4000</w:t>
                  </w:r>
                </w:p>
              </w:tc>
              <w:tc>
                <w:tcPr>
                  <w:tcW w:w="252" w:type="pct"/>
                  <w:vMerge w:val="restart"/>
                  <w:tcBorders>
                    <w:tl2br w:val="nil"/>
                    <w:tr2bl w:val="nil"/>
                  </w:tcBorders>
                  <w:vAlign w:val="center"/>
                </w:tcPr>
                <w:p w14:paraId="01E885D7">
                  <w:pPr>
                    <w:pStyle w:val="13"/>
                    <w:rPr>
                      <w:color w:val="auto"/>
                      <w:highlight w:val="none"/>
                    </w:rPr>
                  </w:pPr>
                  <w:r>
                    <w:rPr>
                      <w:rFonts w:hint="eastAsia"/>
                      <w:color w:val="auto"/>
                      <w:highlight w:val="none"/>
                    </w:rPr>
                    <w:t>100</w:t>
                  </w:r>
                </w:p>
              </w:tc>
              <w:tc>
                <w:tcPr>
                  <w:tcW w:w="870" w:type="dxa"/>
                  <w:tcBorders>
                    <w:tl2br w:val="nil"/>
                    <w:tr2bl w:val="nil"/>
                  </w:tcBorders>
                  <w:vAlign w:val="center"/>
                </w:tcPr>
                <w:p w14:paraId="506330F7">
                  <w:pPr>
                    <w:pStyle w:val="13"/>
                    <w:rPr>
                      <w:color w:val="auto"/>
                      <w:highlight w:val="none"/>
                    </w:rPr>
                  </w:pPr>
                  <w:r>
                    <w:rPr>
                      <w:color w:val="auto"/>
                      <w:highlight w:val="none"/>
                    </w:rPr>
                    <w:t>0.0375</w:t>
                  </w:r>
                </w:p>
              </w:tc>
              <w:tc>
                <w:tcPr>
                  <w:tcW w:w="884" w:type="dxa"/>
                  <w:tcBorders>
                    <w:tl2br w:val="nil"/>
                    <w:tr2bl w:val="nil"/>
                  </w:tcBorders>
                  <w:vAlign w:val="center"/>
                </w:tcPr>
                <w:p w14:paraId="085A65DA">
                  <w:pPr>
                    <w:pStyle w:val="13"/>
                    <w:rPr>
                      <w:color w:val="auto"/>
                      <w:highlight w:val="none"/>
                    </w:rPr>
                  </w:pPr>
                  <w:r>
                    <w:rPr>
                      <w:color w:val="auto"/>
                      <w:highlight w:val="none"/>
                    </w:rPr>
                    <w:t>0.2778</w:t>
                  </w:r>
                </w:p>
              </w:tc>
              <w:tc>
                <w:tcPr>
                  <w:tcW w:w="915" w:type="dxa"/>
                  <w:tcBorders>
                    <w:tl2br w:val="nil"/>
                    <w:tr2bl w:val="nil"/>
                  </w:tcBorders>
                  <w:vAlign w:val="center"/>
                </w:tcPr>
                <w:p w14:paraId="0F0218D1">
                  <w:pPr>
                    <w:pStyle w:val="13"/>
                    <w:rPr>
                      <w:color w:val="auto"/>
                      <w:highlight w:val="none"/>
                    </w:rPr>
                  </w:pPr>
                  <w:r>
                    <w:rPr>
                      <w:color w:val="auto"/>
                      <w:highlight w:val="none"/>
                    </w:rPr>
                    <w:t>69.4444</w:t>
                  </w:r>
                </w:p>
              </w:tc>
              <w:tc>
                <w:tcPr>
                  <w:tcW w:w="461" w:type="pct"/>
                  <w:vMerge w:val="restart"/>
                  <w:tcBorders>
                    <w:tl2br w:val="nil"/>
                    <w:tr2bl w:val="nil"/>
                  </w:tcBorders>
                  <w:vAlign w:val="center"/>
                </w:tcPr>
                <w:p w14:paraId="5E7EBB60">
                  <w:pPr>
                    <w:pStyle w:val="13"/>
                    <w:rPr>
                      <w:color w:val="auto"/>
                      <w:highlight w:val="none"/>
                    </w:rPr>
                  </w:pPr>
                  <w:r>
                    <w:rPr>
                      <w:rFonts w:hint="eastAsia"/>
                      <w:color w:val="auto"/>
                      <w:highlight w:val="none"/>
                    </w:rPr>
                    <w:t>低氮燃烧+布袋除尘器</w:t>
                  </w:r>
                </w:p>
              </w:tc>
              <w:tc>
                <w:tcPr>
                  <w:tcW w:w="284" w:type="pct"/>
                  <w:tcBorders>
                    <w:tl2br w:val="nil"/>
                    <w:tr2bl w:val="nil"/>
                  </w:tcBorders>
                  <w:vAlign w:val="center"/>
                </w:tcPr>
                <w:p w14:paraId="3EE74D95">
                  <w:pPr>
                    <w:pStyle w:val="13"/>
                    <w:rPr>
                      <w:color w:val="auto"/>
                      <w:highlight w:val="none"/>
                    </w:rPr>
                  </w:pPr>
                  <w:r>
                    <w:rPr>
                      <w:rFonts w:hint="eastAsia"/>
                      <w:color w:val="auto"/>
                      <w:highlight w:val="none"/>
                    </w:rPr>
                    <w:t>99</w:t>
                  </w:r>
                </w:p>
              </w:tc>
              <w:tc>
                <w:tcPr>
                  <w:tcW w:w="853" w:type="dxa"/>
                  <w:tcBorders>
                    <w:tl2br w:val="nil"/>
                    <w:tr2bl w:val="nil"/>
                  </w:tcBorders>
                  <w:vAlign w:val="center"/>
                </w:tcPr>
                <w:p w14:paraId="4A9822B2">
                  <w:pPr>
                    <w:pStyle w:val="13"/>
                    <w:rPr>
                      <w:color w:val="auto"/>
                      <w:highlight w:val="none"/>
                    </w:rPr>
                  </w:pPr>
                  <w:r>
                    <w:rPr>
                      <w:color w:val="auto"/>
                      <w:highlight w:val="none"/>
                    </w:rPr>
                    <w:t>0.0004</w:t>
                  </w:r>
                </w:p>
              </w:tc>
              <w:tc>
                <w:tcPr>
                  <w:tcW w:w="823" w:type="dxa"/>
                  <w:tcBorders>
                    <w:tl2br w:val="nil"/>
                    <w:tr2bl w:val="nil"/>
                  </w:tcBorders>
                  <w:vAlign w:val="center"/>
                </w:tcPr>
                <w:p w14:paraId="4977F123">
                  <w:pPr>
                    <w:pStyle w:val="13"/>
                    <w:rPr>
                      <w:color w:val="auto"/>
                      <w:highlight w:val="none"/>
                    </w:rPr>
                  </w:pPr>
                  <w:r>
                    <w:rPr>
                      <w:color w:val="auto"/>
                      <w:highlight w:val="none"/>
                    </w:rPr>
                    <w:t>0.0028</w:t>
                  </w:r>
                </w:p>
              </w:tc>
              <w:tc>
                <w:tcPr>
                  <w:tcW w:w="949" w:type="dxa"/>
                  <w:tcBorders>
                    <w:tl2br w:val="nil"/>
                    <w:tr2bl w:val="nil"/>
                  </w:tcBorders>
                  <w:vAlign w:val="center"/>
                </w:tcPr>
                <w:p w14:paraId="196AA9D4">
                  <w:pPr>
                    <w:pStyle w:val="13"/>
                    <w:rPr>
                      <w:color w:val="auto"/>
                      <w:highlight w:val="none"/>
                    </w:rPr>
                  </w:pPr>
                  <w:r>
                    <w:rPr>
                      <w:color w:val="auto"/>
                      <w:highlight w:val="none"/>
                    </w:rPr>
                    <w:t>0.6944</w:t>
                  </w:r>
                </w:p>
              </w:tc>
              <w:tc>
                <w:tcPr>
                  <w:tcW w:w="315" w:type="pct"/>
                  <w:vMerge w:val="restart"/>
                  <w:tcBorders>
                    <w:tl2br w:val="nil"/>
                    <w:tr2bl w:val="nil"/>
                  </w:tcBorders>
                  <w:vAlign w:val="center"/>
                </w:tcPr>
                <w:p w14:paraId="2EDCF3B4">
                  <w:pPr>
                    <w:pStyle w:val="13"/>
                    <w:rPr>
                      <w:color w:val="auto"/>
                      <w:highlight w:val="none"/>
                    </w:rPr>
                  </w:pPr>
                  <w:r>
                    <w:rPr>
                      <w:rFonts w:hint="eastAsia"/>
                      <w:color w:val="auto"/>
                      <w:highlight w:val="none"/>
                    </w:rPr>
                    <w:t>DA003</w:t>
                  </w:r>
                </w:p>
              </w:tc>
            </w:tr>
            <w:tr w14:paraId="7C543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8" w:type="pct"/>
                  <w:vMerge w:val="continue"/>
                  <w:tcBorders>
                    <w:tl2br w:val="nil"/>
                    <w:tr2bl w:val="nil"/>
                  </w:tcBorders>
                  <w:vAlign w:val="center"/>
                </w:tcPr>
                <w:p w14:paraId="7EA142EE">
                  <w:pPr>
                    <w:pStyle w:val="13"/>
                    <w:rPr>
                      <w:color w:val="auto"/>
                      <w:highlight w:val="none"/>
                    </w:rPr>
                  </w:pPr>
                </w:p>
              </w:tc>
              <w:tc>
                <w:tcPr>
                  <w:tcW w:w="418" w:type="pct"/>
                  <w:tcBorders>
                    <w:tl2br w:val="nil"/>
                    <w:tr2bl w:val="nil"/>
                  </w:tcBorders>
                  <w:vAlign w:val="center"/>
                </w:tcPr>
                <w:p w14:paraId="0B918DAA">
                  <w:pPr>
                    <w:pStyle w:val="13"/>
                    <w:rPr>
                      <w:color w:val="auto"/>
                      <w:highlight w:val="none"/>
                    </w:rPr>
                  </w:pPr>
                  <w:r>
                    <w:rPr>
                      <w:rFonts w:hint="eastAsia"/>
                      <w:color w:val="auto"/>
                      <w:highlight w:val="none"/>
                    </w:rPr>
                    <w:t>二氧化硫</w:t>
                  </w:r>
                </w:p>
              </w:tc>
              <w:tc>
                <w:tcPr>
                  <w:tcW w:w="273" w:type="pct"/>
                  <w:vMerge w:val="continue"/>
                  <w:tcBorders>
                    <w:tl2br w:val="nil"/>
                    <w:tr2bl w:val="nil"/>
                  </w:tcBorders>
                  <w:vAlign w:val="center"/>
                </w:tcPr>
                <w:p w14:paraId="69F46721">
                  <w:pPr>
                    <w:pStyle w:val="13"/>
                    <w:rPr>
                      <w:color w:val="auto"/>
                      <w:highlight w:val="none"/>
                    </w:rPr>
                  </w:pPr>
                </w:p>
              </w:tc>
              <w:tc>
                <w:tcPr>
                  <w:tcW w:w="273" w:type="pct"/>
                  <w:vMerge w:val="continue"/>
                  <w:tcBorders>
                    <w:tl2br w:val="nil"/>
                    <w:tr2bl w:val="nil"/>
                  </w:tcBorders>
                  <w:vAlign w:val="center"/>
                </w:tcPr>
                <w:p w14:paraId="60255BEA">
                  <w:pPr>
                    <w:pStyle w:val="13"/>
                    <w:rPr>
                      <w:color w:val="auto"/>
                      <w:highlight w:val="none"/>
                    </w:rPr>
                  </w:pPr>
                </w:p>
              </w:tc>
              <w:tc>
                <w:tcPr>
                  <w:tcW w:w="252" w:type="pct"/>
                  <w:vMerge w:val="continue"/>
                  <w:tcBorders>
                    <w:tl2br w:val="nil"/>
                    <w:tr2bl w:val="nil"/>
                  </w:tcBorders>
                  <w:vAlign w:val="center"/>
                </w:tcPr>
                <w:p w14:paraId="144414AD">
                  <w:pPr>
                    <w:pStyle w:val="13"/>
                    <w:rPr>
                      <w:color w:val="auto"/>
                      <w:highlight w:val="none"/>
                    </w:rPr>
                  </w:pPr>
                </w:p>
              </w:tc>
              <w:tc>
                <w:tcPr>
                  <w:tcW w:w="870" w:type="dxa"/>
                  <w:tcBorders>
                    <w:tl2br w:val="nil"/>
                    <w:tr2bl w:val="nil"/>
                  </w:tcBorders>
                  <w:vAlign w:val="center"/>
                </w:tcPr>
                <w:p w14:paraId="12D9DD35">
                  <w:pPr>
                    <w:pStyle w:val="13"/>
                    <w:rPr>
                      <w:color w:val="auto"/>
                      <w:highlight w:val="none"/>
                    </w:rPr>
                  </w:pPr>
                  <w:r>
                    <w:rPr>
                      <w:color w:val="auto"/>
                      <w:highlight w:val="none"/>
                    </w:rPr>
                    <w:t>0.051</w:t>
                  </w:r>
                </w:p>
              </w:tc>
              <w:tc>
                <w:tcPr>
                  <w:tcW w:w="884" w:type="dxa"/>
                  <w:tcBorders>
                    <w:tl2br w:val="nil"/>
                    <w:tr2bl w:val="nil"/>
                  </w:tcBorders>
                  <w:vAlign w:val="center"/>
                </w:tcPr>
                <w:p w14:paraId="4B08021C">
                  <w:pPr>
                    <w:pStyle w:val="13"/>
                    <w:rPr>
                      <w:color w:val="auto"/>
                      <w:highlight w:val="none"/>
                    </w:rPr>
                  </w:pPr>
                  <w:r>
                    <w:rPr>
                      <w:color w:val="auto"/>
                      <w:highlight w:val="none"/>
                    </w:rPr>
                    <w:t>0.3778</w:t>
                  </w:r>
                </w:p>
              </w:tc>
              <w:tc>
                <w:tcPr>
                  <w:tcW w:w="915" w:type="dxa"/>
                  <w:tcBorders>
                    <w:tl2br w:val="nil"/>
                    <w:tr2bl w:val="nil"/>
                  </w:tcBorders>
                  <w:vAlign w:val="center"/>
                </w:tcPr>
                <w:p w14:paraId="0D45CD6F">
                  <w:pPr>
                    <w:pStyle w:val="13"/>
                    <w:rPr>
                      <w:color w:val="auto"/>
                      <w:highlight w:val="none"/>
                    </w:rPr>
                  </w:pPr>
                  <w:r>
                    <w:rPr>
                      <w:color w:val="auto"/>
                      <w:highlight w:val="none"/>
                    </w:rPr>
                    <w:t>94.4444</w:t>
                  </w:r>
                </w:p>
              </w:tc>
              <w:tc>
                <w:tcPr>
                  <w:tcW w:w="461" w:type="pct"/>
                  <w:vMerge w:val="continue"/>
                  <w:tcBorders>
                    <w:tl2br w:val="nil"/>
                    <w:tr2bl w:val="nil"/>
                  </w:tcBorders>
                  <w:vAlign w:val="center"/>
                </w:tcPr>
                <w:p w14:paraId="49E6C5F5">
                  <w:pPr>
                    <w:pStyle w:val="13"/>
                    <w:rPr>
                      <w:color w:val="auto"/>
                      <w:highlight w:val="none"/>
                    </w:rPr>
                  </w:pPr>
                </w:p>
              </w:tc>
              <w:tc>
                <w:tcPr>
                  <w:tcW w:w="284" w:type="pct"/>
                  <w:tcBorders>
                    <w:tl2br w:val="nil"/>
                    <w:tr2bl w:val="nil"/>
                  </w:tcBorders>
                  <w:vAlign w:val="center"/>
                </w:tcPr>
                <w:p w14:paraId="35452F68">
                  <w:pPr>
                    <w:pStyle w:val="13"/>
                    <w:rPr>
                      <w:color w:val="auto"/>
                      <w:highlight w:val="none"/>
                    </w:rPr>
                  </w:pPr>
                  <w:r>
                    <w:rPr>
                      <w:rFonts w:hint="eastAsia"/>
                      <w:color w:val="auto"/>
                      <w:highlight w:val="none"/>
                    </w:rPr>
                    <w:t>/</w:t>
                  </w:r>
                </w:p>
              </w:tc>
              <w:tc>
                <w:tcPr>
                  <w:tcW w:w="853" w:type="dxa"/>
                  <w:tcBorders>
                    <w:tl2br w:val="nil"/>
                    <w:tr2bl w:val="nil"/>
                  </w:tcBorders>
                  <w:vAlign w:val="center"/>
                </w:tcPr>
                <w:p w14:paraId="3A3875BC">
                  <w:pPr>
                    <w:pStyle w:val="13"/>
                    <w:rPr>
                      <w:color w:val="auto"/>
                      <w:highlight w:val="none"/>
                    </w:rPr>
                  </w:pPr>
                  <w:r>
                    <w:rPr>
                      <w:color w:val="auto"/>
                      <w:highlight w:val="none"/>
                    </w:rPr>
                    <w:t>0.051</w:t>
                  </w:r>
                </w:p>
              </w:tc>
              <w:tc>
                <w:tcPr>
                  <w:tcW w:w="823" w:type="dxa"/>
                  <w:tcBorders>
                    <w:tl2br w:val="nil"/>
                    <w:tr2bl w:val="nil"/>
                  </w:tcBorders>
                  <w:vAlign w:val="center"/>
                </w:tcPr>
                <w:p w14:paraId="230975AE">
                  <w:pPr>
                    <w:pStyle w:val="13"/>
                    <w:rPr>
                      <w:color w:val="auto"/>
                      <w:highlight w:val="none"/>
                    </w:rPr>
                  </w:pPr>
                  <w:r>
                    <w:rPr>
                      <w:color w:val="auto"/>
                      <w:highlight w:val="none"/>
                    </w:rPr>
                    <w:t>0.3778</w:t>
                  </w:r>
                </w:p>
              </w:tc>
              <w:tc>
                <w:tcPr>
                  <w:tcW w:w="949" w:type="dxa"/>
                  <w:tcBorders>
                    <w:tl2br w:val="nil"/>
                    <w:tr2bl w:val="nil"/>
                  </w:tcBorders>
                  <w:vAlign w:val="center"/>
                </w:tcPr>
                <w:p w14:paraId="3CF45985">
                  <w:pPr>
                    <w:pStyle w:val="13"/>
                    <w:rPr>
                      <w:color w:val="auto"/>
                      <w:highlight w:val="none"/>
                    </w:rPr>
                  </w:pPr>
                  <w:r>
                    <w:rPr>
                      <w:color w:val="auto"/>
                      <w:highlight w:val="none"/>
                    </w:rPr>
                    <w:t>94.4444</w:t>
                  </w:r>
                </w:p>
              </w:tc>
              <w:tc>
                <w:tcPr>
                  <w:tcW w:w="315" w:type="pct"/>
                  <w:vMerge w:val="continue"/>
                  <w:tcBorders>
                    <w:tl2br w:val="nil"/>
                    <w:tr2bl w:val="nil"/>
                  </w:tcBorders>
                  <w:vAlign w:val="center"/>
                </w:tcPr>
                <w:p w14:paraId="051B1DD5">
                  <w:pPr>
                    <w:pStyle w:val="13"/>
                    <w:rPr>
                      <w:color w:val="auto"/>
                      <w:highlight w:val="none"/>
                    </w:rPr>
                  </w:pPr>
                </w:p>
              </w:tc>
            </w:tr>
            <w:tr w14:paraId="1B351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8" w:type="pct"/>
                  <w:vMerge w:val="continue"/>
                  <w:tcBorders>
                    <w:tl2br w:val="nil"/>
                    <w:tr2bl w:val="nil"/>
                  </w:tcBorders>
                  <w:vAlign w:val="center"/>
                </w:tcPr>
                <w:p w14:paraId="45F6B24C">
                  <w:pPr>
                    <w:pStyle w:val="13"/>
                    <w:rPr>
                      <w:color w:val="auto"/>
                      <w:highlight w:val="none"/>
                    </w:rPr>
                  </w:pPr>
                </w:p>
              </w:tc>
              <w:tc>
                <w:tcPr>
                  <w:tcW w:w="418" w:type="pct"/>
                  <w:tcBorders>
                    <w:tl2br w:val="nil"/>
                    <w:tr2bl w:val="nil"/>
                  </w:tcBorders>
                  <w:vAlign w:val="center"/>
                </w:tcPr>
                <w:p w14:paraId="2422DF5C">
                  <w:pPr>
                    <w:pStyle w:val="13"/>
                    <w:rPr>
                      <w:color w:val="auto"/>
                      <w:highlight w:val="none"/>
                    </w:rPr>
                  </w:pPr>
                  <w:r>
                    <w:rPr>
                      <w:rFonts w:hint="eastAsia"/>
                      <w:color w:val="auto"/>
                      <w:highlight w:val="none"/>
                    </w:rPr>
                    <w:t>氮氧化物</w:t>
                  </w:r>
                </w:p>
              </w:tc>
              <w:tc>
                <w:tcPr>
                  <w:tcW w:w="273" w:type="pct"/>
                  <w:vMerge w:val="continue"/>
                  <w:tcBorders>
                    <w:tl2br w:val="nil"/>
                    <w:tr2bl w:val="nil"/>
                  </w:tcBorders>
                  <w:vAlign w:val="center"/>
                </w:tcPr>
                <w:p w14:paraId="68DF866A">
                  <w:pPr>
                    <w:pStyle w:val="13"/>
                    <w:rPr>
                      <w:color w:val="auto"/>
                      <w:highlight w:val="none"/>
                    </w:rPr>
                  </w:pPr>
                </w:p>
              </w:tc>
              <w:tc>
                <w:tcPr>
                  <w:tcW w:w="273" w:type="pct"/>
                  <w:vMerge w:val="continue"/>
                  <w:tcBorders>
                    <w:tl2br w:val="nil"/>
                    <w:tr2bl w:val="nil"/>
                  </w:tcBorders>
                  <w:vAlign w:val="center"/>
                </w:tcPr>
                <w:p w14:paraId="623480F9">
                  <w:pPr>
                    <w:pStyle w:val="13"/>
                    <w:rPr>
                      <w:color w:val="auto"/>
                      <w:highlight w:val="none"/>
                    </w:rPr>
                  </w:pPr>
                </w:p>
              </w:tc>
              <w:tc>
                <w:tcPr>
                  <w:tcW w:w="252" w:type="pct"/>
                  <w:vMerge w:val="continue"/>
                  <w:tcBorders>
                    <w:tl2br w:val="nil"/>
                    <w:tr2bl w:val="nil"/>
                  </w:tcBorders>
                  <w:vAlign w:val="center"/>
                </w:tcPr>
                <w:p w14:paraId="1344C2F3">
                  <w:pPr>
                    <w:pStyle w:val="13"/>
                    <w:rPr>
                      <w:color w:val="auto"/>
                      <w:highlight w:val="none"/>
                    </w:rPr>
                  </w:pPr>
                </w:p>
              </w:tc>
              <w:tc>
                <w:tcPr>
                  <w:tcW w:w="870" w:type="dxa"/>
                  <w:tcBorders>
                    <w:tl2br w:val="nil"/>
                    <w:tr2bl w:val="nil"/>
                  </w:tcBorders>
                  <w:vAlign w:val="center"/>
                </w:tcPr>
                <w:p w14:paraId="4FF7ACBB">
                  <w:pPr>
                    <w:pStyle w:val="13"/>
                    <w:rPr>
                      <w:color w:val="auto"/>
                      <w:highlight w:val="none"/>
                    </w:rPr>
                  </w:pPr>
                  <w:r>
                    <w:rPr>
                      <w:color w:val="auto"/>
                      <w:highlight w:val="none"/>
                    </w:rPr>
                    <w:t>0.0765</w:t>
                  </w:r>
                </w:p>
              </w:tc>
              <w:tc>
                <w:tcPr>
                  <w:tcW w:w="884" w:type="dxa"/>
                  <w:tcBorders>
                    <w:tl2br w:val="nil"/>
                    <w:tr2bl w:val="nil"/>
                  </w:tcBorders>
                  <w:vAlign w:val="center"/>
                </w:tcPr>
                <w:p w14:paraId="6BAA7492">
                  <w:pPr>
                    <w:pStyle w:val="13"/>
                    <w:rPr>
                      <w:color w:val="auto"/>
                      <w:highlight w:val="none"/>
                    </w:rPr>
                  </w:pPr>
                  <w:r>
                    <w:rPr>
                      <w:color w:val="auto"/>
                      <w:highlight w:val="none"/>
                    </w:rPr>
                    <w:t>0.5667</w:t>
                  </w:r>
                </w:p>
              </w:tc>
              <w:tc>
                <w:tcPr>
                  <w:tcW w:w="915" w:type="dxa"/>
                  <w:tcBorders>
                    <w:tl2br w:val="nil"/>
                    <w:tr2bl w:val="nil"/>
                  </w:tcBorders>
                  <w:vAlign w:val="center"/>
                </w:tcPr>
                <w:p w14:paraId="054701CC">
                  <w:pPr>
                    <w:pStyle w:val="13"/>
                    <w:rPr>
                      <w:color w:val="auto"/>
                      <w:highlight w:val="none"/>
                    </w:rPr>
                  </w:pPr>
                  <w:r>
                    <w:rPr>
                      <w:color w:val="auto"/>
                      <w:highlight w:val="none"/>
                    </w:rPr>
                    <w:t>141.6667</w:t>
                  </w:r>
                </w:p>
              </w:tc>
              <w:tc>
                <w:tcPr>
                  <w:tcW w:w="461" w:type="pct"/>
                  <w:vMerge w:val="continue"/>
                  <w:tcBorders>
                    <w:tl2br w:val="nil"/>
                    <w:tr2bl w:val="nil"/>
                  </w:tcBorders>
                  <w:vAlign w:val="center"/>
                </w:tcPr>
                <w:p w14:paraId="101CB339">
                  <w:pPr>
                    <w:pStyle w:val="13"/>
                    <w:rPr>
                      <w:color w:val="auto"/>
                      <w:highlight w:val="none"/>
                    </w:rPr>
                  </w:pPr>
                </w:p>
              </w:tc>
              <w:tc>
                <w:tcPr>
                  <w:tcW w:w="284" w:type="pct"/>
                  <w:tcBorders>
                    <w:tl2br w:val="nil"/>
                    <w:tr2bl w:val="nil"/>
                  </w:tcBorders>
                  <w:vAlign w:val="center"/>
                </w:tcPr>
                <w:p w14:paraId="38144974">
                  <w:pPr>
                    <w:pStyle w:val="13"/>
                    <w:rPr>
                      <w:color w:val="auto"/>
                      <w:highlight w:val="none"/>
                    </w:rPr>
                  </w:pPr>
                  <w:r>
                    <w:rPr>
                      <w:rFonts w:hint="eastAsia"/>
                      <w:color w:val="auto"/>
                      <w:highlight w:val="none"/>
                    </w:rPr>
                    <w:t>/</w:t>
                  </w:r>
                </w:p>
              </w:tc>
              <w:tc>
                <w:tcPr>
                  <w:tcW w:w="853" w:type="dxa"/>
                  <w:tcBorders>
                    <w:tl2br w:val="nil"/>
                    <w:tr2bl w:val="nil"/>
                  </w:tcBorders>
                  <w:vAlign w:val="center"/>
                </w:tcPr>
                <w:p w14:paraId="7D52C65F">
                  <w:pPr>
                    <w:pStyle w:val="13"/>
                    <w:rPr>
                      <w:color w:val="auto"/>
                      <w:highlight w:val="none"/>
                    </w:rPr>
                  </w:pPr>
                  <w:r>
                    <w:rPr>
                      <w:color w:val="auto"/>
                      <w:highlight w:val="none"/>
                    </w:rPr>
                    <w:t>0.0765</w:t>
                  </w:r>
                </w:p>
              </w:tc>
              <w:tc>
                <w:tcPr>
                  <w:tcW w:w="823" w:type="dxa"/>
                  <w:tcBorders>
                    <w:tl2br w:val="nil"/>
                    <w:tr2bl w:val="nil"/>
                  </w:tcBorders>
                  <w:vAlign w:val="center"/>
                </w:tcPr>
                <w:p w14:paraId="6B91258B">
                  <w:pPr>
                    <w:pStyle w:val="13"/>
                    <w:rPr>
                      <w:color w:val="auto"/>
                      <w:highlight w:val="none"/>
                    </w:rPr>
                  </w:pPr>
                  <w:r>
                    <w:rPr>
                      <w:color w:val="auto"/>
                      <w:highlight w:val="none"/>
                    </w:rPr>
                    <w:t>0.5667</w:t>
                  </w:r>
                </w:p>
              </w:tc>
              <w:tc>
                <w:tcPr>
                  <w:tcW w:w="949" w:type="dxa"/>
                  <w:tcBorders>
                    <w:tl2br w:val="nil"/>
                    <w:tr2bl w:val="nil"/>
                  </w:tcBorders>
                  <w:vAlign w:val="center"/>
                </w:tcPr>
                <w:p w14:paraId="3A5A293A">
                  <w:pPr>
                    <w:pStyle w:val="13"/>
                    <w:rPr>
                      <w:color w:val="auto"/>
                      <w:highlight w:val="none"/>
                    </w:rPr>
                  </w:pPr>
                  <w:r>
                    <w:rPr>
                      <w:color w:val="auto"/>
                      <w:highlight w:val="none"/>
                    </w:rPr>
                    <w:t>141.6667</w:t>
                  </w:r>
                </w:p>
              </w:tc>
              <w:tc>
                <w:tcPr>
                  <w:tcW w:w="315" w:type="pct"/>
                  <w:vMerge w:val="continue"/>
                  <w:tcBorders>
                    <w:tl2br w:val="nil"/>
                    <w:tr2bl w:val="nil"/>
                  </w:tcBorders>
                  <w:vAlign w:val="center"/>
                </w:tcPr>
                <w:p w14:paraId="2FEC66EB">
                  <w:pPr>
                    <w:pStyle w:val="13"/>
                    <w:rPr>
                      <w:color w:val="auto"/>
                      <w:highlight w:val="none"/>
                    </w:rPr>
                  </w:pPr>
                </w:p>
              </w:tc>
            </w:tr>
            <w:tr w14:paraId="57F6D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8" w:type="pct"/>
                  <w:vMerge w:val="continue"/>
                  <w:tcBorders>
                    <w:tl2br w:val="nil"/>
                    <w:tr2bl w:val="nil"/>
                  </w:tcBorders>
                  <w:vAlign w:val="center"/>
                </w:tcPr>
                <w:p w14:paraId="73A1E6F8">
                  <w:pPr>
                    <w:pStyle w:val="13"/>
                    <w:rPr>
                      <w:color w:val="auto"/>
                      <w:highlight w:val="none"/>
                    </w:rPr>
                  </w:pPr>
                </w:p>
              </w:tc>
              <w:tc>
                <w:tcPr>
                  <w:tcW w:w="418" w:type="pct"/>
                  <w:tcBorders>
                    <w:tl2br w:val="nil"/>
                    <w:tr2bl w:val="nil"/>
                  </w:tcBorders>
                  <w:vAlign w:val="center"/>
                </w:tcPr>
                <w:p w14:paraId="35C0224B">
                  <w:pPr>
                    <w:pStyle w:val="13"/>
                    <w:rPr>
                      <w:color w:val="auto"/>
                      <w:highlight w:val="none"/>
                    </w:rPr>
                  </w:pPr>
                  <w:r>
                    <w:rPr>
                      <w:rFonts w:hint="eastAsia"/>
                      <w:color w:val="auto"/>
                      <w:highlight w:val="none"/>
                    </w:rPr>
                    <w:t>烟气黑度</w:t>
                  </w:r>
                </w:p>
              </w:tc>
              <w:tc>
                <w:tcPr>
                  <w:tcW w:w="273" w:type="pct"/>
                  <w:vMerge w:val="continue"/>
                  <w:tcBorders>
                    <w:tl2br w:val="nil"/>
                    <w:tr2bl w:val="nil"/>
                  </w:tcBorders>
                  <w:vAlign w:val="center"/>
                </w:tcPr>
                <w:p w14:paraId="69512AE5">
                  <w:pPr>
                    <w:pStyle w:val="13"/>
                    <w:rPr>
                      <w:color w:val="auto"/>
                      <w:highlight w:val="none"/>
                    </w:rPr>
                  </w:pPr>
                </w:p>
              </w:tc>
              <w:tc>
                <w:tcPr>
                  <w:tcW w:w="273" w:type="pct"/>
                  <w:vMerge w:val="continue"/>
                  <w:tcBorders>
                    <w:tl2br w:val="nil"/>
                    <w:tr2bl w:val="nil"/>
                  </w:tcBorders>
                  <w:vAlign w:val="center"/>
                </w:tcPr>
                <w:p w14:paraId="20FFF1CD">
                  <w:pPr>
                    <w:pStyle w:val="13"/>
                    <w:rPr>
                      <w:color w:val="auto"/>
                      <w:highlight w:val="none"/>
                    </w:rPr>
                  </w:pPr>
                </w:p>
              </w:tc>
              <w:tc>
                <w:tcPr>
                  <w:tcW w:w="252" w:type="pct"/>
                  <w:vMerge w:val="continue"/>
                  <w:tcBorders>
                    <w:tl2br w:val="nil"/>
                    <w:tr2bl w:val="nil"/>
                  </w:tcBorders>
                  <w:vAlign w:val="center"/>
                </w:tcPr>
                <w:p w14:paraId="24812294">
                  <w:pPr>
                    <w:pStyle w:val="13"/>
                    <w:rPr>
                      <w:color w:val="auto"/>
                      <w:highlight w:val="none"/>
                    </w:rPr>
                  </w:pPr>
                </w:p>
              </w:tc>
              <w:tc>
                <w:tcPr>
                  <w:tcW w:w="311" w:type="pct"/>
                  <w:tcBorders>
                    <w:tl2br w:val="nil"/>
                    <w:tr2bl w:val="nil"/>
                  </w:tcBorders>
                  <w:vAlign w:val="center"/>
                </w:tcPr>
                <w:p w14:paraId="4A0AF096">
                  <w:pPr>
                    <w:pStyle w:val="13"/>
                    <w:rPr>
                      <w:color w:val="auto"/>
                      <w:highlight w:val="none"/>
                    </w:rPr>
                  </w:pPr>
                  <w:r>
                    <w:rPr>
                      <w:rFonts w:hint="eastAsia"/>
                      <w:color w:val="auto"/>
                      <w:highlight w:val="none"/>
                    </w:rPr>
                    <w:t>/</w:t>
                  </w:r>
                </w:p>
              </w:tc>
              <w:tc>
                <w:tcPr>
                  <w:tcW w:w="316" w:type="pct"/>
                  <w:tcBorders>
                    <w:tl2br w:val="nil"/>
                    <w:tr2bl w:val="nil"/>
                  </w:tcBorders>
                  <w:vAlign w:val="center"/>
                </w:tcPr>
                <w:p w14:paraId="220FFD99">
                  <w:pPr>
                    <w:pStyle w:val="13"/>
                    <w:rPr>
                      <w:color w:val="auto"/>
                      <w:highlight w:val="none"/>
                    </w:rPr>
                  </w:pPr>
                  <w:r>
                    <w:rPr>
                      <w:rFonts w:hint="eastAsia"/>
                      <w:color w:val="auto"/>
                      <w:highlight w:val="none"/>
                    </w:rPr>
                    <w:t>/</w:t>
                  </w:r>
                </w:p>
              </w:tc>
              <w:tc>
                <w:tcPr>
                  <w:tcW w:w="327" w:type="pct"/>
                  <w:tcBorders>
                    <w:tl2br w:val="nil"/>
                    <w:tr2bl w:val="nil"/>
                  </w:tcBorders>
                  <w:vAlign w:val="center"/>
                </w:tcPr>
                <w:p w14:paraId="4C8F8596">
                  <w:pPr>
                    <w:pStyle w:val="13"/>
                    <w:rPr>
                      <w:color w:val="auto"/>
                      <w:highlight w:val="none"/>
                    </w:rPr>
                  </w:pPr>
                  <w:r>
                    <w:rPr>
                      <w:rFonts w:hint="eastAsia"/>
                      <w:color w:val="auto"/>
                      <w:highlight w:val="none"/>
                    </w:rPr>
                    <w:t>/</w:t>
                  </w:r>
                </w:p>
              </w:tc>
              <w:tc>
                <w:tcPr>
                  <w:tcW w:w="461" w:type="pct"/>
                  <w:vMerge w:val="continue"/>
                  <w:tcBorders>
                    <w:tl2br w:val="nil"/>
                    <w:tr2bl w:val="nil"/>
                  </w:tcBorders>
                  <w:vAlign w:val="center"/>
                </w:tcPr>
                <w:p w14:paraId="01E63B52">
                  <w:pPr>
                    <w:pStyle w:val="13"/>
                    <w:rPr>
                      <w:color w:val="auto"/>
                      <w:highlight w:val="none"/>
                    </w:rPr>
                  </w:pPr>
                </w:p>
              </w:tc>
              <w:tc>
                <w:tcPr>
                  <w:tcW w:w="284" w:type="pct"/>
                  <w:tcBorders>
                    <w:tl2br w:val="nil"/>
                    <w:tr2bl w:val="nil"/>
                  </w:tcBorders>
                  <w:vAlign w:val="center"/>
                </w:tcPr>
                <w:p w14:paraId="762170A3">
                  <w:pPr>
                    <w:pStyle w:val="13"/>
                    <w:rPr>
                      <w:color w:val="auto"/>
                      <w:highlight w:val="none"/>
                    </w:rPr>
                  </w:pPr>
                  <w:r>
                    <w:rPr>
                      <w:rFonts w:hint="eastAsia"/>
                      <w:color w:val="auto"/>
                      <w:highlight w:val="none"/>
                    </w:rPr>
                    <w:t>/</w:t>
                  </w:r>
                </w:p>
              </w:tc>
              <w:tc>
                <w:tcPr>
                  <w:tcW w:w="305" w:type="pct"/>
                  <w:tcBorders>
                    <w:tl2br w:val="nil"/>
                    <w:tr2bl w:val="nil"/>
                  </w:tcBorders>
                  <w:vAlign w:val="center"/>
                </w:tcPr>
                <w:p w14:paraId="6BF6E6A1">
                  <w:pPr>
                    <w:pStyle w:val="13"/>
                    <w:rPr>
                      <w:color w:val="auto"/>
                      <w:highlight w:val="none"/>
                    </w:rPr>
                  </w:pPr>
                  <w:r>
                    <w:rPr>
                      <w:rFonts w:hint="eastAsia"/>
                      <w:color w:val="auto"/>
                      <w:highlight w:val="none"/>
                    </w:rPr>
                    <w:t>/</w:t>
                  </w:r>
                </w:p>
              </w:tc>
              <w:tc>
                <w:tcPr>
                  <w:tcW w:w="294" w:type="pct"/>
                  <w:tcBorders>
                    <w:tl2br w:val="nil"/>
                    <w:tr2bl w:val="nil"/>
                  </w:tcBorders>
                  <w:vAlign w:val="center"/>
                </w:tcPr>
                <w:p w14:paraId="2479B900">
                  <w:pPr>
                    <w:pStyle w:val="13"/>
                    <w:rPr>
                      <w:color w:val="auto"/>
                      <w:highlight w:val="none"/>
                    </w:rPr>
                  </w:pPr>
                  <w:r>
                    <w:rPr>
                      <w:rFonts w:hint="eastAsia"/>
                      <w:color w:val="auto"/>
                      <w:highlight w:val="none"/>
                    </w:rPr>
                    <w:t>/</w:t>
                  </w:r>
                </w:p>
              </w:tc>
              <w:tc>
                <w:tcPr>
                  <w:tcW w:w="339" w:type="pct"/>
                  <w:tcBorders>
                    <w:tl2br w:val="nil"/>
                    <w:tr2bl w:val="nil"/>
                  </w:tcBorders>
                  <w:vAlign w:val="center"/>
                </w:tcPr>
                <w:p w14:paraId="137DF36C">
                  <w:pPr>
                    <w:pStyle w:val="13"/>
                    <w:rPr>
                      <w:color w:val="auto"/>
                      <w:highlight w:val="none"/>
                    </w:rPr>
                  </w:pPr>
                  <w:r>
                    <w:rPr>
                      <w:rFonts w:hint="eastAsia"/>
                      <w:color w:val="auto"/>
                      <w:highlight w:val="none"/>
                    </w:rPr>
                    <w:t>/</w:t>
                  </w:r>
                </w:p>
              </w:tc>
              <w:tc>
                <w:tcPr>
                  <w:tcW w:w="315" w:type="pct"/>
                  <w:vMerge w:val="continue"/>
                  <w:tcBorders>
                    <w:tl2br w:val="nil"/>
                    <w:tr2bl w:val="nil"/>
                  </w:tcBorders>
                  <w:vAlign w:val="center"/>
                </w:tcPr>
                <w:p w14:paraId="67B63C90">
                  <w:pPr>
                    <w:pStyle w:val="13"/>
                    <w:rPr>
                      <w:color w:val="auto"/>
                      <w:highlight w:val="none"/>
                    </w:rPr>
                  </w:pPr>
                </w:p>
              </w:tc>
            </w:tr>
          </w:tbl>
          <w:p w14:paraId="5FECCCEF">
            <w:pPr>
              <w:pStyle w:val="14"/>
              <w:spacing w:before="156"/>
              <w:rPr>
                <w:color w:val="auto"/>
                <w:highlight w:val="none"/>
              </w:rPr>
            </w:pPr>
            <w:r>
              <w:rPr>
                <w:color w:val="auto"/>
                <w:highlight w:val="none"/>
              </w:rPr>
              <w:t>表4-</w:t>
            </w:r>
            <w:r>
              <w:rPr>
                <w:rFonts w:hint="eastAsia"/>
                <w:color w:val="auto"/>
                <w:highlight w:val="none"/>
              </w:rPr>
              <w:t>2</w:t>
            </w:r>
            <w:r>
              <w:rPr>
                <w:color w:val="auto"/>
                <w:highlight w:val="none"/>
              </w:rPr>
              <w:t xml:space="preserve">  项目有组织废气排放口一览表</w:t>
            </w:r>
          </w:p>
          <w:tbl>
            <w:tblPr>
              <w:tblStyle w:val="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5"/>
              <w:gridCol w:w="1570"/>
              <w:gridCol w:w="1640"/>
              <w:gridCol w:w="2810"/>
              <w:gridCol w:w="1688"/>
              <w:gridCol w:w="1522"/>
              <w:gridCol w:w="652"/>
              <w:gridCol w:w="677"/>
              <w:gridCol w:w="764"/>
              <w:gridCol w:w="750"/>
              <w:gridCol w:w="859"/>
            </w:tblGrid>
            <w:tr w14:paraId="141DA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vMerge w:val="restart"/>
                  <w:tcBorders>
                    <w:tl2br w:val="nil"/>
                    <w:tr2bl w:val="nil"/>
                  </w:tcBorders>
                  <w:vAlign w:val="center"/>
                </w:tcPr>
                <w:p w14:paraId="1A7EDAD2">
                  <w:pPr>
                    <w:pStyle w:val="13"/>
                    <w:rPr>
                      <w:b/>
                      <w:bCs/>
                      <w:color w:val="auto"/>
                      <w:highlight w:val="none"/>
                    </w:rPr>
                  </w:pPr>
                  <w:r>
                    <w:rPr>
                      <w:rFonts w:hint="eastAsia"/>
                      <w:b/>
                      <w:bCs/>
                      <w:color w:val="auto"/>
                      <w:highlight w:val="none"/>
                    </w:rPr>
                    <w:t>排放口编号</w:t>
                  </w:r>
                </w:p>
              </w:tc>
              <w:tc>
                <w:tcPr>
                  <w:tcW w:w="561" w:type="pct"/>
                  <w:vMerge w:val="restart"/>
                  <w:tcBorders>
                    <w:tl2br w:val="nil"/>
                    <w:tr2bl w:val="nil"/>
                  </w:tcBorders>
                  <w:vAlign w:val="center"/>
                </w:tcPr>
                <w:p w14:paraId="0F9D76A5">
                  <w:pPr>
                    <w:pStyle w:val="13"/>
                    <w:rPr>
                      <w:b/>
                      <w:bCs/>
                      <w:color w:val="auto"/>
                      <w:highlight w:val="none"/>
                    </w:rPr>
                  </w:pPr>
                  <w:r>
                    <w:rPr>
                      <w:rFonts w:hint="eastAsia"/>
                      <w:b/>
                      <w:bCs/>
                      <w:color w:val="auto"/>
                      <w:highlight w:val="none"/>
                    </w:rPr>
                    <w:t>排放口名称</w:t>
                  </w:r>
                </w:p>
              </w:tc>
              <w:tc>
                <w:tcPr>
                  <w:tcW w:w="586" w:type="pct"/>
                  <w:vMerge w:val="restart"/>
                  <w:tcBorders>
                    <w:tl2br w:val="nil"/>
                    <w:tr2bl w:val="nil"/>
                  </w:tcBorders>
                  <w:vAlign w:val="center"/>
                </w:tcPr>
                <w:p w14:paraId="26DD4EF1">
                  <w:pPr>
                    <w:pStyle w:val="13"/>
                    <w:rPr>
                      <w:b/>
                      <w:bCs/>
                      <w:color w:val="auto"/>
                      <w:highlight w:val="none"/>
                    </w:rPr>
                  </w:pPr>
                  <w:r>
                    <w:rPr>
                      <w:rFonts w:hint="eastAsia"/>
                      <w:b/>
                      <w:bCs/>
                      <w:color w:val="auto"/>
                      <w:highlight w:val="none"/>
                    </w:rPr>
                    <w:t>污染物类型</w:t>
                  </w:r>
                </w:p>
              </w:tc>
              <w:tc>
                <w:tcPr>
                  <w:tcW w:w="2151" w:type="pct"/>
                  <w:gridSpan w:val="3"/>
                  <w:tcBorders>
                    <w:tl2br w:val="nil"/>
                    <w:tr2bl w:val="nil"/>
                  </w:tcBorders>
                  <w:vAlign w:val="center"/>
                </w:tcPr>
                <w:p w14:paraId="132A3378">
                  <w:pPr>
                    <w:pStyle w:val="13"/>
                    <w:rPr>
                      <w:b/>
                      <w:bCs/>
                      <w:color w:val="auto"/>
                      <w:highlight w:val="none"/>
                    </w:rPr>
                  </w:pPr>
                  <w:r>
                    <w:rPr>
                      <w:rFonts w:hint="eastAsia"/>
                      <w:b/>
                      <w:bCs/>
                      <w:color w:val="auto"/>
                      <w:highlight w:val="none"/>
                    </w:rPr>
                    <w:t>排放标准</w:t>
                  </w:r>
                </w:p>
              </w:tc>
              <w:tc>
                <w:tcPr>
                  <w:tcW w:w="748" w:type="pct"/>
                  <w:gridSpan w:val="3"/>
                  <w:tcBorders>
                    <w:tl2br w:val="nil"/>
                    <w:tr2bl w:val="nil"/>
                  </w:tcBorders>
                  <w:vAlign w:val="center"/>
                </w:tcPr>
                <w:p w14:paraId="550533BF">
                  <w:pPr>
                    <w:pStyle w:val="13"/>
                    <w:rPr>
                      <w:b/>
                      <w:bCs/>
                      <w:color w:val="auto"/>
                      <w:highlight w:val="none"/>
                    </w:rPr>
                  </w:pPr>
                  <w:r>
                    <w:rPr>
                      <w:rFonts w:hint="eastAsia"/>
                      <w:b/>
                      <w:bCs/>
                      <w:color w:val="auto"/>
                      <w:highlight w:val="none"/>
                    </w:rPr>
                    <w:t>排气筒参数</w:t>
                  </w:r>
                </w:p>
              </w:tc>
              <w:tc>
                <w:tcPr>
                  <w:tcW w:w="268" w:type="pct"/>
                  <w:vMerge w:val="restart"/>
                  <w:tcBorders>
                    <w:tl2br w:val="nil"/>
                    <w:tr2bl w:val="nil"/>
                  </w:tcBorders>
                  <w:vAlign w:val="center"/>
                </w:tcPr>
                <w:p w14:paraId="439F0638">
                  <w:pPr>
                    <w:pStyle w:val="13"/>
                    <w:rPr>
                      <w:b/>
                      <w:bCs/>
                      <w:color w:val="auto"/>
                      <w:highlight w:val="none"/>
                    </w:rPr>
                  </w:pPr>
                  <w:r>
                    <w:rPr>
                      <w:rFonts w:hint="eastAsia"/>
                      <w:b/>
                      <w:bCs/>
                      <w:color w:val="auto"/>
                      <w:highlight w:val="none"/>
                    </w:rPr>
                    <w:t>达标情况</w:t>
                  </w:r>
                </w:p>
              </w:tc>
              <w:tc>
                <w:tcPr>
                  <w:tcW w:w="307" w:type="pct"/>
                  <w:vMerge w:val="restart"/>
                  <w:tcBorders>
                    <w:tl2br w:val="nil"/>
                    <w:tr2bl w:val="nil"/>
                  </w:tcBorders>
                  <w:vAlign w:val="center"/>
                </w:tcPr>
                <w:p w14:paraId="46BE7865">
                  <w:pPr>
                    <w:pStyle w:val="13"/>
                    <w:rPr>
                      <w:b/>
                      <w:bCs/>
                      <w:color w:val="auto"/>
                      <w:highlight w:val="none"/>
                    </w:rPr>
                  </w:pPr>
                  <w:r>
                    <w:rPr>
                      <w:rFonts w:hint="eastAsia"/>
                      <w:b/>
                      <w:bCs/>
                      <w:color w:val="auto"/>
                      <w:highlight w:val="none"/>
                    </w:rPr>
                    <w:t>排放口类型</w:t>
                  </w:r>
                </w:p>
              </w:tc>
            </w:tr>
            <w:tr w14:paraId="3FF81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vMerge w:val="continue"/>
                  <w:tcBorders>
                    <w:tl2br w:val="nil"/>
                    <w:tr2bl w:val="nil"/>
                  </w:tcBorders>
                  <w:vAlign w:val="center"/>
                </w:tcPr>
                <w:p w14:paraId="501C9CF4">
                  <w:pPr>
                    <w:pStyle w:val="13"/>
                    <w:rPr>
                      <w:b/>
                      <w:bCs/>
                      <w:color w:val="auto"/>
                      <w:highlight w:val="none"/>
                    </w:rPr>
                  </w:pPr>
                </w:p>
              </w:tc>
              <w:tc>
                <w:tcPr>
                  <w:tcW w:w="561" w:type="pct"/>
                  <w:vMerge w:val="continue"/>
                  <w:tcBorders>
                    <w:tl2br w:val="nil"/>
                    <w:tr2bl w:val="nil"/>
                  </w:tcBorders>
                  <w:vAlign w:val="center"/>
                </w:tcPr>
                <w:p w14:paraId="74BE2191">
                  <w:pPr>
                    <w:pStyle w:val="13"/>
                    <w:rPr>
                      <w:b/>
                      <w:bCs/>
                      <w:color w:val="auto"/>
                      <w:highlight w:val="none"/>
                    </w:rPr>
                  </w:pPr>
                </w:p>
              </w:tc>
              <w:tc>
                <w:tcPr>
                  <w:tcW w:w="586" w:type="pct"/>
                  <w:vMerge w:val="continue"/>
                  <w:tcBorders>
                    <w:tl2br w:val="nil"/>
                    <w:tr2bl w:val="nil"/>
                  </w:tcBorders>
                  <w:vAlign w:val="center"/>
                </w:tcPr>
                <w:p w14:paraId="3D1AAB37">
                  <w:pPr>
                    <w:pStyle w:val="13"/>
                    <w:rPr>
                      <w:b/>
                      <w:bCs/>
                      <w:color w:val="auto"/>
                      <w:highlight w:val="none"/>
                    </w:rPr>
                  </w:pPr>
                </w:p>
              </w:tc>
              <w:tc>
                <w:tcPr>
                  <w:tcW w:w="1004" w:type="pct"/>
                  <w:tcBorders>
                    <w:tl2br w:val="nil"/>
                    <w:tr2bl w:val="nil"/>
                  </w:tcBorders>
                  <w:vAlign w:val="center"/>
                </w:tcPr>
                <w:p w14:paraId="43273A6B">
                  <w:pPr>
                    <w:pStyle w:val="13"/>
                    <w:rPr>
                      <w:b/>
                      <w:bCs/>
                      <w:color w:val="auto"/>
                      <w:highlight w:val="none"/>
                    </w:rPr>
                  </w:pPr>
                  <w:r>
                    <w:rPr>
                      <w:rFonts w:hint="eastAsia"/>
                      <w:b/>
                      <w:bCs/>
                      <w:color w:val="auto"/>
                      <w:highlight w:val="none"/>
                    </w:rPr>
                    <w:t>标准名称</w:t>
                  </w:r>
                </w:p>
              </w:tc>
              <w:tc>
                <w:tcPr>
                  <w:tcW w:w="603" w:type="pct"/>
                  <w:tcBorders>
                    <w:tl2br w:val="nil"/>
                    <w:tr2bl w:val="nil"/>
                  </w:tcBorders>
                  <w:vAlign w:val="center"/>
                </w:tcPr>
                <w:p w14:paraId="52F8E1C1">
                  <w:pPr>
                    <w:pStyle w:val="13"/>
                    <w:rPr>
                      <w:b/>
                      <w:bCs/>
                      <w:color w:val="auto"/>
                      <w:highlight w:val="none"/>
                    </w:rPr>
                  </w:pPr>
                  <w:r>
                    <w:rPr>
                      <w:rFonts w:hint="eastAsia"/>
                      <w:b/>
                      <w:bCs/>
                      <w:color w:val="auto"/>
                      <w:highlight w:val="none"/>
                    </w:rPr>
                    <w:t>最高允许排放浓度mg/</w:t>
                  </w:r>
                  <w:r>
                    <w:rPr>
                      <w:b/>
                      <w:bCs/>
                      <w:color w:val="auto"/>
                      <w:highlight w:val="none"/>
                    </w:rPr>
                    <w:t>m³</w:t>
                  </w:r>
                </w:p>
              </w:tc>
              <w:tc>
                <w:tcPr>
                  <w:tcW w:w="544" w:type="pct"/>
                  <w:tcBorders>
                    <w:tl2br w:val="nil"/>
                    <w:tr2bl w:val="nil"/>
                  </w:tcBorders>
                  <w:vAlign w:val="center"/>
                </w:tcPr>
                <w:p w14:paraId="30F97C82">
                  <w:pPr>
                    <w:pStyle w:val="13"/>
                    <w:rPr>
                      <w:b/>
                      <w:bCs/>
                      <w:color w:val="auto"/>
                      <w:highlight w:val="none"/>
                    </w:rPr>
                  </w:pPr>
                  <w:r>
                    <w:rPr>
                      <w:rFonts w:hint="eastAsia"/>
                      <w:b/>
                      <w:bCs/>
                      <w:color w:val="auto"/>
                      <w:highlight w:val="none"/>
                    </w:rPr>
                    <w:t>最高允许排放速率kg/h</w:t>
                  </w:r>
                </w:p>
              </w:tc>
              <w:tc>
                <w:tcPr>
                  <w:tcW w:w="233" w:type="pct"/>
                  <w:tcBorders>
                    <w:tl2br w:val="nil"/>
                    <w:tr2bl w:val="nil"/>
                  </w:tcBorders>
                  <w:vAlign w:val="center"/>
                </w:tcPr>
                <w:p w14:paraId="6E2A676F">
                  <w:pPr>
                    <w:pStyle w:val="13"/>
                    <w:rPr>
                      <w:b/>
                      <w:bCs/>
                      <w:color w:val="auto"/>
                      <w:highlight w:val="none"/>
                    </w:rPr>
                  </w:pPr>
                  <w:r>
                    <w:rPr>
                      <w:rFonts w:hint="eastAsia"/>
                      <w:b/>
                      <w:bCs/>
                      <w:color w:val="auto"/>
                      <w:highlight w:val="none"/>
                    </w:rPr>
                    <w:t>高度m</w:t>
                  </w:r>
                </w:p>
              </w:tc>
              <w:tc>
                <w:tcPr>
                  <w:tcW w:w="242" w:type="pct"/>
                  <w:tcBorders>
                    <w:tl2br w:val="nil"/>
                    <w:tr2bl w:val="nil"/>
                  </w:tcBorders>
                  <w:vAlign w:val="center"/>
                </w:tcPr>
                <w:p w14:paraId="6BCEEFDA">
                  <w:pPr>
                    <w:pStyle w:val="13"/>
                    <w:rPr>
                      <w:b/>
                      <w:bCs/>
                      <w:color w:val="auto"/>
                      <w:highlight w:val="none"/>
                    </w:rPr>
                  </w:pPr>
                  <w:r>
                    <w:rPr>
                      <w:rFonts w:hint="eastAsia"/>
                      <w:b/>
                      <w:bCs/>
                      <w:color w:val="auto"/>
                      <w:highlight w:val="none"/>
                    </w:rPr>
                    <w:t>内径m</w:t>
                  </w:r>
                </w:p>
              </w:tc>
              <w:tc>
                <w:tcPr>
                  <w:tcW w:w="273" w:type="pct"/>
                  <w:tcBorders>
                    <w:tl2br w:val="nil"/>
                    <w:tr2bl w:val="nil"/>
                  </w:tcBorders>
                  <w:vAlign w:val="center"/>
                </w:tcPr>
                <w:p w14:paraId="7CD47900">
                  <w:pPr>
                    <w:pStyle w:val="13"/>
                    <w:rPr>
                      <w:b/>
                      <w:bCs/>
                      <w:color w:val="auto"/>
                      <w:highlight w:val="none"/>
                    </w:rPr>
                  </w:pPr>
                  <w:r>
                    <w:rPr>
                      <w:rFonts w:hint="eastAsia"/>
                      <w:b/>
                      <w:bCs/>
                      <w:color w:val="auto"/>
                      <w:highlight w:val="none"/>
                    </w:rPr>
                    <w:t>温度</w:t>
                  </w:r>
                  <w:r>
                    <w:rPr>
                      <w:b/>
                      <w:bCs/>
                      <w:color w:val="auto"/>
                      <w:highlight w:val="none"/>
                    </w:rPr>
                    <w:t>℃</w:t>
                  </w:r>
                </w:p>
              </w:tc>
              <w:tc>
                <w:tcPr>
                  <w:tcW w:w="268" w:type="pct"/>
                  <w:vMerge w:val="continue"/>
                  <w:tcBorders>
                    <w:tl2br w:val="nil"/>
                    <w:tr2bl w:val="nil"/>
                  </w:tcBorders>
                  <w:vAlign w:val="center"/>
                </w:tcPr>
                <w:p w14:paraId="7E32EA1C">
                  <w:pPr>
                    <w:pStyle w:val="13"/>
                    <w:rPr>
                      <w:color w:val="auto"/>
                      <w:highlight w:val="none"/>
                    </w:rPr>
                  </w:pPr>
                </w:p>
              </w:tc>
              <w:tc>
                <w:tcPr>
                  <w:tcW w:w="307" w:type="pct"/>
                  <w:vMerge w:val="continue"/>
                  <w:tcBorders>
                    <w:tl2br w:val="nil"/>
                    <w:tr2bl w:val="nil"/>
                  </w:tcBorders>
                  <w:vAlign w:val="center"/>
                </w:tcPr>
                <w:p w14:paraId="024C30C8">
                  <w:pPr>
                    <w:pStyle w:val="13"/>
                    <w:rPr>
                      <w:color w:val="auto"/>
                      <w:highlight w:val="none"/>
                    </w:rPr>
                  </w:pPr>
                </w:p>
              </w:tc>
            </w:tr>
            <w:tr w14:paraId="5EDCC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tcBorders>
                    <w:tl2br w:val="nil"/>
                    <w:tr2bl w:val="nil"/>
                  </w:tcBorders>
                  <w:vAlign w:val="center"/>
                </w:tcPr>
                <w:p w14:paraId="2CC3915F">
                  <w:pPr>
                    <w:pStyle w:val="13"/>
                    <w:rPr>
                      <w:color w:val="auto"/>
                      <w:highlight w:val="none"/>
                    </w:rPr>
                  </w:pPr>
                  <w:r>
                    <w:rPr>
                      <w:rFonts w:hint="eastAsia"/>
                      <w:color w:val="auto"/>
                      <w:highlight w:val="none"/>
                    </w:rPr>
                    <w:t>DA001</w:t>
                  </w:r>
                </w:p>
              </w:tc>
              <w:tc>
                <w:tcPr>
                  <w:tcW w:w="561" w:type="pct"/>
                  <w:tcBorders>
                    <w:tl2br w:val="nil"/>
                    <w:tr2bl w:val="nil"/>
                  </w:tcBorders>
                  <w:vAlign w:val="center"/>
                </w:tcPr>
                <w:p w14:paraId="65ACB8A2">
                  <w:pPr>
                    <w:pStyle w:val="13"/>
                    <w:rPr>
                      <w:color w:val="auto"/>
                      <w:highlight w:val="none"/>
                    </w:rPr>
                  </w:pPr>
                  <w:r>
                    <w:rPr>
                      <w:rFonts w:hint="eastAsia"/>
                      <w:color w:val="auto"/>
                      <w:highlight w:val="none"/>
                    </w:rPr>
                    <w:t>DA001排放口</w:t>
                  </w:r>
                </w:p>
              </w:tc>
              <w:tc>
                <w:tcPr>
                  <w:tcW w:w="586" w:type="pct"/>
                  <w:tcBorders>
                    <w:tl2br w:val="nil"/>
                    <w:tr2bl w:val="nil"/>
                  </w:tcBorders>
                  <w:vAlign w:val="center"/>
                </w:tcPr>
                <w:p w14:paraId="2E3417DD">
                  <w:pPr>
                    <w:pStyle w:val="13"/>
                    <w:rPr>
                      <w:color w:val="auto"/>
                      <w:highlight w:val="none"/>
                    </w:rPr>
                  </w:pPr>
                  <w:r>
                    <w:rPr>
                      <w:rFonts w:hint="eastAsia"/>
                      <w:color w:val="auto"/>
                      <w:highlight w:val="none"/>
                    </w:rPr>
                    <w:t>颗粒物</w:t>
                  </w:r>
                </w:p>
              </w:tc>
              <w:tc>
                <w:tcPr>
                  <w:tcW w:w="1004" w:type="pct"/>
                  <w:tcBorders>
                    <w:tl2br w:val="nil"/>
                    <w:tr2bl w:val="nil"/>
                  </w:tcBorders>
                  <w:vAlign w:val="center"/>
                </w:tcPr>
                <w:p w14:paraId="1F843A2D">
                  <w:pPr>
                    <w:pStyle w:val="13"/>
                    <w:rPr>
                      <w:color w:val="auto"/>
                      <w:highlight w:val="none"/>
                    </w:rPr>
                  </w:pPr>
                  <w:r>
                    <w:rPr>
                      <w:rFonts w:hint="eastAsia"/>
                      <w:color w:val="auto"/>
                      <w:highlight w:val="none"/>
                    </w:rPr>
                    <w:t>《大气污染物综合排放标准》（GB 16297-1996）</w:t>
                  </w:r>
                </w:p>
              </w:tc>
              <w:tc>
                <w:tcPr>
                  <w:tcW w:w="603" w:type="pct"/>
                  <w:tcBorders>
                    <w:tl2br w:val="nil"/>
                    <w:tr2bl w:val="nil"/>
                  </w:tcBorders>
                  <w:vAlign w:val="center"/>
                </w:tcPr>
                <w:p w14:paraId="2EB88F5D">
                  <w:pPr>
                    <w:pStyle w:val="13"/>
                    <w:rPr>
                      <w:color w:val="auto"/>
                      <w:highlight w:val="none"/>
                    </w:rPr>
                  </w:pPr>
                  <w:r>
                    <w:rPr>
                      <w:rFonts w:hint="eastAsia"/>
                      <w:color w:val="auto"/>
                      <w:highlight w:val="none"/>
                    </w:rPr>
                    <w:t>120</w:t>
                  </w:r>
                </w:p>
              </w:tc>
              <w:tc>
                <w:tcPr>
                  <w:tcW w:w="544" w:type="pct"/>
                  <w:tcBorders>
                    <w:tl2br w:val="nil"/>
                    <w:tr2bl w:val="nil"/>
                  </w:tcBorders>
                  <w:vAlign w:val="center"/>
                </w:tcPr>
                <w:p w14:paraId="7960B368">
                  <w:pPr>
                    <w:pStyle w:val="13"/>
                    <w:rPr>
                      <w:color w:val="auto"/>
                      <w:highlight w:val="none"/>
                    </w:rPr>
                  </w:pPr>
                  <w:r>
                    <w:rPr>
                      <w:rFonts w:hint="eastAsia"/>
                      <w:color w:val="auto"/>
                      <w:highlight w:val="none"/>
                    </w:rPr>
                    <w:t>3.5</w:t>
                  </w:r>
                </w:p>
              </w:tc>
              <w:tc>
                <w:tcPr>
                  <w:tcW w:w="233" w:type="pct"/>
                  <w:tcBorders>
                    <w:tl2br w:val="nil"/>
                    <w:tr2bl w:val="nil"/>
                  </w:tcBorders>
                  <w:vAlign w:val="center"/>
                </w:tcPr>
                <w:p w14:paraId="0DCF87B5">
                  <w:pPr>
                    <w:pStyle w:val="13"/>
                    <w:rPr>
                      <w:color w:val="auto"/>
                      <w:highlight w:val="none"/>
                    </w:rPr>
                  </w:pPr>
                  <w:r>
                    <w:rPr>
                      <w:color w:val="auto"/>
                      <w:highlight w:val="none"/>
                    </w:rPr>
                    <w:t>15</w:t>
                  </w:r>
                </w:p>
              </w:tc>
              <w:tc>
                <w:tcPr>
                  <w:tcW w:w="242" w:type="pct"/>
                  <w:tcBorders>
                    <w:tl2br w:val="nil"/>
                    <w:tr2bl w:val="nil"/>
                  </w:tcBorders>
                  <w:vAlign w:val="center"/>
                </w:tcPr>
                <w:p w14:paraId="6D95E605">
                  <w:pPr>
                    <w:pStyle w:val="13"/>
                    <w:rPr>
                      <w:color w:val="auto"/>
                      <w:highlight w:val="none"/>
                    </w:rPr>
                  </w:pPr>
                  <w:r>
                    <w:rPr>
                      <w:rFonts w:hint="eastAsia"/>
                      <w:color w:val="auto"/>
                      <w:highlight w:val="none"/>
                    </w:rPr>
                    <w:t>0.8</w:t>
                  </w:r>
                </w:p>
              </w:tc>
              <w:tc>
                <w:tcPr>
                  <w:tcW w:w="273" w:type="pct"/>
                  <w:tcBorders>
                    <w:tl2br w:val="nil"/>
                    <w:tr2bl w:val="nil"/>
                  </w:tcBorders>
                  <w:vAlign w:val="center"/>
                </w:tcPr>
                <w:p w14:paraId="2AA641A8">
                  <w:pPr>
                    <w:pStyle w:val="13"/>
                    <w:rPr>
                      <w:color w:val="auto"/>
                      <w:highlight w:val="none"/>
                    </w:rPr>
                  </w:pPr>
                  <w:r>
                    <w:rPr>
                      <w:rFonts w:hint="eastAsia"/>
                      <w:color w:val="auto"/>
                      <w:highlight w:val="none"/>
                    </w:rPr>
                    <w:t>25</w:t>
                  </w:r>
                </w:p>
              </w:tc>
              <w:tc>
                <w:tcPr>
                  <w:tcW w:w="268" w:type="pct"/>
                  <w:tcBorders>
                    <w:tl2br w:val="nil"/>
                    <w:tr2bl w:val="nil"/>
                  </w:tcBorders>
                  <w:vAlign w:val="center"/>
                </w:tcPr>
                <w:p w14:paraId="47319CFA">
                  <w:pPr>
                    <w:pStyle w:val="13"/>
                    <w:rPr>
                      <w:color w:val="auto"/>
                      <w:highlight w:val="none"/>
                    </w:rPr>
                  </w:pPr>
                  <w:r>
                    <w:rPr>
                      <w:rFonts w:hint="eastAsia"/>
                      <w:color w:val="auto"/>
                      <w:highlight w:val="none"/>
                    </w:rPr>
                    <w:t>达标</w:t>
                  </w:r>
                </w:p>
              </w:tc>
              <w:tc>
                <w:tcPr>
                  <w:tcW w:w="307" w:type="pct"/>
                  <w:tcBorders>
                    <w:tl2br w:val="nil"/>
                    <w:tr2bl w:val="nil"/>
                  </w:tcBorders>
                  <w:vAlign w:val="center"/>
                </w:tcPr>
                <w:p w14:paraId="555FFF95">
                  <w:pPr>
                    <w:pStyle w:val="13"/>
                    <w:rPr>
                      <w:color w:val="auto"/>
                      <w:highlight w:val="none"/>
                    </w:rPr>
                  </w:pPr>
                  <w:r>
                    <w:rPr>
                      <w:rFonts w:hint="eastAsia"/>
                      <w:color w:val="auto"/>
                      <w:highlight w:val="none"/>
                    </w:rPr>
                    <w:t>一般排放口</w:t>
                  </w:r>
                </w:p>
              </w:tc>
            </w:tr>
            <w:tr w14:paraId="0EA32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tcBorders>
                    <w:tl2br w:val="nil"/>
                    <w:tr2bl w:val="nil"/>
                  </w:tcBorders>
                  <w:vAlign w:val="center"/>
                </w:tcPr>
                <w:p w14:paraId="578BD44D">
                  <w:pPr>
                    <w:pStyle w:val="13"/>
                    <w:rPr>
                      <w:color w:val="auto"/>
                      <w:highlight w:val="none"/>
                    </w:rPr>
                  </w:pPr>
                  <w:r>
                    <w:rPr>
                      <w:rFonts w:hint="eastAsia"/>
                      <w:color w:val="auto"/>
                      <w:highlight w:val="none"/>
                    </w:rPr>
                    <w:t>DA002</w:t>
                  </w:r>
                </w:p>
              </w:tc>
              <w:tc>
                <w:tcPr>
                  <w:tcW w:w="561" w:type="pct"/>
                  <w:tcBorders>
                    <w:tl2br w:val="nil"/>
                    <w:tr2bl w:val="nil"/>
                  </w:tcBorders>
                  <w:vAlign w:val="center"/>
                </w:tcPr>
                <w:p w14:paraId="2A5C6ACF">
                  <w:pPr>
                    <w:pStyle w:val="13"/>
                    <w:rPr>
                      <w:color w:val="auto"/>
                      <w:highlight w:val="none"/>
                    </w:rPr>
                  </w:pPr>
                  <w:r>
                    <w:rPr>
                      <w:rFonts w:hint="eastAsia"/>
                      <w:color w:val="auto"/>
                      <w:highlight w:val="none"/>
                    </w:rPr>
                    <w:t>DA002排放口</w:t>
                  </w:r>
                </w:p>
              </w:tc>
              <w:tc>
                <w:tcPr>
                  <w:tcW w:w="586" w:type="pct"/>
                  <w:tcBorders>
                    <w:tl2br w:val="nil"/>
                    <w:tr2bl w:val="nil"/>
                  </w:tcBorders>
                  <w:vAlign w:val="center"/>
                </w:tcPr>
                <w:p w14:paraId="367A6310">
                  <w:pPr>
                    <w:pStyle w:val="13"/>
                    <w:rPr>
                      <w:color w:val="auto"/>
                      <w:highlight w:val="none"/>
                    </w:rPr>
                  </w:pPr>
                  <w:r>
                    <w:rPr>
                      <w:rFonts w:hint="eastAsia"/>
                      <w:color w:val="auto"/>
                      <w:highlight w:val="none"/>
                    </w:rPr>
                    <w:t>颗粒物</w:t>
                  </w:r>
                </w:p>
              </w:tc>
              <w:tc>
                <w:tcPr>
                  <w:tcW w:w="1004" w:type="pct"/>
                  <w:tcBorders>
                    <w:tl2br w:val="nil"/>
                    <w:tr2bl w:val="nil"/>
                  </w:tcBorders>
                  <w:vAlign w:val="center"/>
                </w:tcPr>
                <w:p w14:paraId="10372AD1">
                  <w:pPr>
                    <w:pStyle w:val="13"/>
                    <w:rPr>
                      <w:color w:val="auto"/>
                      <w:highlight w:val="none"/>
                    </w:rPr>
                  </w:pPr>
                  <w:r>
                    <w:rPr>
                      <w:rFonts w:hint="eastAsia"/>
                      <w:color w:val="auto"/>
                      <w:highlight w:val="none"/>
                    </w:rPr>
                    <w:t>《大气污染物综合排放标准》（GB 16297-1996）</w:t>
                  </w:r>
                </w:p>
              </w:tc>
              <w:tc>
                <w:tcPr>
                  <w:tcW w:w="603" w:type="pct"/>
                  <w:tcBorders>
                    <w:tl2br w:val="nil"/>
                    <w:tr2bl w:val="nil"/>
                  </w:tcBorders>
                  <w:vAlign w:val="center"/>
                </w:tcPr>
                <w:p w14:paraId="207F44D4">
                  <w:pPr>
                    <w:pStyle w:val="13"/>
                    <w:rPr>
                      <w:color w:val="auto"/>
                      <w:highlight w:val="none"/>
                    </w:rPr>
                  </w:pPr>
                  <w:r>
                    <w:rPr>
                      <w:rFonts w:hint="eastAsia"/>
                      <w:color w:val="auto"/>
                      <w:highlight w:val="none"/>
                    </w:rPr>
                    <w:t>120</w:t>
                  </w:r>
                </w:p>
              </w:tc>
              <w:tc>
                <w:tcPr>
                  <w:tcW w:w="544" w:type="pct"/>
                  <w:tcBorders>
                    <w:tl2br w:val="nil"/>
                    <w:tr2bl w:val="nil"/>
                  </w:tcBorders>
                  <w:vAlign w:val="center"/>
                </w:tcPr>
                <w:p w14:paraId="4D8031BC">
                  <w:pPr>
                    <w:pStyle w:val="13"/>
                    <w:rPr>
                      <w:color w:val="auto"/>
                      <w:highlight w:val="none"/>
                    </w:rPr>
                  </w:pPr>
                  <w:r>
                    <w:rPr>
                      <w:rFonts w:hint="eastAsia"/>
                      <w:color w:val="auto"/>
                      <w:highlight w:val="none"/>
                    </w:rPr>
                    <w:t>3.5</w:t>
                  </w:r>
                </w:p>
              </w:tc>
              <w:tc>
                <w:tcPr>
                  <w:tcW w:w="233" w:type="pct"/>
                  <w:tcBorders>
                    <w:tl2br w:val="nil"/>
                    <w:tr2bl w:val="nil"/>
                  </w:tcBorders>
                  <w:vAlign w:val="center"/>
                </w:tcPr>
                <w:p w14:paraId="4A00E664">
                  <w:pPr>
                    <w:pStyle w:val="13"/>
                    <w:rPr>
                      <w:color w:val="auto"/>
                      <w:highlight w:val="none"/>
                    </w:rPr>
                  </w:pPr>
                  <w:r>
                    <w:rPr>
                      <w:color w:val="auto"/>
                      <w:highlight w:val="none"/>
                    </w:rPr>
                    <w:t>15</w:t>
                  </w:r>
                </w:p>
              </w:tc>
              <w:tc>
                <w:tcPr>
                  <w:tcW w:w="242" w:type="pct"/>
                  <w:tcBorders>
                    <w:tl2br w:val="nil"/>
                    <w:tr2bl w:val="nil"/>
                  </w:tcBorders>
                  <w:vAlign w:val="center"/>
                </w:tcPr>
                <w:p w14:paraId="1F937627">
                  <w:pPr>
                    <w:pStyle w:val="13"/>
                    <w:rPr>
                      <w:color w:val="auto"/>
                      <w:highlight w:val="none"/>
                    </w:rPr>
                  </w:pPr>
                  <w:r>
                    <w:rPr>
                      <w:rFonts w:hint="eastAsia"/>
                      <w:color w:val="auto"/>
                      <w:highlight w:val="none"/>
                    </w:rPr>
                    <w:t>0.45</w:t>
                  </w:r>
                </w:p>
              </w:tc>
              <w:tc>
                <w:tcPr>
                  <w:tcW w:w="273" w:type="pct"/>
                  <w:tcBorders>
                    <w:tl2br w:val="nil"/>
                    <w:tr2bl w:val="nil"/>
                  </w:tcBorders>
                  <w:vAlign w:val="center"/>
                </w:tcPr>
                <w:p w14:paraId="77287840">
                  <w:pPr>
                    <w:pStyle w:val="13"/>
                    <w:rPr>
                      <w:color w:val="auto"/>
                      <w:highlight w:val="none"/>
                    </w:rPr>
                  </w:pPr>
                  <w:r>
                    <w:rPr>
                      <w:rFonts w:hint="eastAsia"/>
                      <w:color w:val="auto"/>
                      <w:highlight w:val="none"/>
                    </w:rPr>
                    <w:t>25</w:t>
                  </w:r>
                </w:p>
              </w:tc>
              <w:tc>
                <w:tcPr>
                  <w:tcW w:w="268" w:type="pct"/>
                  <w:tcBorders>
                    <w:tl2br w:val="nil"/>
                    <w:tr2bl w:val="nil"/>
                  </w:tcBorders>
                  <w:vAlign w:val="center"/>
                </w:tcPr>
                <w:p w14:paraId="669A3765">
                  <w:pPr>
                    <w:pStyle w:val="13"/>
                    <w:rPr>
                      <w:color w:val="auto"/>
                      <w:highlight w:val="none"/>
                    </w:rPr>
                  </w:pPr>
                  <w:r>
                    <w:rPr>
                      <w:rFonts w:hint="eastAsia"/>
                      <w:color w:val="auto"/>
                      <w:highlight w:val="none"/>
                    </w:rPr>
                    <w:t>达标</w:t>
                  </w:r>
                </w:p>
              </w:tc>
              <w:tc>
                <w:tcPr>
                  <w:tcW w:w="307" w:type="pct"/>
                  <w:tcBorders>
                    <w:tl2br w:val="nil"/>
                    <w:tr2bl w:val="nil"/>
                  </w:tcBorders>
                  <w:vAlign w:val="center"/>
                </w:tcPr>
                <w:p w14:paraId="454BF92E">
                  <w:pPr>
                    <w:pStyle w:val="13"/>
                    <w:rPr>
                      <w:color w:val="auto"/>
                      <w:highlight w:val="none"/>
                    </w:rPr>
                  </w:pPr>
                  <w:r>
                    <w:rPr>
                      <w:rFonts w:hint="eastAsia"/>
                      <w:color w:val="auto"/>
                      <w:highlight w:val="none"/>
                    </w:rPr>
                    <w:t>一般排放口</w:t>
                  </w:r>
                </w:p>
              </w:tc>
            </w:tr>
            <w:tr w14:paraId="0E8EA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7" w:type="pct"/>
                  <w:tcBorders>
                    <w:tl2br w:val="nil"/>
                    <w:tr2bl w:val="nil"/>
                  </w:tcBorders>
                  <w:vAlign w:val="center"/>
                </w:tcPr>
                <w:p w14:paraId="6382B277">
                  <w:pPr>
                    <w:pStyle w:val="13"/>
                    <w:rPr>
                      <w:color w:val="auto"/>
                      <w:highlight w:val="none"/>
                    </w:rPr>
                  </w:pPr>
                  <w:r>
                    <w:rPr>
                      <w:rFonts w:hint="eastAsia"/>
                      <w:color w:val="auto"/>
                      <w:highlight w:val="none"/>
                    </w:rPr>
                    <w:t>DA003</w:t>
                  </w:r>
                </w:p>
              </w:tc>
              <w:tc>
                <w:tcPr>
                  <w:tcW w:w="561" w:type="pct"/>
                  <w:tcBorders>
                    <w:tl2br w:val="nil"/>
                    <w:tr2bl w:val="nil"/>
                  </w:tcBorders>
                  <w:vAlign w:val="center"/>
                </w:tcPr>
                <w:p w14:paraId="1DD22955">
                  <w:pPr>
                    <w:pStyle w:val="13"/>
                    <w:rPr>
                      <w:color w:val="auto"/>
                      <w:highlight w:val="none"/>
                    </w:rPr>
                  </w:pPr>
                  <w:r>
                    <w:rPr>
                      <w:rFonts w:hint="eastAsia"/>
                      <w:color w:val="auto"/>
                      <w:highlight w:val="none"/>
                    </w:rPr>
                    <w:t>DA003排放口</w:t>
                  </w:r>
                </w:p>
              </w:tc>
              <w:tc>
                <w:tcPr>
                  <w:tcW w:w="586" w:type="pct"/>
                  <w:tcBorders>
                    <w:tl2br w:val="nil"/>
                    <w:tr2bl w:val="nil"/>
                  </w:tcBorders>
                  <w:vAlign w:val="center"/>
                </w:tcPr>
                <w:p w14:paraId="1C146AE7">
                  <w:pPr>
                    <w:pStyle w:val="13"/>
                    <w:rPr>
                      <w:color w:val="auto"/>
                      <w:highlight w:val="none"/>
                    </w:rPr>
                  </w:pPr>
                  <w:r>
                    <w:rPr>
                      <w:rFonts w:hint="eastAsia"/>
                      <w:color w:val="auto"/>
                      <w:highlight w:val="none"/>
                    </w:rPr>
                    <w:t>颗粒物、二氧化硫、氮氧化物、烟气黑度</w:t>
                  </w:r>
                </w:p>
              </w:tc>
              <w:tc>
                <w:tcPr>
                  <w:tcW w:w="1004" w:type="pct"/>
                  <w:tcBorders>
                    <w:tl2br w:val="nil"/>
                    <w:tr2bl w:val="nil"/>
                  </w:tcBorders>
                  <w:vAlign w:val="center"/>
                </w:tcPr>
                <w:p w14:paraId="17C9C8BB">
                  <w:pPr>
                    <w:pStyle w:val="13"/>
                    <w:rPr>
                      <w:color w:val="auto"/>
                      <w:highlight w:val="none"/>
                    </w:rPr>
                  </w:pPr>
                  <w:r>
                    <w:rPr>
                      <w:rFonts w:hint="eastAsia"/>
                      <w:color w:val="auto"/>
                      <w:highlight w:val="none"/>
                    </w:rPr>
                    <w:t>《锅炉大气污染物排放标准》（GB13271-2014）</w:t>
                  </w:r>
                </w:p>
              </w:tc>
              <w:tc>
                <w:tcPr>
                  <w:tcW w:w="603" w:type="pct"/>
                  <w:tcBorders>
                    <w:tl2br w:val="nil"/>
                    <w:tr2bl w:val="nil"/>
                  </w:tcBorders>
                  <w:vAlign w:val="center"/>
                </w:tcPr>
                <w:p w14:paraId="5F05905E">
                  <w:pPr>
                    <w:pStyle w:val="13"/>
                    <w:rPr>
                      <w:color w:val="auto"/>
                      <w:highlight w:val="none"/>
                    </w:rPr>
                  </w:pPr>
                  <w:r>
                    <w:rPr>
                      <w:rFonts w:hint="eastAsia"/>
                      <w:color w:val="auto"/>
                      <w:highlight w:val="none"/>
                    </w:rPr>
                    <w:t>颗粒物</w:t>
                  </w:r>
                  <w:r>
                    <w:rPr>
                      <w:rFonts w:hint="eastAsia"/>
                      <w:color w:val="auto"/>
                      <w:highlight w:val="none"/>
                      <w:lang w:val="en-US" w:eastAsia="zh-CN"/>
                    </w:rPr>
                    <w:t>5</w:t>
                  </w:r>
                  <w:r>
                    <w:rPr>
                      <w:rFonts w:hint="eastAsia"/>
                      <w:color w:val="auto"/>
                      <w:highlight w:val="none"/>
                    </w:rPr>
                    <w:t>0</w:t>
                  </w:r>
                </w:p>
                <w:p w14:paraId="024A2915">
                  <w:pPr>
                    <w:pStyle w:val="13"/>
                    <w:rPr>
                      <w:color w:val="auto"/>
                      <w:highlight w:val="none"/>
                    </w:rPr>
                  </w:pPr>
                  <w:r>
                    <w:rPr>
                      <w:rFonts w:hint="eastAsia"/>
                      <w:color w:val="auto"/>
                      <w:highlight w:val="none"/>
                    </w:rPr>
                    <w:t>二氧化硫</w:t>
                  </w:r>
                  <w:r>
                    <w:rPr>
                      <w:rFonts w:hint="eastAsia"/>
                      <w:color w:val="auto"/>
                      <w:highlight w:val="none"/>
                      <w:lang w:val="en-US" w:eastAsia="zh-CN"/>
                    </w:rPr>
                    <w:t>3</w:t>
                  </w:r>
                  <w:r>
                    <w:rPr>
                      <w:rFonts w:hint="eastAsia"/>
                      <w:color w:val="auto"/>
                      <w:highlight w:val="none"/>
                    </w:rPr>
                    <w:t>00</w:t>
                  </w:r>
                </w:p>
                <w:p w14:paraId="04350D83">
                  <w:pPr>
                    <w:pStyle w:val="13"/>
                    <w:rPr>
                      <w:color w:val="auto"/>
                      <w:highlight w:val="none"/>
                    </w:rPr>
                  </w:pPr>
                  <w:r>
                    <w:rPr>
                      <w:rFonts w:hint="eastAsia"/>
                      <w:color w:val="auto"/>
                      <w:highlight w:val="none"/>
                    </w:rPr>
                    <w:t>氮氧化物</w:t>
                  </w:r>
                  <w:r>
                    <w:rPr>
                      <w:rFonts w:hint="eastAsia"/>
                      <w:color w:val="auto"/>
                      <w:highlight w:val="none"/>
                      <w:lang w:val="en-US" w:eastAsia="zh-CN"/>
                    </w:rPr>
                    <w:t>3</w:t>
                  </w:r>
                  <w:r>
                    <w:rPr>
                      <w:rFonts w:hint="eastAsia"/>
                      <w:color w:val="auto"/>
                      <w:highlight w:val="none"/>
                    </w:rPr>
                    <w:t>00</w:t>
                  </w:r>
                </w:p>
                <w:p w14:paraId="68077B64">
                  <w:pPr>
                    <w:pStyle w:val="13"/>
                    <w:rPr>
                      <w:rFonts w:hint="eastAsia" w:eastAsia="微软雅黑"/>
                      <w:color w:val="auto"/>
                      <w:highlight w:val="none"/>
                      <w:lang w:val="en-US" w:eastAsia="zh-CN"/>
                    </w:rPr>
                  </w:pPr>
                  <w:r>
                    <w:rPr>
                      <w:rFonts w:hint="eastAsia"/>
                      <w:color w:val="auto"/>
                      <w:highlight w:val="none"/>
                    </w:rPr>
                    <w:t>烟气黑度</w:t>
                  </w:r>
                  <w:r>
                    <w:rPr>
                      <w:rFonts w:eastAsia="微软雅黑" w:cs="Times New Roman"/>
                      <w:color w:val="auto"/>
                      <w:highlight w:val="none"/>
                    </w:rPr>
                    <w:t>≤</w:t>
                  </w:r>
                  <w:r>
                    <w:rPr>
                      <w:rFonts w:hint="eastAsia" w:eastAsia="微软雅黑" w:cs="Times New Roman"/>
                      <w:color w:val="auto"/>
                      <w:highlight w:val="none"/>
                      <w:lang w:val="en-US" w:eastAsia="zh-CN"/>
                    </w:rPr>
                    <w:t>1</w:t>
                  </w:r>
                </w:p>
              </w:tc>
              <w:tc>
                <w:tcPr>
                  <w:tcW w:w="544" w:type="pct"/>
                  <w:tcBorders>
                    <w:tl2br w:val="nil"/>
                    <w:tr2bl w:val="nil"/>
                  </w:tcBorders>
                  <w:vAlign w:val="center"/>
                </w:tcPr>
                <w:p w14:paraId="69256CD5">
                  <w:pPr>
                    <w:pStyle w:val="13"/>
                    <w:rPr>
                      <w:color w:val="auto"/>
                      <w:highlight w:val="none"/>
                    </w:rPr>
                  </w:pPr>
                  <w:r>
                    <w:rPr>
                      <w:rFonts w:hint="eastAsia"/>
                      <w:color w:val="auto"/>
                      <w:highlight w:val="none"/>
                    </w:rPr>
                    <w:t>/</w:t>
                  </w:r>
                </w:p>
              </w:tc>
              <w:tc>
                <w:tcPr>
                  <w:tcW w:w="233" w:type="pct"/>
                  <w:tcBorders>
                    <w:tl2br w:val="nil"/>
                    <w:tr2bl w:val="nil"/>
                  </w:tcBorders>
                  <w:vAlign w:val="center"/>
                </w:tcPr>
                <w:p w14:paraId="15E4EFFE">
                  <w:pPr>
                    <w:pStyle w:val="13"/>
                    <w:rPr>
                      <w:color w:val="auto"/>
                      <w:highlight w:val="none"/>
                    </w:rPr>
                  </w:pPr>
                  <w:r>
                    <w:rPr>
                      <w:rFonts w:hint="eastAsia"/>
                      <w:color w:val="auto"/>
                      <w:highlight w:val="none"/>
                    </w:rPr>
                    <w:t>30</w:t>
                  </w:r>
                </w:p>
              </w:tc>
              <w:tc>
                <w:tcPr>
                  <w:tcW w:w="242" w:type="pct"/>
                  <w:tcBorders>
                    <w:tl2br w:val="nil"/>
                    <w:tr2bl w:val="nil"/>
                  </w:tcBorders>
                  <w:vAlign w:val="center"/>
                </w:tcPr>
                <w:p w14:paraId="326B52E7">
                  <w:pPr>
                    <w:pStyle w:val="13"/>
                    <w:rPr>
                      <w:color w:val="auto"/>
                      <w:highlight w:val="none"/>
                    </w:rPr>
                  </w:pPr>
                  <w:r>
                    <w:rPr>
                      <w:rFonts w:hint="eastAsia"/>
                      <w:color w:val="auto"/>
                      <w:highlight w:val="none"/>
                    </w:rPr>
                    <w:t>0.35</w:t>
                  </w:r>
                </w:p>
              </w:tc>
              <w:tc>
                <w:tcPr>
                  <w:tcW w:w="273" w:type="pct"/>
                  <w:tcBorders>
                    <w:tl2br w:val="nil"/>
                    <w:tr2bl w:val="nil"/>
                  </w:tcBorders>
                  <w:vAlign w:val="center"/>
                </w:tcPr>
                <w:p w14:paraId="49569111">
                  <w:pPr>
                    <w:pStyle w:val="13"/>
                    <w:rPr>
                      <w:color w:val="auto"/>
                      <w:highlight w:val="none"/>
                    </w:rPr>
                  </w:pPr>
                  <w:r>
                    <w:rPr>
                      <w:rFonts w:hint="eastAsia"/>
                      <w:color w:val="auto"/>
                      <w:highlight w:val="none"/>
                    </w:rPr>
                    <w:t>130</w:t>
                  </w:r>
                </w:p>
              </w:tc>
              <w:tc>
                <w:tcPr>
                  <w:tcW w:w="268" w:type="pct"/>
                  <w:tcBorders>
                    <w:tl2br w:val="nil"/>
                    <w:tr2bl w:val="nil"/>
                  </w:tcBorders>
                  <w:vAlign w:val="center"/>
                </w:tcPr>
                <w:p w14:paraId="6F9EAB16">
                  <w:pPr>
                    <w:pStyle w:val="13"/>
                    <w:rPr>
                      <w:color w:val="auto"/>
                      <w:highlight w:val="none"/>
                    </w:rPr>
                  </w:pPr>
                  <w:r>
                    <w:rPr>
                      <w:rFonts w:hint="eastAsia"/>
                      <w:color w:val="auto"/>
                      <w:highlight w:val="none"/>
                    </w:rPr>
                    <w:t>达标</w:t>
                  </w:r>
                </w:p>
              </w:tc>
              <w:tc>
                <w:tcPr>
                  <w:tcW w:w="307" w:type="pct"/>
                  <w:tcBorders>
                    <w:tl2br w:val="nil"/>
                    <w:tr2bl w:val="nil"/>
                  </w:tcBorders>
                  <w:vAlign w:val="center"/>
                </w:tcPr>
                <w:p w14:paraId="6DCF6BF4">
                  <w:pPr>
                    <w:pStyle w:val="13"/>
                    <w:rPr>
                      <w:color w:val="auto"/>
                      <w:highlight w:val="none"/>
                    </w:rPr>
                  </w:pPr>
                  <w:r>
                    <w:rPr>
                      <w:rFonts w:hint="eastAsia"/>
                      <w:color w:val="auto"/>
                      <w:highlight w:val="none"/>
                    </w:rPr>
                    <w:t>一般排放口</w:t>
                  </w:r>
                </w:p>
              </w:tc>
            </w:tr>
          </w:tbl>
          <w:p w14:paraId="02181EE8">
            <w:pPr>
              <w:pStyle w:val="14"/>
              <w:spacing w:before="156"/>
              <w:rPr>
                <w:color w:val="auto"/>
                <w:highlight w:val="none"/>
              </w:rPr>
            </w:pPr>
          </w:p>
          <w:p w14:paraId="3E63FE72">
            <w:pPr>
              <w:pStyle w:val="14"/>
              <w:spacing w:before="156"/>
              <w:rPr>
                <w:color w:val="auto"/>
                <w:highlight w:val="none"/>
              </w:rPr>
            </w:pPr>
          </w:p>
          <w:p w14:paraId="24BE6840">
            <w:pPr>
              <w:pStyle w:val="14"/>
              <w:spacing w:before="156"/>
              <w:rPr>
                <w:color w:val="auto"/>
                <w:highlight w:val="none"/>
              </w:rPr>
            </w:pPr>
            <w:r>
              <w:rPr>
                <w:rFonts w:hint="eastAsia"/>
                <w:color w:val="auto"/>
                <w:highlight w:val="none"/>
              </w:rPr>
              <w:t>表4-</w:t>
            </w:r>
            <w:r>
              <w:rPr>
                <w:rFonts w:hint="eastAsia"/>
                <w:color w:val="auto"/>
                <w:highlight w:val="none"/>
                <w:lang w:val="en-US" w:eastAsia="zh-CN"/>
              </w:rPr>
              <w:t>3</w:t>
            </w:r>
            <w:r>
              <w:rPr>
                <w:color w:val="auto"/>
                <w:highlight w:val="none"/>
              </w:rPr>
              <w:t xml:space="preserve">  建设项目大气污染物无组织排放</w:t>
            </w:r>
            <w:r>
              <w:rPr>
                <w:rFonts w:hint="eastAsia"/>
                <w:color w:val="auto"/>
                <w:highlight w:val="none"/>
              </w:rPr>
              <w:t>信息表</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869"/>
              <w:gridCol w:w="2573"/>
              <w:gridCol w:w="973"/>
              <w:gridCol w:w="1303"/>
              <w:gridCol w:w="1275"/>
              <w:gridCol w:w="1085"/>
              <w:gridCol w:w="3449"/>
              <w:gridCol w:w="2025"/>
            </w:tblGrid>
            <w:tr w14:paraId="73EE6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 w:type="pct"/>
                  <w:vMerge w:val="restart"/>
                  <w:tcBorders>
                    <w:tl2br w:val="nil"/>
                    <w:tr2bl w:val="nil"/>
                  </w:tcBorders>
                  <w:vAlign w:val="center"/>
                </w:tcPr>
                <w:p w14:paraId="37B235B8">
                  <w:pPr>
                    <w:pStyle w:val="13"/>
                    <w:rPr>
                      <w:b/>
                      <w:bCs/>
                      <w:color w:val="auto"/>
                      <w:highlight w:val="none"/>
                    </w:rPr>
                  </w:pPr>
                  <w:r>
                    <w:rPr>
                      <w:b/>
                      <w:bCs/>
                      <w:color w:val="auto"/>
                      <w:highlight w:val="none"/>
                    </w:rPr>
                    <w:t>序号</w:t>
                  </w:r>
                </w:p>
              </w:tc>
              <w:tc>
                <w:tcPr>
                  <w:tcW w:w="311" w:type="pct"/>
                  <w:vMerge w:val="restart"/>
                  <w:tcBorders>
                    <w:tl2br w:val="nil"/>
                    <w:tr2bl w:val="nil"/>
                  </w:tcBorders>
                  <w:vAlign w:val="center"/>
                </w:tcPr>
                <w:p w14:paraId="4AC39ED9">
                  <w:pPr>
                    <w:pStyle w:val="13"/>
                    <w:rPr>
                      <w:b/>
                      <w:bCs/>
                      <w:color w:val="auto"/>
                      <w:highlight w:val="none"/>
                    </w:rPr>
                  </w:pPr>
                  <w:r>
                    <w:rPr>
                      <w:b/>
                      <w:bCs/>
                      <w:color w:val="auto"/>
                      <w:highlight w:val="none"/>
                    </w:rPr>
                    <w:t>污染源位置</w:t>
                  </w:r>
                </w:p>
              </w:tc>
              <w:tc>
                <w:tcPr>
                  <w:tcW w:w="920" w:type="pct"/>
                  <w:vMerge w:val="restart"/>
                  <w:tcBorders>
                    <w:tl2br w:val="nil"/>
                    <w:tr2bl w:val="nil"/>
                  </w:tcBorders>
                  <w:vAlign w:val="center"/>
                </w:tcPr>
                <w:p w14:paraId="4DB1BDDA">
                  <w:pPr>
                    <w:pStyle w:val="13"/>
                    <w:rPr>
                      <w:b/>
                      <w:bCs/>
                      <w:color w:val="auto"/>
                      <w:highlight w:val="none"/>
                    </w:rPr>
                  </w:pPr>
                  <w:r>
                    <w:rPr>
                      <w:b/>
                      <w:bCs/>
                      <w:color w:val="auto"/>
                      <w:highlight w:val="none"/>
                    </w:rPr>
                    <w:t>产污环节</w:t>
                  </w:r>
                </w:p>
              </w:tc>
              <w:tc>
                <w:tcPr>
                  <w:tcW w:w="348" w:type="pct"/>
                  <w:vMerge w:val="restart"/>
                  <w:tcBorders>
                    <w:tl2br w:val="nil"/>
                    <w:tr2bl w:val="nil"/>
                  </w:tcBorders>
                  <w:vAlign w:val="center"/>
                </w:tcPr>
                <w:p w14:paraId="36CD37ED">
                  <w:pPr>
                    <w:pStyle w:val="13"/>
                    <w:rPr>
                      <w:b/>
                      <w:bCs/>
                      <w:color w:val="auto"/>
                      <w:highlight w:val="none"/>
                    </w:rPr>
                  </w:pPr>
                  <w:r>
                    <w:rPr>
                      <w:b/>
                      <w:bCs/>
                      <w:color w:val="auto"/>
                      <w:highlight w:val="none"/>
                    </w:rPr>
                    <w:t>排放源参数</w:t>
                  </w:r>
                </w:p>
              </w:tc>
              <w:tc>
                <w:tcPr>
                  <w:tcW w:w="466" w:type="pct"/>
                  <w:vMerge w:val="restart"/>
                  <w:tcBorders>
                    <w:tl2br w:val="nil"/>
                    <w:tr2bl w:val="nil"/>
                  </w:tcBorders>
                  <w:vAlign w:val="center"/>
                </w:tcPr>
                <w:p w14:paraId="79E74FDE">
                  <w:pPr>
                    <w:pStyle w:val="13"/>
                    <w:rPr>
                      <w:b/>
                      <w:bCs/>
                      <w:color w:val="auto"/>
                      <w:highlight w:val="none"/>
                    </w:rPr>
                  </w:pPr>
                  <w:r>
                    <w:rPr>
                      <w:b/>
                      <w:bCs/>
                      <w:color w:val="auto"/>
                      <w:highlight w:val="none"/>
                    </w:rPr>
                    <w:t>污染物种类</w:t>
                  </w:r>
                </w:p>
              </w:tc>
              <w:tc>
                <w:tcPr>
                  <w:tcW w:w="456" w:type="pct"/>
                  <w:vMerge w:val="restart"/>
                  <w:tcBorders>
                    <w:tl2br w:val="nil"/>
                    <w:tr2bl w:val="nil"/>
                  </w:tcBorders>
                  <w:vAlign w:val="center"/>
                </w:tcPr>
                <w:p w14:paraId="39EFF082">
                  <w:pPr>
                    <w:pStyle w:val="13"/>
                    <w:rPr>
                      <w:b/>
                      <w:bCs/>
                      <w:color w:val="auto"/>
                      <w:highlight w:val="none"/>
                    </w:rPr>
                  </w:pPr>
                  <w:r>
                    <w:rPr>
                      <w:b/>
                      <w:bCs/>
                      <w:color w:val="auto"/>
                      <w:highlight w:val="none"/>
                    </w:rPr>
                    <w:t>排放量</w:t>
                  </w:r>
                </w:p>
              </w:tc>
              <w:tc>
                <w:tcPr>
                  <w:tcW w:w="2345" w:type="pct"/>
                  <w:gridSpan w:val="3"/>
                  <w:tcBorders>
                    <w:tl2br w:val="nil"/>
                    <w:tr2bl w:val="nil"/>
                  </w:tcBorders>
                  <w:vAlign w:val="center"/>
                </w:tcPr>
                <w:p w14:paraId="44EA849E">
                  <w:pPr>
                    <w:pStyle w:val="13"/>
                    <w:rPr>
                      <w:b/>
                      <w:bCs/>
                      <w:color w:val="auto"/>
                      <w:highlight w:val="none"/>
                    </w:rPr>
                  </w:pPr>
                  <w:r>
                    <w:rPr>
                      <w:b/>
                      <w:bCs/>
                      <w:color w:val="auto"/>
                      <w:highlight w:val="none"/>
                    </w:rPr>
                    <w:t>国家或地方污染物排放标准</w:t>
                  </w:r>
                </w:p>
              </w:tc>
            </w:tr>
            <w:tr w14:paraId="46169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2" w:type="pct"/>
                  <w:vMerge w:val="continue"/>
                  <w:tcBorders>
                    <w:tl2br w:val="nil"/>
                    <w:tr2bl w:val="nil"/>
                  </w:tcBorders>
                  <w:vAlign w:val="center"/>
                </w:tcPr>
                <w:p w14:paraId="1D3D18E1">
                  <w:pPr>
                    <w:pStyle w:val="13"/>
                    <w:rPr>
                      <w:b/>
                      <w:bCs/>
                      <w:color w:val="auto"/>
                      <w:highlight w:val="none"/>
                    </w:rPr>
                  </w:pPr>
                </w:p>
              </w:tc>
              <w:tc>
                <w:tcPr>
                  <w:tcW w:w="311" w:type="pct"/>
                  <w:vMerge w:val="continue"/>
                  <w:tcBorders>
                    <w:tl2br w:val="nil"/>
                    <w:tr2bl w:val="nil"/>
                  </w:tcBorders>
                  <w:vAlign w:val="center"/>
                </w:tcPr>
                <w:p w14:paraId="4BF03BCA">
                  <w:pPr>
                    <w:pStyle w:val="13"/>
                    <w:rPr>
                      <w:b/>
                      <w:bCs/>
                      <w:color w:val="auto"/>
                      <w:highlight w:val="none"/>
                    </w:rPr>
                  </w:pPr>
                </w:p>
              </w:tc>
              <w:tc>
                <w:tcPr>
                  <w:tcW w:w="920" w:type="pct"/>
                  <w:vMerge w:val="continue"/>
                  <w:tcBorders>
                    <w:tl2br w:val="nil"/>
                    <w:tr2bl w:val="nil"/>
                  </w:tcBorders>
                  <w:vAlign w:val="center"/>
                </w:tcPr>
                <w:p w14:paraId="5A329C3B">
                  <w:pPr>
                    <w:pStyle w:val="13"/>
                    <w:rPr>
                      <w:b/>
                      <w:bCs/>
                      <w:color w:val="auto"/>
                      <w:highlight w:val="none"/>
                    </w:rPr>
                  </w:pPr>
                </w:p>
              </w:tc>
              <w:tc>
                <w:tcPr>
                  <w:tcW w:w="348" w:type="pct"/>
                  <w:vMerge w:val="continue"/>
                  <w:tcBorders>
                    <w:tl2br w:val="nil"/>
                    <w:tr2bl w:val="nil"/>
                  </w:tcBorders>
                  <w:vAlign w:val="center"/>
                </w:tcPr>
                <w:p w14:paraId="62A07A31">
                  <w:pPr>
                    <w:pStyle w:val="13"/>
                    <w:rPr>
                      <w:b/>
                      <w:bCs/>
                      <w:color w:val="auto"/>
                      <w:highlight w:val="none"/>
                    </w:rPr>
                  </w:pPr>
                </w:p>
              </w:tc>
              <w:tc>
                <w:tcPr>
                  <w:tcW w:w="466" w:type="pct"/>
                  <w:vMerge w:val="continue"/>
                  <w:tcBorders>
                    <w:tl2br w:val="nil"/>
                    <w:tr2bl w:val="nil"/>
                  </w:tcBorders>
                  <w:vAlign w:val="center"/>
                </w:tcPr>
                <w:p w14:paraId="417CA62F">
                  <w:pPr>
                    <w:pStyle w:val="13"/>
                    <w:rPr>
                      <w:b/>
                      <w:bCs/>
                      <w:color w:val="auto"/>
                      <w:highlight w:val="none"/>
                    </w:rPr>
                  </w:pPr>
                </w:p>
              </w:tc>
              <w:tc>
                <w:tcPr>
                  <w:tcW w:w="456" w:type="pct"/>
                  <w:vMerge w:val="continue"/>
                  <w:tcBorders>
                    <w:tl2br w:val="nil"/>
                    <w:tr2bl w:val="nil"/>
                  </w:tcBorders>
                  <w:vAlign w:val="center"/>
                </w:tcPr>
                <w:p w14:paraId="660020A1">
                  <w:pPr>
                    <w:pStyle w:val="13"/>
                    <w:rPr>
                      <w:b/>
                      <w:bCs/>
                      <w:color w:val="auto"/>
                      <w:highlight w:val="none"/>
                    </w:rPr>
                  </w:pPr>
                </w:p>
              </w:tc>
              <w:tc>
                <w:tcPr>
                  <w:tcW w:w="1621" w:type="pct"/>
                  <w:gridSpan w:val="2"/>
                  <w:tcBorders>
                    <w:tl2br w:val="nil"/>
                    <w:tr2bl w:val="nil"/>
                  </w:tcBorders>
                  <w:vAlign w:val="center"/>
                </w:tcPr>
                <w:p w14:paraId="2DF0AC3D">
                  <w:pPr>
                    <w:pStyle w:val="13"/>
                    <w:rPr>
                      <w:b/>
                      <w:bCs/>
                      <w:color w:val="auto"/>
                      <w:highlight w:val="none"/>
                    </w:rPr>
                  </w:pPr>
                  <w:r>
                    <w:rPr>
                      <w:b/>
                      <w:bCs/>
                      <w:color w:val="auto"/>
                      <w:highlight w:val="none"/>
                    </w:rPr>
                    <w:t>标准名称</w:t>
                  </w:r>
                </w:p>
              </w:tc>
              <w:tc>
                <w:tcPr>
                  <w:tcW w:w="724" w:type="pct"/>
                  <w:tcBorders>
                    <w:tl2br w:val="nil"/>
                    <w:tr2bl w:val="nil"/>
                  </w:tcBorders>
                  <w:vAlign w:val="center"/>
                </w:tcPr>
                <w:p w14:paraId="050C5B48">
                  <w:pPr>
                    <w:pStyle w:val="13"/>
                    <w:rPr>
                      <w:b/>
                      <w:bCs/>
                      <w:color w:val="auto"/>
                      <w:highlight w:val="none"/>
                    </w:rPr>
                  </w:pPr>
                  <w:r>
                    <w:rPr>
                      <w:b/>
                      <w:bCs/>
                      <w:color w:val="auto"/>
                      <w:highlight w:val="none"/>
                    </w:rPr>
                    <w:t>浓度限值（mg/m³）</w:t>
                  </w:r>
                </w:p>
              </w:tc>
            </w:tr>
            <w:tr w14:paraId="0D5C2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jc w:val="center"/>
              </w:trPr>
              <w:tc>
                <w:tcPr>
                  <w:tcW w:w="152" w:type="pct"/>
                  <w:vMerge w:val="restart"/>
                  <w:tcBorders>
                    <w:tl2br w:val="nil"/>
                    <w:tr2bl w:val="nil"/>
                  </w:tcBorders>
                  <w:vAlign w:val="center"/>
                </w:tcPr>
                <w:p w14:paraId="6BECBFB3">
                  <w:pPr>
                    <w:pStyle w:val="13"/>
                    <w:rPr>
                      <w:color w:val="auto"/>
                      <w:highlight w:val="none"/>
                    </w:rPr>
                  </w:pPr>
                  <w:r>
                    <w:rPr>
                      <w:color w:val="auto"/>
                      <w:highlight w:val="none"/>
                    </w:rPr>
                    <w:t>1</w:t>
                  </w:r>
                </w:p>
              </w:tc>
              <w:tc>
                <w:tcPr>
                  <w:tcW w:w="311" w:type="pct"/>
                  <w:vMerge w:val="restart"/>
                  <w:tcBorders>
                    <w:tl2br w:val="nil"/>
                    <w:tr2bl w:val="nil"/>
                  </w:tcBorders>
                  <w:vAlign w:val="center"/>
                </w:tcPr>
                <w:p w14:paraId="74832A77">
                  <w:pPr>
                    <w:pStyle w:val="13"/>
                    <w:rPr>
                      <w:color w:val="auto"/>
                      <w:highlight w:val="none"/>
                    </w:rPr>
                  </w:pPr>
                  <w:r>
                    <w:rPr>
                      <w:rFonts w:hint="eastAsia"/>
                      <w:color w:val="auto"/>
                      <w:highlight w:val="none"/>
                    </w:rPr>
                    <w:t>厂房</w:t>
                  </w:r>
                </w:p>
              </w:tc>
              <w:tc>
                <w:tcPr>
                  <w:tcW w:w="920" w:type="pct"/>
                  <w:vMerge w:val="restart"/>
                  <w:tcBorders>
                    <w:tl2br w:val="nil"/>
                    <w:tr2bl w:val="nil"/>
                  </w:tcBorders>
                  <w:vAlign w:val="center"/>
                </w:tcPr>
                <w:p w14:paraId="6700FB8F">
                  <w:pPr>
                    <w:pStyle w:val="13"/>
                    <w:rPr>
                      <w:color w:val="auto"/>
                      <w:highlight w:val="none"/>
                    </w:rPr>
                  </w:pPr>
                  <w:r>
                    <w:rPr>
                      <w:rFonts w:hint="eastAsia"/>
                      <w:color w:val="auto"/>
                      <w:highlight w:val="none"/>
                    </w:rPr>
                    <w:t>筛分、磁选、粉碎、打包、配料、制粒、筛分、锅炉</w:t>
                  </w:r>
                </w:p>
              </w:tc>
              <w:tc>
                <w:tcPr>
                  <w:tcW w:w="348" w:type="pct"/>
                  <w:vMerge w:val="restart"/>
                  <w:tcBorders>
                    <w:tl2br w:val="nil"/>
                    <w:tr2bl w:val="nil"/>
                  </w:tcBorders>
                  <w:vAlign w:val="center"/>
                </w:tcPr>
                <w:p w14:paraId="2BBF7F2F">
                  <w:pPr>
                    <w:pStyle w:val="13"/>
                    <w:rPr>
                      <w:color w:val="auto"/>
                      <w:highlight w:val="none"/>
                    </w:rPr>
                  </w:pPr>
                  <w:r>
                    <w:rPr>
                      <w:rFonts w:hint="eastAsia"/>
                      <w:color w:val="auto"/>
                      <w:highlight w:val="none"/>
                    </w:rPr>
                    <w:t>1800m</w:t>
                  </w:r>
                  <w:r>
                    <w:rPr>
                      <w:rFonts w:cs="Times New Roman"/>
                      <w:color w:val="auto"/>
                      <w:highlight w:val="none"/>
                    </w:rPr>
                    <w:t>²</w:t>
                  </w:r>
                </w:p>
              </w:tc>
              <w:tc>
                <w:tcPr>
                  <w:tcW w:w="466" w:type="pct"/>
                  <w:tcBorders>
                    <w:tl2br w:val="nil"/>
                    <w:tr2bl w:val="nil"/>
                  </w:tcBorders>
                  <w:vAlign w:val="center"/>
                </w:tcPr>
                <w:p w14:paraId="6C7EE691">
                  <w:pPr>
                    <w:pStyle w:val="13"/>
                    <w:rPr>
                      <w:color w:val="auto"/>
                      <w:highlight w:val="none"/>
                    </w:rPr>
                  </w:pPr>
                  <w:r>
                    <w:rPr>
                      <w:rFonts w:hint="eastAsia"/>
                      <w:color w:val="auto"/>
                      <w:highlight w:val="none"/>
                    </w:rPr>
                    <w:t>颗粒物</w:t>
                  </w:r>
                </w:p>
              </w:tc>
              <w:tc>
                <w:tcPr>
                  <w:tcW w:w="456" w:type="pct"/>
                  <w:tcBorders>
                    <w:tl2br w:val="nil"/>
                    <w:tr2bl w:val="nil"/>
                  </w:tcBorders>
                  <w:vAlign w:val="center"/>
                </w:tcPr>
                <w:p w14:paraId="5B60473A">
                  <w:pPr>
                    <w:pStyle w:val="13"/>
                    <w:rPr>
                      <w:color w:val="auto"/>
                      <w:highlight w:val="none"/>
                    </w:rPr>
                  </w:pPr>
                  <w:r>
                    <w:rPr>
                      <w:rFonts w:hint="eastAsia"/>
                      <w:color w:val="auto"/>
                      <w:highlight w:val="none"/>
                    </w:rPr>
                    <w:t>9.5913</w:t>
                  </w:r>
                </w:p>
              </w:tc>
              <w:tc>
                <w:tcPr>
                  <w:tcW w:w="388" w:type="pct"/>
                  <w:vMerge w:val="restart"/>
                  <w:tcBorders>
                    <w:tl2br w:val="nil"/>
                    <w:tr2bl w:val="nil"/>
                  </w:tcBorders>
                  <w:vAlign w:val="center"/>
                </w:tcPr>
                <w:p w14:paraId="17997455">
                  <w:pPr>
                    <w:pStyle w:val="13"/>
                    <w:rPr>
                      <w:color w:val="auto"/>
                      <w:highlight w:val="none"/>
                    </w:rPr>
                  </w:pPr>
                  <w:r>
                    <w:rPr>
                      <w:rFonts w:hint="eastAsia"/>
                      <w:color w:val="auto"/>
                      <w:highlight w:val="none"/>
                    </w:rPr>
                    <w:t>厂界</w:t>
                  </w:r>
                </w:p>
              </w:tc>
              <w:tc>
                <w:tcPr>
                  <w:tcW w:w="1233" w:type="pct"/>
                  <w:vMerge w:val="restart"/>
                  <w:tcBorders>
                    <w:tl2br w:val="nil"/>
                    <w:tr2bl w:val="nil"/>
                  </w:tcBorders>
                  <w:vAlign w:val="center"/>
                </w:tcPr>
                <w:p w14:paraId="7510A8CF">
                  <w:pPr>
                    <w:pStyle w:val="13"/>
                    <w:rPr>
                      <w:color w:val="auto"/>
                      <w:highlight w:val="none"/>
                    </w:rPr>
                  </w:pPr>
                  <w:r>
                    <w:rPr>
                      <w:rFonts w:hint="eastAsia"/>
                      <w:color w:val="auto"/>
                      <w:highlight w:val="none"/>
                    </w:rPr>
                    <w:t>《大气污染物综合排放标准》（GB 16297-1996）表2中的二级标准及无组织监控浓度限值</w:t>
                  </w:r>
                </w:p>
              </w:tc>
              <w:tc>
                <w:tcPr>
                  <w:tcW w:w="724" w:type="pct"/>
                  <w:tcBorders>
                    <w:tl2br w:val="nil"/>
                    <w:tr2bl w:val="nil"/>
                  </w:tcBorders>
                  <w:vAlign w:val="center"/>
                </w:tcPr>
                <w:p w14:paraId="1B28F56D">
                  <w:pPr>
                    <w:pStyle w:val="13"/>
                    <w:rPr>
                      <w:color w:val="auto"/>
                      <w:highlight w:val="none"/>
                    </w:rPr>
                  </w:pPr>
                  <w:r>
                    <w:rPr>
                      <w:rFonts w:hint="eastAsia"/>
                      <w:color w:val="auto"/>
                      <w:highlight w:val="none"/>
                    </w:rPr>
                    <w:t>1</w:t>
                  </w:r>
                </w:p>
              </w:tc>
            </w:tr>
            <w:tr w14:paraId="6DFBE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jc w:val="center"/>
              </w:trPr>
              <w:tc>
                <w:tcPr>
                  <w:tcW w:w="152" w:type="pct"/>
                  <w:vMerge w:val="continue"/>
                  <w:tcBorders>
                    <w:tl2br w:val="nil"/>
                    <w:tr2bl w:val="nil"/>
                  </w:tcBorders>
                  <w:vAlign w:val="center"/>
                </w:tcPr>
                <w:p w14:paraId="6346EBBF">
                  <w:pPr>
                    <w:pStyle w:val="13"/>
                    <w:rPr>
                      <w:color w:val="auto"/>
                      <w:highlight w:val="none"/>
                    </w:rPr>
                  </w:pPr>
                </w:p>
              </w:tc>
              <w:tc>
                <w:tcPr>
                  <w:tcW w:w="311" w:type="pct"/>
                  <w:vMerge w:val="continue"/>
                  <w:tcBorders>
                    <w:tl2br w:val="nil"/>
                    <w:tr2bl w:val="nil"/>
                  </w:tcBorders>
                  <w:vAlign w:val="center"/>
                </w:tcPr>
                <w:p w14:paraId="09240AA2">
                  <w:pPr>
                    <w:pStyle w:val="13"/>
                    <w:rPr>
                      <w:color w:val="auto"/>
                      <w:highlight w:val="none"/>
                    </w:rPr>
                  </w:pPr>
                </w:p>
              </w:tc>
              <w:tc>
                <w:tcPr>
                  <w:tcW w:w="920" w:type="pct"/>
                  <w:vMerge w:val="continue"/>
                  <w:tcBorders>
                    <w:tl2br w:val="nil"/>
                    <w:tr2bl w:val="nil"/>
                  </w:tcBorders>
                  <w:vAlign w:val="center"/>
                </w:tcPr>
                <w:p w14:paraId="441EC97A">
                  <w:pPr>
                    <w:pStyle w:val="13"/>
                    <w:rPr>
                      <w:color w:val="auto"/>
                      <w:highlight w:val="none"/>
                    </w:rPr>
                  </w:pPr>
                </w:p>
              </w:tc>
              <w:tc>
                <w:tcPr>
                  <w:tcW w:w="348" w:type="pct"/>
                  <w:vMerge w:val="continue"/>
                  <w:tcBorders>
                    <w:tl2br w:val="nil"/>
                    <w:tr2bl w:val="nil"/>
                  </w:tcBorders>
                  <w:vAlign w:val="center"/>
                </w:tcPr>
                <w:p w14:paraId="0FD8D9E1">
                  <w:pPr>
                    <w:pStyle w:val="13"/>
                    <w:rPr>
                      <w:color w:val="auto"/>
                      <w:highlight w:val="none"/>
                    </w:rPr>
                  </w:pPr>
                </w:p>
              </w:tc>
              <w:tc>
                <w:tcPr>
                  <w:tcW w:w="466" w:type="pct"/>
                  <w:tcBorders>
                    <w:tl2br w:val="nil"/>
                    <w:tr2bl w:val="nil"/>
                  </w:tcBorders>
                  <w:vAlign w:val="center"/>
                </w:tcPr>
                <w:p w14:paraId="170934AC">
                  <w:pPr>
                    <w:pStyle w:val="13"/>
                    <w:rPr>
                      <w:color w:val="auto"/>
                      <w:highlight w:val="none"/>
                    </w:rPr>
                  </w:pPr>
                  <w:r>
                    <w:rPr>
                      <w:rFonts w:hint="eastAsia"/>
                      <w:color w:val="auto"/>
                      <w:highlight w:val="none"/>
                    </w:rPr>
                    <w:t>二氧化硫</w:t>
                  </w:r>
                </w:p>
              </w:tc>
              <w:tc>
                <w:tcPr>
                  <w:tcW w:w="456" w:type="pct"/>
                  <w:tcBorders>
                    <w:tl2br w:val="nil"/>
                    <w:tr2bl w:val="nil"/>
                  </w:tcBorders>
                  <w:vAlign w:val="center"/>
                </w:tcPr>
                <w:p w14:paraId="5872046A">
                  <w:pPr>
                    <w:pStyle w:val="13"/>
                    <w:rPr>
                      <w:color w:val="auto"/>
                      <w:highlight w:val="none"/>
                    </w:rPr>
                  </w:pPr>
                  <w:r>
                    <w:rPr>
                      <w:rFonts w:hint="eastAsia"/>
                      <w:color w:val="auto"/>
                      <w:highlight w:val="none"/>
                    </w:rPr>
                    <w:t>/</w:t>
                  </w:r>
                </w:p>
              </w:tc>
              <w:tc>
                <w:tcPr>
                  <w:tcW w:w="388" w:type="pct"/>
                  <w:vMerge w:val="continue"/>
                  <w:tcBorders>
                    <w:tl2br w:val="nil"/>
                    <w:tr2bl w:val="nil"/>
                  </w:tcBorders>
                  <w:vAlign w:val="center"/>
                </w:tcPr>
                <w:p w14:paraId="30809393">
                  <w:pPr>
                    <w:pStyle w:val="13"/>
                    <w:rPr>
                      <w:color w:val="auto"/>
                      <w:highlight w:val="none"/>
                    </w:rPr>
                  </w:pPr>
                </w:p>
              </w:tc>
              <w:tc>
                <w:tcPr>
                  <w:tcW w:w="1233" w:type="pct"/>
                  <w:vMerge w:val="continue"/>
                  <w:tcBorders>
                    <w:tl2br w:val="nil"/>
                    <w:tr2bl w:val="nil"/>
                  </w:tcBorders>
                  <w:vAlign w:val="center"/>
                </w:tcPr>
                <w:p w14:paraId="4A73078F">
                  <w:pPr>
                    <w:pStyle w:val="13"/>
                    <w:rPr>
                      <w:color w:val="auto"/>
                      <w:highlight w:val="none"/>
                    </w:rPr>
                  </w:pPr>
                </w:p>
              </w:tc>
              <w:tc>
                <w:tcPr>
                  <w:tcW w:w="724" w:type="pct"/>
                  <w:tcBorders>
                    <w:tl2br w:val="nil"/>
                    <w:tr2bl w:val="nil"/>
                  </w:tcBorders>
                  <w:vAlign w:val="center"/>
                </w:tcPr>
                <w:p w14:paraId="2911448B">
                  <w:pPr>
                    <w:pStyle w:val="13"/>
                    <w:rPr>
                      <w:color w:val="auto"/>
                      <w:highlight w:val="none"/>
                    </w:rPr>
                  </w:pPr>
                  <w:r>
                    <w:rPr>
                      <w:rFonts w:hint="eastAsia"/>
                      <w:color w:val="auto"/>
                      <w:highlight w:val="none"/>
                    </w:rPr>
                    <w:t>0.4</w:t>
                  </w:r>
                </w:p>
              </w:tc>
            </w:tr>
            <w:tr w14:paraId="5D123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jc w:val="center"/>
              </w:trPr>
              <w:tc>
                <w:tcPr>
                  <w:tcW w:w="152" w:type="pct"/>
                  <w:vMerge w:val="continue"/>
                  <w:tcBorders>
                    <w:tl2br w:val="nil"/>
                    <w:tr2bl w:val="nil"/>
                  </w:tcBorders>
                  <w:vAlign w:val="center"/>
                </w:tcPr>
                <w:p w14:paraId="748C45DD">
                  <w:pPr>
                    <w:pStyle w:val="13"/>
                    <w:rPr>
                      <w:color w:val="auto"/>
                      <w:highlight w:val="none"/>
                    </w:rPr>
                  </w:pPr>
                </w:p>
              </w:tc>
              <w:tc>
                <w:tcPr>
                  <w:tcW w:w="311" w:type="pct"/>
                  <w:vMerge w:val="continue"/>
                  <w:tcBorders>
                    <w:tl2br w:val="nil"/>
                    <w:tr2bl w:val="nil"/>
                  </w:tcBorders>
                  <w:vAlign w:val="center"/>
                </w:tcPr>
                <w:p w14:paraId="0C4D5810">
                  <w:pPr>
                    <w:pStyle w:val="13"/>
                    <w:rPr>
                      <w:color w:val="auto"/>
                      <w:highlight w:val="none"/>
                    </w:rPr>
                  </w:pPr>
                </w:p>
              </w:tc>
              <w:tc>
                <w:tcPr>
                  <w:tcW w:w="920" w:type="pct"/>
                  <w:vMerge w:val="continue"/>
                  <w:tcBorders>
                    <w:tl2br w:val="nil"/>
                    <w:tr2bl w:val="nil"/>
                  </w:tcBorders>
                  <w:vAlign w:val="center"/>
                </w:tcPr>
                <w:p w14:paraId="67990D6A">
                  <w:pPr>
                    <w:pStyle w:val="13"/>
                    <w:rPr>
                      <w:color w:val="auto"/>
                      <w:highlight w:val="none"/>
                    </w:rPr>
                  </w:pPr>
                </w:p>
              </w:tc>
              <w:tc>
                <w:tcPr>
                  <w:tcW w:w="348" w:type="pct"/>
                  <w:vMerge w:val="continue"/>
                  <w:tcBorders>
                    <w:tl2br w:val="nil"/>
                    <w:tr2bl w:val="nil"/>
                  </w:tcBorders>
                  <w:vAlign w:val="center"/>
                </w:tcPr>
                <w:p w14:paraId="3A89DE78">
                  <w:pPr>
                    <w:pStyle w:val="13"/>
                    <w:rPr>
                      <w:color w:val="auto"/>
                      <w:highlight w:val="none"/>
                    </w:rPr>
                  </w:pPr>
                </w:p>
              </w:tc>
              <w:tc>
                <w:tcPr>
                  <w:tcW w:w="466" w:type="pct"/>
                  <w:tcBorders>
                    <w:tl2br w:val="nil"/>
                    <w:tr2bl w:val="nil"/>
                  </w:tcBorders>
                  <w:vAlign w:val="center"/>
                </w:tcPr>
                <w:p w14:paraId="2117F031">
                  <w:pPr>
                    <w:pStyle w:val="13"/>
                    <w:rPr>
                      <w:color w:val="auto"/>
                      <w:highlight w:val="none"/>
                    </w:rPr>
                  </w:pPr>
                  <w:r>
                    <w:rPr>
                      <w:rFonts w:hint="eastAsia"/>
                      <w:color w:val="auto"/>
                      <w:highlight w:val="none"/>
                    </w:rPr>
                    <w:t>氮氧化物</w:t>
                  </w:r>
                </w:p>
              </w:tc>
              <w:tc>
                <w:tcPr>
                  <w:tcW w:w="456" w:type="pct"/>
                  <w:tcBorders>
                    <w:tl2br w:val="nil"/>
                    <w:tr2bl w:val="nil"/>
                  </w:tcBorders>
                  <w:vAlign w:val="center"/>
                </w:tcPr>
                <w:p w14:paraId="6FCD5812">
                  <w:pPr>
                    <w:pStyle w:val="13"/>
                    <w:rPr>
                      <w:color w:val="auto"/>
                      <w:highlight w:val="none"/>
                    </w:rPr>
                  </w:pPr>
                  <w:r>
                    <w:rPr>
                      <w:rFonts w:hint="eastAsia"/>
                      <w:color w:val="auto"/>
                      <w:highlight w:val="none"/>
                    </w:rPr>
                    <w:t>/</w:t>
                  </w:r>
                </w:p>
              </w:tc>
              <w:tc>
                <w:tcPr>
                  <w:tcW w:w="388" w:type="pct"/>
                  <w:vMerge w:val="continue"/>
                  <w:tcBorders>
                    <w:tl2br w:val="nil"/>
                    <w:tr2bl w:val="nil"/>
                  </w:tcBorders>
                  <w:vAlign w:val="center"/>
                </w:tcPr>
                <w:p w14:paraId="0A008DEC">
                  <w:pPr>
                    <w:pStyle w:val="13"/>
                    <w:rPr>
                      <w:color w:val="auto"/>
                      <w:highlight w:val="none"/>
                    </w:rPr>
                  </w:pPr>
                </w:p>
              </w:tc>
              <w:tc>
                <w:tcPr>
                  <w:tcW w:w="1233" w:type="pct"/>
                  <w:vMerge w:val="continue"/>
                  <w:tcBorders>
                    <w:tl2br w:val="nil"/>
                    <w:tr2bl w:val="nil"/>
                  </w:tcBorders>
                  <w:vAlign w:val="center"/>
                </w:tcPr>
                <w:p w14:paraId="4CFA60DD">
                  <w:pPr>
                    <w:pStyle w:val="13"/>
                    <w:rPr>
                      <w:color w:val="auto"/>
                      <w:highlight w:val="none"/>
                    </w:rPr>
                  </w:pPr>
                </w:p>
              </w:tc>
              <w:tc>
                <w:tcPr>
                  <w:tcW w:w="724" w:type="pct"/>
                  <w:tcBorders>
                    <w:tl2br w:val="nil"/>
                    <w:tr2bl w:val="nil"/>
                  </w:tcBorders>
                  <w:vAlign w:val="center"/>
                </w:tcPr>
                <w:p w14:paraId="20197E09">
                  <w:pPr>
                    <w:pStyle w:val="13"/>
                    <w:rPr>
                      <w:color w:val="auto"/>
                      <w:highlight w:val="none"/>
                    </w:rPr>
                  </w:pPr>
                  <w:r>
                    <w:rPr>
                      <w:rFonts w:hint="eastAsia"/>
                      <w:color w:val="auto"/>
                      <w:highlight w:val="none"/>
                    </w:rPr>
                    <w:t>0.12</w:t>
                  </w:r>
                </w:p>
              </w:tc>
            </w:tr>
          </w:tbl>
          <w:p w14:paraId="22CCA09B">
            <w:pPr>
              <w:ind w:firstLine="480"/>
              <w:rPr>
                <w:color w:val="auto"/>
                <w:highlight w:val="none"/>
              </w:rPr>
            </w:pPr>
            <w:r>
              <w:rPr>
                <w:rFonts w:hint="eastAsia"/>
                <w:color w:val="auto"/>
                <w:highlight w:val="none"/>
              </w:rPr>
              <w:t>参照</w:t>
            </w:r>
            <w:r>
              <w:rPr>
                <w:color w:val="auto"/>
                <w:highlight w:val="none"/>
              </w:rPr>
              <w:t>《</w:t>
            </w:r>
            <w:r>
              <w:rPr>
                <w:rFonts w:hint="eastAsia"/>
                <w:color w:val="auto"/>
                <w:highlight w:val="none"/>
              </w:rPr>
              <w:t>排污单位自行监测技术指南 农副食品加工业</w:t>
            </w:r>
            <w:r>
              <w:rPr>
                <w:color w:val="auto"/>
                <w:highlight w:val="none"/>
              </w:rPr>
              <w:t>》（</w:t>
            </w:r>
            <w:r>
              <w:rPr>
                <w:rFonts w:hint="eastAsia"/>
                <w:color w:val="auto"/>
                <w:highlight w:val="none"/>
              </w:rPr>
              <w:t>HJ 986-2018</w:t>
            </w:r>
            <w:r>
              <w:rPr>
                <w:color w:val="auto"/>
                <w:highlight w:val="none"/>
              </w:rPr>
              <w:t>）、《排污单位自行监测技术指南 火力发电及锅炉》（HJ 820-2017）、《</w:t>
            </w:r>
            <w:r>
              <w:rPr>
                <w:rFonts w:hint="eastAsia"/>
                <w:color w:val="auto"/>
                <w:highlight w:val="none"/>
              </w:rPr>
              <w:t>排污许可证申请与核发技术规范 农副食品加工工业-饲料加工、植物油加工工业</w:t>
            </w:r>
            <w:r>
              <w:rPr>
                <w:color w:val="auto"/>
                <w:highlight w:val="none"/>
              </w:rPr>
              <w:t>》（</w:t>
            </w:r>
            <w:r>
              <w:rPr>
                <w:rFonts w:hint="eastAsia"/>
                <w:color w:val="auto"/>
                <w:highlight w:val="none"/>
              </w:rPr>
              <w:t>HJ 1110-2020</w:t>
            </w:r>
            <w:r>
              <w:rPr>
                <w:color w:val="auto"/>
                <w:highlight w:val="none"/>
              </w:rPr>
              <w:t>）、《排污许可证申请与核发技术规范 锅炉》（HJ 953-2018）</w:t>
            </w:r>
            <w:r>
              <w:rPr>
                <w:rFonts w:hint="eastAsia"/>
                <w:color w:val="auto"/>
                <w:highlight w:val="none"/>
              </w:rPr>
              <w:t>和《排污单位自行监测技术指南 总则》（HJ 819-2017）确定本项目运营期内监测计划。</w:t>
            </w:r>
          </w:p>
          <w:p w14:paraId="1F3A1F9F">
            <w:pPr>
              <w:pStyle w:val="14"/>
              <w:spacing w:before="156"/>
              <w:rPr>
                <w:color w:val="auto"/>
                <w:highlight w:val="none"/>
              </w:rPr>
            </w:pPr>
            <w:r>
              <w:rPr>
                <w:rFonts w:hint="eastAsia"/>
                <w:color w:val="auto"/>
                <w:highlight w:val="none"/>
              </w:rPr>
              <w:t>表4-</w:t>
            </w:r>
            <w:r>
              <w:rPr>
                <w:rFonts w:hint="eastAsia"/>
                <w:color w:val="auto"/>
                <w:highlight w:val="none"/>
                <w:lang w:val="en-US" w:eastAsia="zh-CN"/>
              </w:rPr>
              <w:t>4</w:t>
            </w:r>
            <w:r>
              <w:rPr>
                <w:rFonts w:hint="eastAsia"/>
                <w:color w:val="auto"/>
                <w:highlight w:val="none"/>
              </w:rPr>
              <w:t xml:space="preserve">  项目大气污染源监测点位、监测指标及最低监测频次一览表</w:t>
            </w:r>
          </w:p>
          <w:tbl>
            <w:tblPr>
              <w:tblStyle w:val="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9"/>
              <w:gridCol w:w="1723"/>
              <w:gridCol w:w="1074"/>
              <w:gridCol w:w="2970"/>
              <w:gridCol w:w="1074"/>
              <w:gridCol w:w="6139"/>
            </w:tblGrid>
            <w:tr w14:paraId="389FB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7" w:type="pct"/>
                  <w:vAlign w:val="center"/>
                </w:tcPr>
                <w:p w14:paraId="13DBCAEA">
                  <w:pPr>
                    <w:pStyle w:val="13"/>
                    <w:rPr>
                      <w:b/>
                      <w:bCs/>
                      <w:color w:val="auto"/>
                      <w:highlight w:val="none"/>
                    </w:rPr>
                  </w:pPr>
                  <w:r>
                    <w:rPr>
                      <w:b/>
                      <w:bCs/>
                      <w:color w:val="auto"/>
                      <w:highlight w:val="none"/>
                    </w:rPr>
                    <w:t>类别</w:t>
                  </w:r>
                </w:p>
              </w:tc>
              <w:tc>
                <w:tcPr>
                  <w:tcW w:w="616" w:type="pct"/>
                  <w:vAlign w:val="center"/>
                </w:tcPr>
                <w:p w14:paraId="720436AA">
                  <w:pPr>
                    <w:pStyle w:val="13"/>
                    <w:rPr>
                      <w:b/>
                      <w:bCs/>
                      <w:color w:val="auto"/>
                      <w:highlight w:val="none"/>
                    </w:rPr>
                  </w:pPr>
                  <w:r>
                    <w:rPr>
                      <w:b/>
                      <w:bCs/>
                      <w:color w:val="auto"/>
                      <w:highlight w:val="none"/>
                    </w:rPr>
                    <w:t>污染源</w:t>
                  </w:r>
                </w:p>
              </w:tc>
              <w:tc>
                <w:tcPr>
                  <w:tcW w:w="384" w:type="pct"/>
                  <w:vAlign w:val="center"/>
                </w:tcPr>
                <w:p w14:paraId="26B218C9">
                  <w:pPr>
                    <w:pStyle w:val="13"/>
                    <w:rPr>
                      <w:b/>
                      <w:bCs/>
                      <w:color w:val="auto"/>
                      <w:highlight w:val="none"/>
                    </w:rPr>
                  </w:pPr>
                  <w:r>
                    <w:rPr>
                      <w:b/>
                      <w:bCs/>
                      <w:color w:val="auto"/>
                      <w:highlight w:val="none"/>
                    </w:rPr>
                    <w:t>监测点位</w:t>
                  </w:r>
                </w:p>
              </w:tc>
              <w:tc>
                <w:tcPr>
                  <w:tcW w:w="1062" w:type="pct"/>
                  <w:vAlign w:val="center"/>
                </w:tcPr>
                <w:p w14:paraId="196DA8C5">
                  <w:pPr>
                    <w:pStyle w:val="13"/>
                    <w:rPr>
                      <w:b/>
                      <w:bCs/>
                      <w:color w:val="auto"/>
                      <w:highlight w:val="none"/>
                    </w:rPr>
                  </w:pPr>
                  <w:r>
                    <w:rPr>
                      <w:b/>
                      <w:bCs/>
                      <w:color w:val="auto"/>
                      <w:highlight w:val="none"/>
                    </w:rPr>
                    <w:t>监测项目</w:t>
                  </w:r>
                </w:p>
              </w:tc>
              <w:tc>
                <w:tcPr>
                  <w:tcW w:w="384" w:type="pct"/>
                  <w:vAlign w:val="center"/>
                </w:tcPr>
                <w:p w14:paraId="1EF04790">
                  <w:pPr>
                    <w:pStyle w:val="13"/>
                    <w:rPr>
                      <w:b/>
                      <w:bCs/>
                      <w:color w:val="auto"/>
                      <w:highlight w:val="none"/>
                    </w:rPr>
                  </w:pPr>
                  <w:r>
                    <w:rPr>
                      <w:b/>
                      <w:bCs/>
                      <w:color w:val="auto"/>
                      <w:highlight w:val="none"/>
                    </w:rPr>
                    <w:t>监测频率</w:t>
                  </w:r>
                </w:p>
              </w:tc>
              <w:tc>
                <w:tcPr>
                  <w:tcW w:w="2195" w:type="pct"/>
                  <w:vAlign w:val="center"/>
                </w:tcPr>
                <w:p w14:paraId="02F6296C">
                  <w:pPr>
                    <w:pStyle w:val="13"/>
                    <w:rPr>
                      <w:b/>
                      <w:bCs/>
                      <w:color w:val="auto"/>
                      <w:highlight w:val="none"/>
                    </w:rPr>
                  </w:pPr>
                  <w:r>
                    <w:rPr>
                      <w:b/>
                      <w:bCs/>
                      <w:color w:val="auto"/>
                      <w:highlight w:val="none"/>
                    </w:rPr>
                    <w:t>执行标准</w:t>
                  </w:r>
                </w:p>
              </w:tc>
            </w:tr>
            <w:tr w14:paraId="791A5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7" w:type="pct"/>
                  <w:vMerge w:val="restart"/>
                  <w:vAlign w:val="center"/>
                </w:tcPr>
                <w:p w14:paraId="62AF5A75">
                  <w:pPr>
                    <w:pStyle w:val="13"/>
                    <w:rPr>
                      <w:color w:val="auto"/>
                      <w:highlight w:val="none"/>
                    </w:rPr>
                  </w:pPr>
                  <w:r>
                    <w:rPr>
                      <w:color w:val="auto"/>
                      <w:highlight w:val="none"/>
                    </w:rPr>
                    <w:t>有组织</w:t>
                  </w:r>
                </w:p>
              </w:tc>
              <w:tc>
                <w:tcPr>
                  <w:tcW w:w="616" w:type="pct"/>
                  <w:vAlign w:val="center"/>
                </w:tcPr>
                <w:p w14:paraId="7C2E1DC8">
                  <w:pPr>
                    <w:pStyle w:val="13"/>
                    <w:rPr>
                      <w:color w:val="auto"/>
                      <w:highlight w:val="none"/>
                    </w:rPr>
                  </w:pPr>
                  <w:r>
                    <w:rPr>
                      <w:rFonts w:hint="eastAsia"/>
                      <w:color w:val="auto"/>
                      <w:highlight w:val="none"/>
                    </w:rPr>
                    <w:t>秸秆饲料生产线</w:t>
                  </w:r>
                </w:p>
              </w:tc>
              <w:tc>
                <w:tcPr>
                  <w:tcW w:w="384" w:type="pct"/>
                  <w:vAlign w:val="center"/>
                </w:tcPr>
                <w:p w14:paraId="10397559">
                  <w:pPr>
                    <w:pStyle w:val="13"/>
                    <w:rPr>
                      <w:color w:val="auto"/>
                      <w:highlight w:val="none"/>
                    </w:rPr>
                  </w:pPr>
                  <w:r>
                    <w:rPr>
                      <w:rFonts w:hint="eastAsia"/>
                      <w:color w:val="auto"/>
                      <w:highlight w:val="none"/>
                    </w:rPr>
                    <w:t>DA001</w:t>
                  </w:r>
                </w:p>
              </w:tc>
              <w:tc>
                <w:tcPr>
                  <w:tcW w:w="1062" w:type="pct"/>
                  <w:vAlign w:val="center"/>
                </w:tcPr>
                <w:p w14:paraId="07579C32">
                  <w:pPr>
                    <w:pStyle w:val="13"/>
                    <w:rPr>
                      <w:color w:val="auto"/>
                      <w:highlight w:val="none"/>
                    </w:rPr>
                  </w:pPr>
                  <w:r>
                    <w:rPr>
                      <w:color w:val="auto"/>
                      <w:highlight w:val="none"/>
                    </w:rPr>
                    <w:t>颗粒物</w:t>
                  </w:r>
                </w:p>
              </w:tc>
              <w:tc>
                <w:tcPr>
                  <w:tcW w:w="384" w:type="pct"/>
                  <w:vAlign w:val="center"/>
                </w:tcPr>
                <w:p w14:paraId="470FDADE">
                  <w:pPr>
                    <w:pStyle w:val="13"/>
                    <w:rPr>
                      <w:color w:val="auto"/>
                      <w:highlight w:val="none"/>
                    </w:rPr>
                  </w:pPr>
                  <w:r>
                    <w:rPr>
                      <w:rFonts w:hint="eastAsia"/>
                      <w:color w:val="auto"/>
                      <w:highlight w:val="none"/>
                    </w:rPr>
                    <w:t>1</w:t>
                  </w:r>
                  <w:r>
                    <w:rPr>
                      <w:color w:val="auto"/>
                      <w:highlight w:val="none"/>
                    </w:rPr>
                    <w:t>次/</w:t>
                  </w:r>
                  <w:r>
                    <w:rPr>
                      <w:rFonts w:hint="eastAsia"/>
                      <w:color w:val="auto"/>
                      <w:highlight w:val="none"/>
                      <w:lang w:val="en-US" w:eastAsia="zh-CN"/>
                    </w:rPr>
                    <w:t>半</w:t>
                  </w:r>
                  <w:r>
                    <w:rPr>
                      <w:color w:val="auto"/>
                      <w:highlight w:val="none"/>
                    </w:rPr>
                    <w:t>年</w:t>
                  </w:r>
                </w:p>
              </w:tc>
              <w:tc>
                <w:tcPr>
                  <w:tcW w:w="2195" w:type="pct"/>
                  <w:vAlign w:val="center"/>
                </w:tcPr>
                <w:p w14:paraId="464C5309">
                  <w:pPr>
                    <w:pStyle w:val="13"/>
                    <w:rPr>
                      <w:color w:val="auto"/>
                      <w:highlight w:val="none"/>
                    </w:rPr>
                  </w:pPr>
                  <w:r>
                    <w:rPr>
                      <w:color w:val="auto"/>
                      <w:highlight w:val="none"/>
                    </w:rPr>
                    <w:t>《大气污染物综合排标准》</w:t>
                  </w:r>
                  <w:r>
                    <w:rPr>
                      <w:rFonts w:hint="eastAsia"/>
                      <w:color w:val="auto"/>
                      <w:highlight w:val="none"/>
                    </w:rPr>
                    <w:t>（</w:t>
                  </w:r>
                  <w:r>
                    <w:rPr>
                      <w:color w:val="auto"/>
                      <w:highlight w:val="none"/>
                    </w:rPr>
                    <w:t>GB</w:t>
                  </w:r>
                  <w:r>
                    <w:rPr>
                      <w:rFonts w:hint="eastAsia"/>
                      <w:color w:val="auto"/>
                      <w:highlight w:val="none"/>
                    </w:rPr>
                    <w:t xml:space="preserve"> </w:t>
                  </w:r>
                  <w:r>
                    <w:rPr>
                      <w:color w:val="auto"/>
                      <w:highlight w:val="none"/>
                    </w:rPr>
                    <w:t>16297-1996</w:t>
                  </w:r>
                  <w:r>
                    <w:rPr>
                      <w:rFonts w:hint="eastAsia"/>
                      <w:color w:val="auto"/>
                      <w:highlight w:val="none"/>
                    </w:rPr>
                    <w:t>）</w:t>
                  </w:r>
                  <w:r>
                    <w:rPr>
                      <w:color w:val="auto"/>
                      <w:highlight w:val="none"/>
                    </w:rPr>
                    <w:t>表2中的二级标准</w:t>
                  </w:r>
                </w:p>
              </w:tc>
            </w:tr>
            <w:tr w14:paraId="22F52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7" w:type="pct"/>
                  <w:vMerge w:val="continue"/>
                  <w:vAlign w:val="center"/>
                </w:tcPr>
                <w:p w14:paraId="02C9184E">
                  <w:pPr>
                    <w:pStyle w:val="13"/>
                    <w:rPr>
                      <w:color w:val="auto"/>
                      <w:highlight w:val="none"/>
                    </w:rPr>
                  </w:pPr>
                </w:p>
              </w:tc>
              <w:tc>
                <w:tcPr>
                  <w:tcW w:w="616" w:type="pct"/>
                  <w:vAlign w:val="center"/>
                </w:tcPr>
                <w:p w14:paraId="77B61D02">
                  <w:pPr>
                    <w:pStyle w:val="13"/>
                    <w:rPr>
                      <w:color w:val="auto"/>
                      <w:highlight w:val="none"/>
                    </w:rPr>
                  </w:pPr>
                  <w:r>
                    <w:rPr>
                      <w:rFonts w:hint="eastAsia"/>
                      <w:color w:val="auto"/>
                      <w:highlight w:val="none"/>
                    </w:rPr>
                    <w:t>饲料颗粒生产线</w:t>
                  </w:r>
                </w:p>
              </w:tc>
              <w:tc>
                <w:tcPr>
                  <w:tcW w:w="384" w:type="pct"/>
                  <w:vAlign w:val="center"/>
                </w:tcPr>
                <w:p w14:paraId="2083CA2B">
                  <w:pPr>
                    <w:pStyle w:val="13"/>
                    <w:rPr>
                      <w:color w:val="auto"/>
                      <w:highlight w:val="none"/>
                    </w:rPr>
                  </w:pPr>
                  <w:r>
                    <w:rPr>
                      <w:rFonts w:hint="eastAsia"/>
                      <w:color w:val="auto"/>
                      <w:highlight w:val="none"/>
                    </w:rPr>
                    <w:t>DA002</w:t>
                  </w:r>
                </w:p>
              </w:tc>
              <w:tc>
                <w:tcPr>
                  <w:tcW w:w="1062" w:type="pct"/>
                  <w:vAlign w:val="center"/>
                </w:tcPr>
                <w:p w14:paraId="7AEFA883">
                  <w:pPr>
                    <w:pStyle w:val="13"/>
                    <w:rPr>
                      <w:color w:val="auto"/>
                      <w:highlight w:val="none"/>
                    </w:rPr>
                  </w:pPr>
                  <w:r>
                    <w:rPr>
                      <w:color w:val="auto"/>
                      <w:highlight w:val="none"/>
                    </w:rPr>
                    <w:t>颗粒物</w:t>
                  </w:r>
                </w:p>
              </w:tc>
              <w:tc>
                <w:tcPr>
                  <w:tcW w:w="384" w:type="pct"/>
                  <w:vAlign w:val="center"/>
                </w:tcPr>
                <w:p w14:paraId="5720A213">
                  <w:pPr>
                    <w:pStyle w:val="13"/>
                    <w:rPr>
                      <w:color w:val="auto"/>
                      <w:highlight w:val="none"/>
                    </w:rPr>
                  </w:pPr>
                  <w:r>
                    <w:rPr>
                      <w:rFonts w:hint="eastAsia"/>
                      <w:color w:val="auto"/>
                      <w:highlight w:val="none"/>
                    </w:rPr>
                    <w:t>1</w:t>
                  </w:r>
                  <w:r>
                    <w:rPr>
                      <w:color w:val="auto"/>
                      <w:highlight w:val="none"/>
                    </w:rPr>
                    <w:t>次/</w:t>
                  </w:r>
                  <w:r>
                    <w:rPr>
                      <w:rFonts w:hint="eastAsia"/>
                      <w:color w:val="auto"/>
                      <w:highlight w:val="none"/>
                      <w:lang w:val="en-US" w:eastAsia="zh-CN"/>
                    </w:rPr>
                    <w:t>半</w:t>
                  </w:r>
                  <w:r>
                    <w:rPr>
                      <w:color w:val="auto"/>
                      <w:highlight w:val="none"/>
                    </w:rPr>
                    <w:t>年</w:t>
                  </w:r>
                </w:p>
              </w:tc>
              <w:tc>
                <w:tcPr>
                  <w:tcW w:w="2195" w:type="pct"/>
                  <w:vAlign w:val="center"/>
                </w:tcPr>
                <w:p w14:paraId="19F68FBE">
                  <w:pPr>
                    <w:pStyle w:val="13"/>
                    <w:rPr>
                      <w:color w:val="auto"/>
                      <w:highlight w:val="none"/>
                    </w:rPr>
                  </w:pPr>
                  <w:r>
                    <w:rPr>
                      <w:color w:val="auto"/>
                      <w:highlight w:val="none"/>
                    </w:rPr>
                    <w:t>《大气污染物综合排标准》</w:t>
                  </w:r>
                  <w:r>
                    <w:rPr>
                      <w:rFonts w:hint="eastAsia"/>
                      <w:color w:val="auto"/>
                      <w:highlight w:val="none"/>
                    </w:rPr>
                    <w:t>（</w:t>
                  </w:r>
                  <w:r>
                    <w:rPr>
                      <w:color w:val="auto"/>
                      <w:highlight w:val="none"/>
                    </w:rPr>
                    <w:t>GB</w:t>
                  </w:r>
                  <w:r>
                    <w:rPr>
                      <w:rFonts w:hint="eastAsia"/>
                      <w:color w:val="auto"/>
                      <w:highlight w:val="none"/>
                    </w:rPr>
                    <w:t xml:space="preserve"> </w:t>
                  </w:r>
                  <w:r>
                    <w:rPr>
                      <w:color w:val="auto"/>
                      <w:highlight w:val="none"/>
                    </w:rPr>
                    <w:t>16297-1996</w:t>
                  </w:r>
                  <w:r>
                    <w:rPr>
                      <w:rFonts w:hint="eastAsia"/>
                      <w:color w:val="auto"/>
                      <w:highlight w:val="none"/>
                    </w:rPr>
                    <w:t>）</w:t>
                  </w:r>
                  <w:r>
                    <w:rPr>
                      <w:color w:val="auto"/>
                      <w:highlight w:val="none"/>
                    </w:rPr>
                    <w:t>表2中的二级标准</w:t>
                  </w:r>
                </w:p>
              </w:tc>
            </w:tr>
            <w:tr w14:paraId="076B7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7" w:type="pct"/>
                  <w:vMerge w:val="continue"/>
                  <w:vAlign w:val="center"/>
                </w:tcPr>
                <w:p w14:paraId="3113DFAE">
                  <w:pPr>
                    <w:pStyle w:val="13"/>
                    <w:rPr>
                      <w:color w:val="auto"/>
                      <w:highlight w:val="none"/>
                    </w:rPr>
                  </w:pPr>
                </w:p>
              </w:tc>
              <w:tc>
                <w:tcPr>
                  <w:tcW w:w="616" w:type="pct"/>
                  <w:vAlign w:val="center"/>
                </w:tcPr>
                <w:p w14:paraId="6278F36C">
                  <w:pPr>
                    <w:pStyle w:val="13"/>
                    <w:rPr>
                      <w:color w:val="auto"/>
                      <w:highlight w:val="none"/>
                    </w:rPr>
                  </w:pPr>
                  <w:r>
                    <w:rPr>
                      <w:rFonts w:hint="eastAsia"/>
                      <w:color w:val="auto"/>
                      <w:highlight w:val="none"/>
                    </w:rPr>
                    <w:t>锅炉废气</w:t>
                  </w:r>
                </w:p>
              </w:tc>
              <w:tc>
                <w:tcPr>
                  <w:tcW w:w="384" w:type="pct"/>
                  <w:vAlign w:val="center"/>
                </w:tcPr>
                <w:p w14:paraId="551F4E93">
                  <w:pPr>
                    <w:pStyle w:val="13"/>
                    <w:rPr>
                      <w:color w:val="auto"/>
                      <w:highlight w:val="none"/>
                    </w:rPr>
                  </w:pPr>
                  <w:r>
                    <w:rPr>
                      <w:rFonts w:hint="eastAsia"/>
                      <w:color w:val="auto"/>
                      <w:highlight w:val="none"/>
                    </w:rPr>
                    <w:t>DA003</w:t>
                  </w:r>
                </w:p>
              </w:tc>
              <w:tc>
                <w:tcPr>
                  <w:tcW w:w="1062" w:type="pct"/>
                  <w:vAlign w:val="center"/>
                </w:tcPr>
                <w:p w14:paraId="2D163D2A">
                  <w:pPr>
                    <w:pStyle w:val="13"/>
                    <w:rPr>
                      <w:color w:val="auto"/>
                      <w:highlight w:val="none"/>
                    </w:rPr>
                  </w:pPr>
                  <w:r>
                    <w:rPr>
                      <w:color w:val="auto"/>
                      <w:highlight w:val="none"/>
                    </w:rPr>
                    <w:t>颗粒物、二氧化硫、氮氧化物</w:t>
                  </w:r>
                  <w:r>
                    <w:rPr>
                      <w:rFonts w:hint="eastAsia"/>
                      <w:color w:val="auto"/>
                      <w:highlight w:val="none"/>
                    </w:rPr>
                    <w:t>、烟气黑度</w:t>
                  </w:r>
                </w:p>
              </w:tc>
              <w:tc>
                <w:tcPr>
                  <w:tcW w:w="384" w:type="pct"/>
                  <w:vAlign w:val="center"/>
                </w:tcPr>
                <w:p w14:paraId="49352CFA">
                  <w:pPr>
                    <w:pStyle w:val="13"/>
                    <w:rPr>
                      <w:rFonts w:hint="eastAsia" w:eastAsia="宋体"/>
                      <w:color w:val="auto"/>
                      <w:highlight w:val="none"/>
                      <w:lang w:eastAsia="zh-CN"/>
                    </w:rPr>
                  </w:pPr>
                  <w:r>
                    <w:rPr>
                      <w:rFonts w:hint="eastAsia"/>
                      <w:color w:val="auto"/>
                      <w:highlight w:val="none"/>
                    </w:rPr>
                    <w:t>1</w:t>
                  </w:r>
                  <w:r>
                    <w:rPr>
                      <w:color w:val="auto"/>
                      <w:highlight w:val="none"/>
                    </w:rPr>
                    <w:t>次/</w:t>
                  </w:r>
                  <w:r>
                    <w:rPr>
                      <w:rFonts w:hint="eastAsia"/>
                      <w:color w:val="auto"/>
                      <w:highlight w:val="none"/>
                      <w:lang w:val="en-US" w:eastAsia="zh-CN"/>
                    </w:rPr>
                    <w:t>月</w:t>
                  </w:r>
                </w:p>
              </w:tc>
              <w:tc>
                <w:tcPr>
                  <w:tcW w:w="2195" w:type="pct"/>
                  <w:vAlign w:val="center"/>
                </w:tcPr>
                <w:p w14:paraId="180B5FEB">
                  <w:pPr>
                    <w:pStyle w:val="13"/>
                    <w:rPr>
                      <w:color w:val="auto"/>
                      <w:highlight w:val="none"/>
                    </w:rPr>
                  </w:pPr>
                  <w:r>
                    <w:rPr>
                      <w:rFonts w:hint="eastAsia"/>
                      <w:color w:val="auto"/>
                      <w:highlight w:val="none"/>
                    </w:rPr>
                    <w:t>《锅炉大气污染物排放标准》（GB13271-2014）表</w:t>
                  </w:r>
                  <w:r>
                    <w:rPr>
                      <w:rFonts w:hint="eastAsia"/>
                      <w:color w:val="auto"/>
                      <w:highlight w:val="none"/>
                      <w:lang w:val="en-US" w:eastAsia="zh-CN"/>
                    </w:rPr>
                    <w:t>2</w:t>
                  </w:r>
                  <w:r>
                    <w:rPr>
                      <w:rFonts w:hint="eastAsia"/>
                      <w:color w:val="auto"/>
                      <w:highlight w:val="none"/>
                    </w:rPr>
                    <w:t>中燃煤锅炉排放限值</w:t>
                  </w:r>
                </w:p>
              </w:tc>
            </w:tr>
            <w:tr w14:paraId="28D84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7" w:type="pct"/>
                  <w:vAlign w:val="center"/>
                </w:tcPr>
                <w:p w14:paraId="4213D077">
                  <w:pPr>
                    <w:pStyle w:val="13"/>
                    <w:rPr>
                      <w:color w:val="auto"/>
                      <w:highlight w:val="none"/>
                    </w:rPr>
                  </w:pPr>
                  <w:r>
                    <w:rPr>
                      <w:color w:val="auto"/>
                      <w:highlight w:val="none"/>
                    </w:rPr>
                    <w:t>无组织</w:t>
                  </w:r>
                </w:p>
              </w:tc>
              <w:tc>
                <w:tcPr>
                  <w:tcW w:w="616" w:type="pct"/>
                  <w:vAlign w:val="center"/>
                </w:tcPr>
                <w:p w14:paraId="0D314704">
                  <w:pPr>
                    <w:pStyle w:val="13"/>
                    <w:rPr>
                      <w:color w:val="auto"/>
                      <w:highlight w:val="none"/>
                    </w:rPr>
                  </w:pPr>
                  <w:r>
                    <w:rPr>
                      <w:color w:val="auto"/>
                      <w:highlight w:val="none"/>
                    </w:rPr>
                    <w:t>租赁厂房未完全收集的废气</w:t>
                  </w:r>
                </w:p>
              </w:tc>
              <w:tc>
                <w:tcPr>
                  <w:tcW w:w="384" w:type="pct"/>
                  <w:vAlign w:val="center"/>
                </w:tcPr>
                <w:p w14:paraId="367E1981">
                  <w:pPr>
                    <w:pStyle w:val="13"/>
                    <w:rPr>
                      <w:color w:val="auto"/>
                      <w:highlight w:val="none"/>
                    </w:rPr>
                  </w:pPr>
                  <w:r>
                    <w:rPr>
                      <w:color w:val="auto"/>
                      <w:highlight w:val="none"/>
                    </w:rPr>
                    <w:t>厂界</w:t>
                  </w:r>
                </w:p>
              </w:tc>
              <w:tc>
                <w:tcPr>
                  <w:tcW w:w="1062" w:type="pct"/>
                  <w:vAlign w:val="center"/>
                </w:tcPr>
                <w:p w14:paraId="1EA5346B">
                  <w:pPr>
                    <w:pStyle w:val="13"/>
                    <w:rPr>
                      <w:color w:val="auto"/>
                      <w:highlight w:val="none"/>
                    </w:rPr>
                  </w:pPr>
                  <w:r>
                    <w:rPr>
                      <w:color w:val="auto"/>
                      <w:highlight w:val="none"/>
                    </w:rPr>
                    <w:t>颗粒物</w:t>
                  </w:r>
                </w:p>
              </w:tc>
              <w:tc>
                <w:tcPr>
                  <w:tcW w:w="384" w:type="pct"/>
                  <w:vAlign w:val="center"/>
                </w:tcPr>
                <w:p w14:paraId="42D8BC72">
                  <w:pPr>
                    <w:pStyle w:val="13"/>
                    <w:rPr>
                      <w:rFonts w:hint="eastAsia" w:eastAsia="宋体"/>
                      <w:color w:val="auto"/>
                      <w:highlight w:val="none"/>
                      <w:lang w:eastAsia="zh-CN"/>
                    </w:rPr>
                  </w:pPr>
                  <w:r>
                    <w:rPr>
                      <w:rFonts w:hint="eastAsia"/>
                      <w:color w:val="auto"/>
                      <w:highlight w:val="none"/>
                    </w:rPr>
                    <w:t>1</w:t>
                  </w:r>
                  <w:r>
                    <w:rPr>
                      <w:color w:val="auto"/>
                      <w:highlight w:val="none"/>
                    </w:rPr>
                    <w:t>次/</w:t>
                  </w:r>
                  <w:r>
                    <w:rPr>
                      <w:rFonts w:hint="eastAsia"/>
                      <w:color w:val="auto"/>
                      <w:highlight w:val="none"/>
                      <w:lang w:val="en-US" w:eastAsia="zh-CN"/>
                    </w:rPr>
                    <w:t>季度</w:t>
                  </w:r>
                </w:p>
              </w:tc>
              <w:tc>
                <w:tcPr>
                  <w:tcW w:w="2195" w:type="pct"/>
                  <w:vAlign w:val="center"/>
                </w:tcPr>
                <w:p w14:paraId="0FC23783">
                  <w:pPr>
                    <w:pStyle w:val="13"/>
                    <w:rPr>
                      <w:color w:val="auto"/>
                      <w:highlight w:val="none"/>
                    </w:rPr>
                  </w:pPr>
                  <w:r>
                    <w:rPr>
                      <w:color w:val="auto"/>
                      <w:highlight w:val="none"/>
                    </w:rPr>
                    <w:t>《大气污染物综合排标准》</w:t>
                  </w:r>
                  <w:r>
                    <w:rPr>
                      <w:rFonts w:hint="eastAsia"/>
                      <w:color w:val="auto"/>
                      <w:highlight w:val="none"/>
                    </w:rPr>
                    <w:t>（</w:t>
                  </w:r>
                  <w:r>
                    <w:rPr>
                      <w:color w:val="auto"/>
                      <w:highlight w:val="none"/>
                    </w:rPr>
                    <w:t>GB</w:t>
                  </w:r>
                  <w:r>
                    <w:rPr>
                      <w:rFonts w:hint="eastAsia"/>
                      <w:color w:val="auto"/>
                      <w:highlight w:val="none"/>
                    </w:rPr>
                    <w:t xml:space="preserve"> </w:t>
                  </w:r>
                  <w:r>
                    <w:rPr>
                      <w:color w:val="auto"/>
                      <w:highlight w:val="none"/>
                    </w:rPr>
                    <w:t>16297-1996</w:t>
                  </w:r>
                  <w:r>
                    <w:rPr>
                      <w:rFonts w:hint="eastAsia"/>
                      <w:color w:val="auto"/>
                      <w:highlight w:val="none"/>
                    </w:rPr>
                    <w:t>）</w:t>
                  </w:r>
                  <w:r>
                    <w:rPr>
                      <w:color w:val="auto"/>
                      <w:highlight w:val="none"/>
                    </w:rPr>
                    <w:t>表2中的无组织监控浓度限值</w:t>
                  </w:r>
                </w:p>
              </w:tc>
            </w:tr>
          </w:tbl>
          <w:p w14:paraId="0BD26161">
            <w:pPr>
              <w:ind w:firstLine="480"/>
              <w:rPr>
                <w:color w:val="auto"/>
                <w:highlight w:val="none"/>
              </w:rPr>
            </w:pPr>
          </w:p>
          <w:p w14:paraId="10A719E0">
            <w:pPr>
              <w:ind w:firstLine="480"/>
              <w:rPr>
                <w:color w:val="auto"/>
                <w:highlight w:val="none"/>
              </w:rPr>
            </w:pPr>
          </w:p>
          <w:p w14:paraId="75985294">
            <w:pPr>
              <w:ind w:firstLine="480"/>
              <w:rPr>
                <w:color w:val="auto"/>
                <w:highlight w:val="none"/>
              </w:rPr>
            </w:pPr>
          </w:p>
          <w:p w14:paraId="71740EA4">
            <w:pPr>
              <w:ind w:firstLine="480"/>
              <w:rPr>
                <w:color w:val="auto"/>
                <w:highlight w:val="none"/>
              </w:rPr>
            </w:pPr>
          </w:p>
          <w:p w14:paraId="0C629BFF">
            <w:pPr>
              <w:ind w:firstLine="480"/>
              <w:rPr>
                <w:color w:val="auto"/>
                <w:highlight w:val="none"/>
              </w:rPr>
            </w:pPr>
          </w:p>
          <w:p w14:paraId="3E074733">
            <w:pPr>
              <w:ind w:firstLine="480"/>
              <w:rPr>
                <w:color w:val="auto"/>
                <w:highlight w:val="none"/>
              </w:rPr>
            </w:pPr>
          </w:p>
        </w:tc>
      </w:tr>
    </w:tbl>
    <w:p w14:paraId="08039117">
      <w:pPr>
        <w:ind w:firstLine="480"/>
        <w:rPr>
          <w:color w:val="auto"/>
          <w:highlight w:val="none"/>
        </w:rPr>
        <w:sectPr>
          <w:pgSz w:w="16838" w:h="11906" w:orient="landscape"/>
          <w:pgMar w:top="1134" w:right="1134" w:bottom="1247" w:left="1247" w:header="851" w:footer="850" w:gutter="0"/>
          <w:cols w:space="425" w:num="1"/>
          <w:docGrid w:type="lines" w:linePitch="312" w:charSpace="0"/>
        </w:sectPr>
      </w:pPr>
    </w:p>
    <w:tbl>
      <w:tblPr>
        <w:tblStyle w:val="1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9282"/>
      </w:tblGrid>
      <w:tr w14:paraId="2152D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 w:type="pct"/>
          </w:tcPr>
          <w:p w14:paraId="0BE1E74A">
            <w:pPr>
              <w:ind w:firstLine="0" w:firstLineChars="0"/>
              <w:rPr>
                <w:color w:val="auto"/>
                <w:highlight w:val="none"/>
              </w:rPr>
            </w:pPr>
            <w:r>
              <w:rPr>
                <w:rFonts w:hint="eastAsia"/>
                <w:b/>
                <w:bCs/>
                <w:color w:val="auto"/>
                <w:highlight w:val="none"/>
              </w:rPr>
              <w:t>运营期环境保护措施</w:t>
            </w:r>
          </w:p>
        </w:tc>
        <w:tc>
          <w:tcPr>
            <w:tcW w:w="4771" w:type="pct"/>
          </w:tcPr>
          <w:p w14:paraId="7472C3BE">
            <w:pPr>
              <w:pStyle w:val="2"/>
              <w:ind w:firstLine="482"/>
              <w:rPr>
                <w:color w:val="auto"/>
                <w:highlight w:val="none"/>
              </w:rPr>
            </w:pPr>
            <w:r>
              <w:rPr>
                <w:rFonts w:hint="eastAsia"/>
                <w:color w:val="auto"/>
                <w:highlight w:val="none"/>
              </w:rPr>
              <w:t>2、废气污染源强核算</w:t>
            </w:r>
          </w:p>
          <w:p w14:paraId="71CC4343">
            <w:pPr>
              <w:ind w:firstLine="480"/>
              <w:rPr>
                <w:color w:val="auto"/>
                <w:highlight w:val="none"/>
              </w:rPr>
            </w:pPr>
            <w:r>
              <w:rPr>
                <w:rFonts w:hint="eastAsia"/>
                <w:color w:val="auto"/>
                <w:highlight w:val="none"/>
              </w:rPr>
              <w:t>本项目废气主要为G1秸秆饲料生产废气、G2饲料颗粒生产废气和G3锅炉废气。</w:t>
            </w:r>
          </w:p>
          <w:p w14:paraId="443D4944">
            <w:pPr>
              <w:pStyle w:val="3"/>
              <w:ind w:firstLine="482"/>
              <w:rPr>
                <w:color w:val="auto"/>
                <w:highlight w:val="none"/>
              </w:rPr>
            </w:pPr>
            <w:r>
              <w:rPr>
                <w:rFonts w:hint="eastAsia"/>
                <w:color w:val="auto"/>
                <w:highlight w:val="none"/>
              </w:rPr>
              <w:t>（1）废气产生情况</w:t>
            </w:r>
          </w:p>
          <w:p w14:paraId="7E308D24">
            <w:pPr>
              <w:ind w:firstLine="482"/>
              <w:rPr>
                <w:b/>
                <w:bCs/>
                <w:color w:val="auto"/>
                <w:highlight w:val="none"/>
              </w:rPr>
            </w:pPr>
            <w:r>
              <w:rPr>
                <w:rFonts w:hint="eastAsia"/>
                <w:b/>
                <w:bCs/>
                <w:color w:val="auto"/>
                <w:highlight w:val="none"/>
              </w:rPr>
              <w:t>G1秸秆饲料生产废气</w:t>
            </w:r>
          </w:p>
          <w:p w14:paraId="27A39D4F">
            <w:pPr>
              <w:ind w:firstLine="480"/>
              <w:rPr>
                <w:rFonts w:hint="eastAsia"/>
                <w:color w:val="auto"/>
                <w:highlight w:val="none"/>
              </w:rPr>
            </w:pPr>
            <w:r>
              <w:rPr>
                <w:rFonts w:hint="eastAsia"/>
                <w:color w:val="auto"/>
                <w:highlight w:val="none"/>
              </w:rPr>
              <w:t>秸秆饲料生产过程中会产生颗粒物，颗粒物参照《排放源统计调查产排污核算方法和系数手册》中《132 饲料加工行业系数手册》</w:t>
            </w:r>
            <w:r>
              <w:rPr>
                <w:rFonts w:hint="eastAsia"/>
                <w:b/>
                <w:bCs/>
                <w:color w:val="auto"/>
                <w:highlight w:val="none"/>
              </w:rPr>
              <w:t>“根据饲料加工行业的生产特点，将除尘系统纳入生产工艺设备，不再单独记录末端治理设施运行信息。因此，饲料加工行业颗粒物的产生量和排放量相等。”</w:t>
            </w:r>
            <w:r>
              <w:rPr>
                <w:rFonts w:hint="eastAsia"/>
                <w:color w:val="auto"/>
                <w:highlight w:val="none"/>
              </w:rPr>
              <w:t>“粉碎+混合+制粒（可不制粒）+除尘”的产污系数，颗粒物产污系数为0.043kg/t-产品。本项目秸秆饲料产量为15000t/a，则G1秸秆饲料生产废气的颗粒物产生量（排放量）为0.645t/a。</w:t>
            </w:r>
          </w:p>
          <w:p w14:paraId="4A25C81A">
            <w:pPr>
              <w:ind w:firstLine="480"/>
              <w:rPr>
                <w:rFonts w:hint="default"/>
                <w:color w:val="auto"/>
                <w:highlight w:val="none"/>
                <w:lang w:val="en-US" w:eastAsia="zh-CN"/>
              </w:rPr>
            </w:pPr>
            <w:r>
              <w:rPr>
                <w:rFonts w:hint="eastAsia"/>
                <w:color w:val="auto"/>
                <w:highlight w:val="none"/>
                <w:lang w:val="en-US" w:eastAsia="zh-CN"/>
              </w:rPr>
              <w:t>秸秆饲料生产过程中，秸秆采用叉车转运，此时也会产生粉尘，项目转运粉尘无组织排放。转运粉尘参考《排放源统计调查产排污核算方法和系数手册》中附表2“工业源固体物料堆场颗粒物核算系数手册”装卸扬尘计算公式：</w:t>
            </w:r>
          </w:p>
          <w:p w14:paraId="0E1D2462">
            <w:pPr>
              <w:ind w:firstLine="480"/>
              <w:jc w:val="center"/>
              <w:rPr>
                <w:rFonts w:hint="eastAsia"/>
                <w:color w:val="auto"/>
                <w:highlight w:val="none"/>
              </w:rPr>
            </w:pPr>
            <w:r>
              <w:rPr>
                <w:rFonts w:hint="eastAsia"/>
                <w:color w:val="auto"/>
                <w:highlight w:val="none"/>
                <w:lang w:val="en-US" w:eastAsia="zh-CN"/>
              </w:rPr>
              <w:t>ZCy</w:t>
            </w:r>
            <w:r>
              <w:rPr>
                <w:rFonts w:hint="eastAsia"/>
                <w:color w:val="auto"/>
                <w:highlight w:val="none"/>
              </w:rPr>
              <w:t>=</w:t>
            </w:r>
            <w:r>
              <w:rPr>
                <w:rFonts w:hint="eastAsia"/>
                <w:color w:val="auto"/>
                <w:highlight w:val="none"/>
                <w:lang w:val="en-US" w:eastAsia="zh-CN"/>
              </w:rPr>
              <w:t>（Nc</w:t>
            </w:r>
            <w:r>
              <w:rPr>
                <w:rFonts w:hint="default" w:ascii="Times New Roman" w:hAnsi="Times New Roman" w:cs="Times New Roman"/>
                <w:color w:val="auto"/>
                <w:highlight w:val="none"/>
              </w:rPr>
              <w:t>×</w:t>
            </w:r>
            <w:r>
              <w:rPr>
                <w:rFonts w:hint="eastAsia"/>
                <w:color w:val="auto"/>
                <w:highlight w:val="none"/>
                <w:lang w:val="en-US" w:eastAsia="zh-CN"/>
              </w:rPr>
              <w:t>D</w:t>
            </w:r>
            <w:r>
              <w:rPr>
                <w:rFonts w:hint="default" w:ascii="Times New Roman" w:hAnsi="Times New Roman" w:cs="Times New Roman"/>
                <w:color w:val="auto"/>
                <w:highlight w:val="none"/>
              </w:rPr>
              <w:t>×</w:t>
            </w:r>
            <w:r>
              <w:rPr>
                <w:rFonts w:hint="eastAsia"/>
                <w:color w:val="auto"/>
                <w:highlight w:val="none"/>
                <w:lang w:val="en-US" w:eastAsia="zh-CN"/>
              </w:rPr>
              <w:t>(a/b)）</w:t>
            </w:r>
            <w:r>
              <w:rPr>
                <w:rFonts w:hint="default" w:ascii="Times New Roman" w:hAnsi="Times New Roman" w:cs="Times New Roman"/>
                <w:color w:val="auto"/>
                <w:highlight w:val="none"/>
              </w:rPr>
              <w:t>×</w:t>
            </w:r>
            <w:r>
              <w:rPr>
                <w:rFonts w:hint="eastAsia"/>
                <w:color w:val="auto"/>
                <w:highlight w:val="none"/>
              </w:rPr>
              <w:t>10</w:t>
            </w:r>
            <w:r>
              <w:rPr>
                <w:rFonts w:hint="eastAsia"/>
                <w:color w:val="auto"/>
                <w:highlight w:val="none"/>
                <w:vertAlign w:val="superscript"/>
              </w:rPr>
              <w:t>−3</w:t>
            </w:r>
          </w:p>
          <w:p w14:paraId="381B93DD">
            <w:pPr>
              <w:ind w:firstLine="480"/>
              <w:rPr>
                <w:rFonts w:hint="eastAsia"/>
                <w:color w:val="auto"/>
                <w:highlight w:val="none"/>
              </w:rPr>
            </w:pPr>
            <w:r>
              <w:rPr>
                <w:rFonts w:hint="eastAsia"/>
                <w:color w:val="auto"/>
                <w:highlight w:val="none"/>
              </w:rPr>
              <w:t>式中：</w:t>
            </w:r>
          </w:p>
          <w:p w14:paraId="0C95AAFD">
            <w:pPr>
              <w:ind w:firstLine="480"/>
              <w:rPr>
                <w:rFonts w:hint="eastAsia"/>
                <w:color w:val="auto"/>
                <w:highlight w:val="none"/>
              </w:rPr>
            </w:pPr>
            <w:r>
              <w:rPr>
                <w:rFonts w:hint="eastAsia"/>
                <w:color w:val="auto"/>
                <w:highlight w:val="none"/>
              </w:rPr>
              <w:t>ZCy</w:t>
            </w:r>
            <w:r>
              <w:rPr>
                <w:rFonts w:hint="eastAsia"/>
                <w:color w:val="auto"/>
                <w:highlight w:val="none"/>
                <w:lang w:eastAsia="zh-CN"/>
              </w:rPr>
              <w:t>——</w:t>
            </w:r>
            <w:r>
              <w:rPr>
                <w:rFonts w:hint="eastAsia"/>
                <w:color w:val="auto"/>
                <w:highlight w:val="none"/>
              </w:rPr>
              <w:t>指装卸扬尘产生量（单位：吨）；</w:t>
            </w:r>
          </w:p>
          <w:p w14:paraId="0669467E">
            <w:pPr>
              <w:ind w:firstLine="480"/>
              <w:rPr>
                <w:rFonts w:hint="eastAsia"/>
                <w:color w:val="auto"/>
                <w:highlight w:val="none"/>
              </w:rPr>
            </w:pPr>
            <w:r>
              <w:rPr>
                <w:rFonts w:hint="eastAsia"/>
                <w:color w:val="auto"/>
                <w:highlight w:val="none"/>
              </w:rPr>
              <w:t>Nc</w:t>
            </w:r>
            <w:r>
              <w:rPr>
                <w:rFonts w:hint="eastAsia"/>
                <w:color w:val="auto"/>
                <w:highlight w:val="none"/>
                <w:lang w:eastAsia="zh-CN"/>
              </w:rPr>
              <w:t>——</w:t>
            </w:r>
            <w:r>
              <w:rPr>
                <w:rFonts w:hint="eastAsia"/>
                <w:color w:val="auto"/>
                <w:highlight w:val="none"/>
              </w:rPr>
              <w:t>指年物料运载车次（单位：车）；</w:t>
            </w:r>
          </w:p>
          <w:p w14:paraId="24501B2B">
            <w:pPr>
              <w:ind w:firstLine="480"/>
              <w:rPr>
                <w:rFonts w:hint="eastAsia"/>
                <w:color w:val="auto"/>
                <w:highlight w:val="none"/>
              </w:rPr>
            </w:pPr>
            <w:r>
              <w:rPr>
                <w:rFonts w:hint="eastAsia"/>
                <w:color w:val="auto"/>
                <w:highlight w:val="none"/>
              </w:rPr>
              <w:t>D</w:t>
            </w:r>
            <w:r>
              <w:rPr>
                <w:rFonts w:hint="eastAsia"/>
                <w:color w:val="auto"/>
                <w:highlight w:val="none"/>
                <w:lang w:eastAsia="zh-CN"/>
              </w:rPr>
              <w:t>——</w:t>
            </w:r>
            <w:r>
              <w:rPr>
                <w:rFonts w:hint="eastAsia"/>
                <w:color w:val="auto"/>
                <w:highlight w:val="none"/>
              </w:rPr>
              <w:t>指单车平均运载量（单位：吨/车）；</w:t>
            </w:r>
          </w:p>
          <w:p w14:paraId="5B3ECDB3">
            <w:pPr>
              <w:numPr>
                <w:ilvl w:val="0"/>
                <w:numId w:val="0"/>
              </w:numPr>
              <w:ind w:firstLine="480" w:firstLineChars="200"/>
              <w:rPr>
                <w:rFonts w:hint="eastAsia"/>
                <w:color w:val="auto"/>
                <w:highlight w:val="none"/>
                <w:lang w:eastAsia="zh-CN"/>
              </w:rPr>
            </w:pPr>
            <w:r>
              <w:rPr>
                <w:rFonts w:hint="eastAsia" w:ascii="Times New Roman" w:hAnsi="Times New Roman" w:eastAsia="宋体" w:cstheme="minorBidi"/>
                <w:color w:val="auto"/>
                <w:kern w:val="2"/>
                <w:sz w:val="24"/>
                <w:szCs w:val="21"/>
                <w:highlight w:val="none"/>
                <w:lang w:val="en-US" w:eastAsia="zh-CN" w:bidi="ar-SA"/>
              </w:rPr>
              <w:t>(a</w:t>
            </w:r>
            <w:r>
              <w:rPr>
                <w:rFonts w:hint="eastAsia" w:cstheme="minorBidi"/>
                <w:color w:val="auto"/>
                <w:kern w:val="2"/>
                <w:sz w:val="24"/>
                <w:szCs w:val="21"/>
                <w:highlight w:val="none"/>
                <w:lang w:val="en-US" w:eastAsia="zh-CN" w:bidi="ar-SA"/>
              </w:rPr>
              <w:t>/</w:t>
            </w:r>
            <w:r>
              <w:rPr>
                <w:rFonts w:hint="eastAsia"/>
                <w:color w:val="auto"/>
                <w:highlight w:val="none"/>
                <w:lang w:val="en-US" w:eastAsia="zh-CN"/>
              </w:rPr>
              <w:t>b)</w:t>
            </w:r>
            <w:r>
              <w:rPr>
                <w:rFonts w:hint="eastAsia"/>
                <w:color w:val="auto"/>
                <w:highlight w:val="none"/>
                <w:lang w:eastAsia="zh-CN"/>
              </w:rPr>
              <w:t>——</w:t>
            </w:r>
            <w:r>
              <w:rPr>
                <w:rFonts w:hint="eastAsia"/>
                <w:color w:val="auto"/>
                <w:highlight w:val="none"/>
              </w:rPr>
              <w:t>指装卸扬尘概化系数（单位：千克/吨），a指各省风速概化系数，见附录1</w:t>
            </w:r>
            <w:r>
              <w:rPr>
                <w:rFonts w:hint="eastAsia"/>
                <w:color w:val="auto"/>
                <w:highlight w:val="none"/>
                <w:lang w:eastAsia="zh-CN"/>
              </w:rPr>
              <w:t>；</w:t>
            </w:r>
            <w:r>
              <w:rPr>
                <w:rFonts w:hint="eastAsia"/>
                <w:color w:val="auto"/>
                <w:highlight w:val="none"/>
              </w:rPr>
              <w:t>b指物料含水率概化系数，见附录2</w:t>
            </w:r>
            <w:r>
              <w:rPr>
                <w:rFonts w:hint="eastAsia"/>
                <w:color w:val="auto"/>
                <w:highlight w:val="none"/>
                <w:lang w:eastAsia="zh-CN"/>
              </w:rPr>
              <w:t>。</w:t>
            </w:r>
          </w:p>
          <w:p w14:paraId="7C34D15D">
            <w:pPr>
              <w:numPr>
                <w:ilvl w:val="0"/>
                <w:numId w:val="0"/>
              </w:numPr>
              <w:ind w:firstLine="480" w:firstLineChars="200"/>
              <w:rPr>
                <w:rFonts w:hint="eastAsia"/>
                <w:color w:val="auto"/>
                <w:highlight w:val="none"/>
              </w:rPr>
            </w:pPr>
            <w:r>
              <w:rPr>
                <w:rFonts w:hint="eastAsia"/>
                <w:color w:val="auto"/>
                <w:highlight w:val="none"/>
                <w:lang w:val="en-US" w:eastAsia="zh-CN"/>
              </w:rPr>
              <w:t>a取安徽省</w:t>
            </w:r>
            <w:r>
              <w:rPr>
                <w:rFonts w:hint="eastAsia"/>
                <w:color w:val="auto"/>
                <w:highlight w:val="none"/>
              </w:rPr>
              <w:t>风速概化系数</w:t>
            </w:r>
            <w:r>
              <w:rPr>
                <w:rFonts w:hint="eastAsia"/>
                <w:color w:val="auto"/>
                <w:highlight w:val="none"/>
                <w:lang w:val="en-US" w:eastAsia="zh-CN"/>
              </w:rPr>
              <w:t>0.0011；b根据项目仓储秸秆含水率在12-14%，参考表土（含水率10%）取值0.0151。即转运粉尘的产生量为1.0927t/a（1.0927t/a=2500</w:t>
            </w:r>
            <w:r>
              <w:rPr>
                <w:rFonts w:hint="default" w:ascii="Times New Roman" w:hAnsi="Times New Roman" w:cs="Times New Roman"/>
                <w:color w:val="auto"/>
                <w:highlight w:val="none"/>
              </w:rPr>
              <w:t>×</w:t>
            </w:r>
            <w:r>
              <w:rPr>
                <w:rFonts w:hint="eastAsia"/>
                <w:color w:val="auto"/>
                <w:highlight w:val="none"/>
                <w:lang w:val="en-US" w:eastAsia="zh-CN"/>
              </w:rPr>
              <w:t>3t/车</w:t>
            </w:r>
            <w:r>
              <w:rPr>
                <w:rFonts w:hint="default" w:ascii="Times New Roman" w:hAnsi="Times New Roman" w:cs="Times New Roman"/>
                <w:color w:val="auto"/>
                <w:highlight w:val="none"/>
              </w:rPr>
              <w:t>×</w:t>
            </w:r>
            <w:r>
              <w:rPr>
                <w:rFonts w:hint="eastAsia"/>
                <w:color w:val="auto"/>
                <w:highlight w:val="none"/>
                <w:lang w:val="en-US" w:eastAsia="zh-CN"/>
              </w:rPr>
              <w:t>2</w:t>
            </w:r>
            <w:r>
              <w:rPr>
                <w:rFonts w:hint="default" w:ascii="Times New Roman" w:hAnsi="Times New Roman" w:cs="Times New Roman"/>
                <w:color w:val="auto"/>
                <w:highlight w:val="none"/>
              </w:rPr>
              <w:t>×</w:t>
            </w:r>
            <w:r>
              <w:rPr>
                <w:rFonts w:hint="eastAsia" w:cs="Times New Roman"/>
                <w:color w:val="auto"/>
                <w:highlight w:val="none"/>
                <w:lang w:eastAsia="zh-CN"/>
              </w:rPr>
              <w:t>（</w:t>
            </w:r>
            <w:r>
              <w:rPr>
                <w:rFonts w:hint="eastAsia" w:cs="Times New Roman"/>
                <w:color w:val="auto"/>
                <w:highlight w:val="none"/>
                <w:lang w:val="en-US" w:eastAsia="zh-CN"/>
              </w:rPr>
              <w:t>0.0011/0.0151</w:t>
            </w:r>
            <w:r>
              <w:rPr>
                <w:rFonts w:hint="eastAsia" w:cs="Times New Roman"/>
                <w:color w:val="auto"/>
                <w:highlight w:val="none"/>
                <w:lang w:eastAsia="zh-CN"/>
              </w:rPr>
              <w:t>）</w:t>
            </w:r>
            <w:r>
              <w:rPr>
                <w:rFonts w:hint="default" w:ascii="Times New Roman" w:hAnsi="Times New Roman" w:cs="Times New Roman"/>
                <w:color w:val="auto"/>
                <w:highlight w:val="none"/>
              </w:rPr>
              <w:t>×</w:t>
            </w:r>
            <w:r>
              <w:rPr>
                <w:rFonts w:hint="eastAsia"/>
                <w:color w:val="auto"/>
                <w:highlight w:val="none"/>
              </w:rPr>
              <w:t>10</w:t>
            </w:r>
            <w:r>
              <w:rPr>
                <w:rFonts w:hint="eastAsia"/>
                <w:color w:val="auto"/>
                <w:highlight w:val="none"/>
                <w:vertAlign w:val="superscript"/>
              </w:rPr>
              <w:t>−3</w:t>
            </w:r>
            <w:r>
              <w:rPr>
                <w:rFonts w:hint="eastAsia"/>
                <w:color w:val="auto"/>
                <w:highlight w:val="none"/>
                <w:lang w:val="en-US" w:eastAsia="zh-CN"/>
              </w:rPr>
              <w:t>）。而实际生产时秸秆在室内转运（原料仓库与加工车间内部相连），且生产时采取洒水降尘、轻装轻卸、及时清扫等措施，实际产生的粉尘量应有所减少。项目转运粉尘无组织排放浓度可满足相关标准要求，对周边大气环境影响较小，无组织排放控制措施可行、有效。</w:t>
            </w:r>
          </w:p>
          <w:p w14:paraId="4AD6A3A9">
            <w:pPr>
              <w:ind w:firstLine="482"/>
              <w:rPr>
                <w:b/>
                <w:bCs/>
                <w:color w:val="auto"/>
                <w:highlight w:val="none"/>
              </w:rPr>
            </w:pPr>
            <w:r>
              <w:rPr>
                <w:rFonts w:hint="eastAsia"/>
                <w:b/>
                <w:bCs/>
                <w:color w:val="auto"/>
                <w:highlight w:val="none"/>
              </w:rPr>
              <w:t>G2饲料颗粒生产废气</w:t>
            </w:r>
          </w:p>
          <w:p w14:paraId="6642CF54">
            <w:pPr>
              <w:ind w:firstLine="480"/>
              <w:rPr>
                <w:rFonts w:hint="eastAsia"/>
                <w:color w:val="auto"/>
                <w:highlight w:val="none"/>
              </w:rPr>
            </w:pPr>
            <w:r>
              <w:rPr>
                <w:rFonts w:hint="eastAsia"/>
                <w:color w:val="auto"/>
                <w:highlight w:val="none"/>
                <w:lang w:val="en-US" w:eastAsia="zh-CN"/>
              </w:rPr>
              <w:t>饲料颗粒生产过程中，石粉、氨基酸等辅料采用人工投料进配料机的料斗，此时会产生颗粒物，颗粒物参考</w:t>
            </w:r>
            <w:r>
              <w:rPr>
                <w:rFonts w:hint="eastAsia"/>
                <w:color w:val="auto"/>
                <w:highlight w:val="none"/>
              </w:rPr>
              <w:t>《排放源统计调查产排污核算方法和系数手册》中《2646 密封用填料及类似品制造行业系数手册》“原料-混合-搅拌-制胶-包装工艺”的产污系数，颗粒物产污系数为0.51kg/t-产品。本项目</w:t>
            </w:r>
            <w:r>
              <w:rPr>
                <w:rFonts w:hint="eastAsia"/>
                <w:color w:val="auto"/>
                <w:highlight w:val="none"/>
                <w:lang w:val="en-US" w:eastAsia="zh-CN"/>
              </w:rPr>
              <w:t>粉状原辅料用</w:t>
            </w:r>
            <w:r>
              <w:rPr>
                <w:rFonts w:hint="eastAsia"/>
                <w:color w:val="auto"/>
                <w:highlight w:val="none"/>
              </w:rPr>
              <w:t>量为</w:t>
            </w:r>
            <w:r>
              <w:rPr>
                <w:rFonts w:hint="eastAsia"/>
                <w:color w:val="auto"/>
                <w:highlight w:val="none"/>
                <w:lang w:val="en-US" w:eastAsia="zh-CN"/>
              </w:rPr>
              <w:t>7</w:t>
            </w:r>
            <w:r>
              <w:rPr>
                <w:rFonts w:hint="eastAsia"/>
                <w:color w:val="auto"/>
                <w:highlight w:val="none"/>
              </w:rPr>
              <w:t>00t/a，则投料废气的颗粒物产生量为</w:t>
            </w:r>
            <w:r>
              <w:rPr>
                <w:rFonts w:hint="eastAsia"/>
                <w:color w:val="auto"/>
                <w:highlight w:val="none"/>
                <w:lang w:val="en-US" w:eastAsia="zh-CN"/>
              </w:rPr>
              <w:t>0.357</w:t>
            </w:r>
            <w:r>
              <w:rPr>
                <w:rFonts w:hint="eastAsia"/>
                <w:color w:val="auto"/>
                <w:highlight w:val="none"/>
              </w:rPr>
              <w:t>t/a</w:t>
            </w:r>
            <w:r>
              <w:rPr>
                <w:rFonts w:hint="eastAsia"/>
                <w:color w:val="auto"/>
                <w:highlight w:val="none"/>
                <w:lang w:eastAsia="zh-CN"/>
              </w:rPr>
              <w:t>，</w:t>
            </w:r>
            <w:r>
              <w:rPr>
                <w:rFonts w:hint="eastAsia"/>
                <w:color w:val="auto"/>
                <w:highlight w:val="none"/>
                <w:lang w:val="en-US" w:eastAsia="zh-CN"/>
              </w:rPr>
              <w:t>收集效率按90%计，处理效率按99%计，即投料粉尘排放量为0.0032t/a</w:t>
            </w:r>
            <w:r>
              <w:rPr>
                <w:rFonts w:hint="eastAsia"/>
                <w:color w:val="auto"/>
                <w:highlight w:val="none"/>
              </w:rPr>
              <w:t>。</w:t>
            </w:r>
          </w:p>
          <w:p w14:paraId="27515A92">
            <w:pPr>
              <w:ind w:firstLine="480"/>
              <w:rPr>
                <w:rFonts w:hint="eastAsia"/>
                <w:color w:val="auto"/>
                <w:highlight w:val="none"/>
              </w:rPr>
            </w:pPr>
            <w:r>
              <w:rPr>
                <w:rFonts w:hint="eastAsia"/>
                <w:color w:val="auto"/>
                <w:highlight w:val="none"/>
              </w:rPr>
              <w:t>饲料颗粒生产过程中会产生颗粒物，颗粒物参照《排放源统计调查产排污核算方法和系数手册》中《132 饲料加工行业系数手册》</w:t>
            </w:r>
            <w:r>
              <w:rPr>
                <w:rFonts w:hint="eastAsia"/>
                <w:b/>
                <w:bCs/>
                <w:color w:val="auto"/>
                <w:highlight w:val="none"/>
              </w:rPr>
              <w:t>“根据饲料加工行业的生产特点，将除尘系统纳入生产工艺设备，不再单独记录末端治理设施运行信息。因此，饲料加工行业颗粒物的产生量和排放量相等。”</w:t>
            </w:r>
            <w:r>
              <w:rPr>
                <w:rFonts w:hint="eastAsia"/>
                <w:color w:val="auto"/>
                <w:highlight w:val="none"/>
              </w:rPr>
              <w:t>“粉碎+混合+制粒（可不制粒）+除尘”的产污系数，颗粒物产污系数为0.043kg/t-产品。本项目秸秆饲料产量为5000t/a，则“粉碎+混合+制粒（可不制粒）+除尘”的颗粒物产生量（排放量）为0.215t/a</w:t>
            </w:r>
            <w:r>
              <w:rPr>
                <w:rFonts w:hint="eastAsia"/>
                <w:color w:val="auto"/>
                <w:highlight w:val="none"/>
                <w:lang w:val="en-US" w:eastAsia="zh-CN"/>
              </w:rPr>
              <w:t>，即</w:t>
            </w:r>
            <w:r>
              <w:rPr>
                <w:rFonts w:hint="eastAsia"/>
                <w:color w:val="auto"/>
                <w:highlight w:val="none"/>
              </w:rPr>
              <w:t>G2饲料颗粒生产废气</w:t>
            </w:r>
            <w:r>
              <w:rPr>
                <w:rFonts w:hint="eastAsia"/>
                <w:color w:val="auto"/>
                <w:highlight w:val="none"/>
                <w:lang w:val="en-US" w:eastAsia="zh-CN"/>
              </w:rPr>
              <w:t>产生量为</w:t>
            </w:r>
            <w:r>
              <w:rPr>
                <w:rFonts w:hint="eastAsia"/>
                <w:color w:val="auto"/>
                <w:highlight w:val="none"/>
              </w:rPr>
              <w:t>0.21</w:t>
            </w:r>
            <w:r>
              <w:rPr>
                <w:rFonts w:hint="eastAsia"/>
                <w:color w:val="auto"/>
                <w:highlight w:val="none"/>
                <w:lang w:val="en-US" w:eastAsia="zh-CN"/>
              </w:rPr>
              <w:t>82</w:t>
            </w:r>
            <w:r>
              <w:rPr>
                <w:rFonts w:hint="eastAsia"/>
                <w:color w:val="auto"/>
                <w:highlight w:val="none"/>
              </w:rPr>
              <w:t>t/a。</w:t>
            </w:r>
          </w:p>
          <w:p w14:paraId="770C5426">
            <w:pPr>
              <w:ind w:firstLine="482"/>
              <w:rPr>
                <w:b/>
                <w:bCs/>
                <w:color w:val="auto"/>
                <w:highlight w:val="none"/>
              </w:rPr>
            </w:pPr>
            <w:r>
              <w:rPr>
                <w:rFonts w:hint="eastAsia"/>
                <w:b/>
                <w:bCs/>
                <w:color w:val="auto"/>
                <w:highlight w:val="none"/>
              </w:rPr>
              <w:t>G3锅炉废气</w:t>
            </w:r>
          </w:p>
          <w:p w14:paraId="2F053017">
            <w:pPr>
              <w:ind w:firstLine="480"/>
              <w:rPr>
                <w:color w:val="auto"/>
                <w:highlight w:val="none"/>
              </w:rPr>
            </w:pPr>
            <w:r>
              <w:rPr>
                <w:rFonts w:hint="eastAsia"/>
                <w:color w:val="auto"/>
                <w:highlight w:val="none"/>
              </w:rPr>
              <w:t>锅炉过程中会产生颗粒物、二氧化硫、氮氧化物，结合生物质颗粒检测报告，颗粒物、二氧化硫、氮氧化物参照《排放源统计调查产排污核算方法和系数手册》中《4430 工业锅炉（热力供应）行业系数手册》“层燃炉工艺”的产污系数，颗粒物产污系数为0.5kg/t-原料，二氧化硫产污系数为0.68kg/t-原料，氮氧化物产污系数为1.02kg/t-原料，工业废气量为6240标</w:t>
            </w:r>
            <w:r>
              <w:rPr>
                <w:rFonts w:cs="Times New Roman"/>
                <w:color w:val="auto"/>
                <w:highlight w:val="none"/>
              </w:rPr>
              <w:t>m</w:t>
            </w:r>
            <w:r>
              <w:rPr>
                <w:rFonts w:eastAsia="微软雅黑" w:cs="Times New Roman"/>
                <w:color w:val="auto"/>
                <w:highlight w:val="none"/>
              </w:rPr>
              <w:t>³</w:t>
            </w:r>
            <w:r>
              <w:rPr>
                <w:rFonts w:hint="eastAsia"/>
                <w:color w:val="auto"/>
                <w:highlight w:val="none"/>
              </w:rPr>
              <w:t>/t-原料。本项目生物质颗粒用量为75t/a，则G3锅炉废气的颗粒物产生量为0.0375t/a，二氧化硫产生量为0.051t/a，氮氧化物产生量为0.0765t/a，工业废气量为468000</w:t>
            </w:r>
            <w:r>
              <w:rPr>
                <w:rFonts w:cs="Times New Roman"/>
                <w:color w:val="auto"/>
                <w:highlight w:val="none"/>
              </w:rPr>
              <w:t>m</w:t>
            </w:r>
            <w:r>
              <w:rPr>
                <w:rFonts w:eastAsia="微软雅黑" w:cs="Times New Roman"/>
                <w:color w:val="auto"/>
                <w:highlight w:val="none"/>
              </w:rPr>
              <w:t>³</w:t>
            </w:r>
            <w:r>
              <w:rPr>
                <w:rFonts w:hint="eastAsia" w:eastAsia="微软雅黑" w:cs="Times New Roman"/>
                <w:color w:val="auto"/>
                <w:highlight w:val="none"/>
              </w:rPr>
              <w:t>/a</w:t>
            </w:r>
            <w:r>
              <w:rPr>
                <w:rFonts w:hint="eastAsia"/>
                <w:color w:val="auto"/>
                <w:highlight w:val="none"/>
              </w:rPr>
              <w:t>。</w:t>
            </w:r>
          </w:p>
          <w:p w14:paraId="7512A69D">
            <w:pPr>
              <w:pStyle w:val="3"/>
              <w:ind w:firstLine="482"/>
              <w:rPr>
                <w:color w:val="auto"/>
                <w:highlight w:val="none"/>
              </w:rPr>
            </w:pPr>
            <w:r>
              <w:rPr>
                <w:color w:val="auto"/>
                <w:highlight w:val="none"/>
              </w:rPr>
              <w:t>（2）收集处理方式</w:t>
            </w:r>
          </w:p>
          <w:p w14:paraId="678EC114">
            <w:pPr>
              <w:ind w:firstLine="480"/>
              <w:rPr>
                <w:color w:val="auto"/>
                <w:highlight w:val="none"/>
              </w:rPr>
            </w:pPr>
            <w:r>
              <w:rPr>
                <w:rFonts w:hint="eastAsia"/>
                <w:color w:val="auto"/>
                <w:highlight w:val="none"/>
              </w:rPr>
              <w:t>通过在清理筛、磁选机、破碎机、秸秆打包机产污处设置集气罩收集秸秆饲料生产废气并入一根管道，经布袋除尘器处理后由15m高排气筒DA001排放。</w:t>
            </w:r>
          </w:p>
          <w:p w14:paraId="6A9219C5">
            <w:pPr>
              <w:ind w:firstLine="480"/>
              <w:rPr>
                <w:color w:val="auto"/>
                <w:highlight w:val="none"/>
              </w:rPr>
            </w:pPr>
            <w:r>
              <w:rPr>
                <w:rFonts w:hint="eastAsia"/>
                <w:color w:val="auto"/>
                <w:highlight w:val="none"/>
              </w:rPr>
              <w:t>通过在混合机、制粒机、冷却分级筛产污处设置集气罩收集饲料颗粒生产废气，经布袋除尘器处理后由15m高排气筒DA002排放。</w:t>
            </w:r>
          </w:p>
          <w:p w14:paraId="282FD530">
            <w:pPr>
              <w:ind w:firstLine="480"/>
              <w:rPr>
                <w:color w:val="auto"/>
                <w:highlight w:val="none"/>
              </w:rPr>
            </w:pPr>
            <w:r>
              <w:rPr>
                <w:rFonts w:hint="eastAsia"/>
                <w:color w:val="auto"/>
                <w:highlight w:val="none"/>
              </w:rPr>
              <w:t>采用低氮燃烧的锅炉废气经布袋除尘器处理后由30m高排气筒DA003排放，</w:t>
            </w:r>
          </w:p>
          <w:p w14:paraId="01F37DED">
            <w:pPr>
              <w:pStyle w:val="4"/>
              <w:ind w:firstLine="482"/>
              <w:rPr>
                <w:color w:val="auto"/>
                <w:highlight w:val="none"/>
              </w:rPr>
            </w:pPr>
            <w:r>
              <w:rPr>
                <w:rFonts w:hint="eastAsia"/>
                <w:color w:val="auto"/>
                <w:highlight w:val="none"/>
              </w:rPr>
              <w:t>集气罩收集</w:t>
            </w:r>
          </w:p>
          <w:p w14:paraId="75329B07">
            <w:pPr>
              <w:ind w:firstLine="480"/>
              <w:rPr>
                <w:color w:val="auto"/>
                <w:highlight w:val="none"/>
              </w:rPr>
            </w:pPr>
            <w:r>
              <w:rPr>
                <w:color w:val="auto"/>
                <w:highlight w:val="none"/>
              </w:rPr>
              <w:t>根据《三废处理工程技术手册（废气卷）》（化学工业出版社，2013年版）中集气罩风量计算公式：</w:t>
            </w:r>
          </w:p>
          <w:p w14:paraId="317242A6">
            <w:pPr>
              <w:pStyle w:val="14"/>
              <w:spacing w:before="156"/>
              <w:rPr>
                <w:color w:val="auto"/>
                <w:highlight w:val="none"/>
              </w:rPr>
            </w:pPr>
            <w:r>
              <w:rPr>
                <w:color w:val="auto"/>
                <w:highlight w:val="none"/>
              </w:rPr>
              <w:t>Q=（W+B）×H×Vx</w:t>
            </w:r>
          </w:p>
          <w:p w14:paraId="0773A277">
            <w:pPr>
              <w:ind w:firstLine="480"/>
              <w:rPr>
                <w:color w:val="auto"/>
                <w:highlight w:val="none"/>
              </w:rPr>
            </w:pPr>
            <w:r>
              <w:rPr>
                <w:color w:val="auto"/>
                <w:highlight w:val="none"/>
              </w:rPr>
              <w:t>式中：Q：为集气罩集气风量，单位为m³/s；</w:t>
            </w:r>
          </w:p>
          <w:p w14:paraId="7A2C5FA2">
            <w:pPr>
              <w:ind w:firstLine="480"/>
              <w:rPr>
                <w:color w:val="auto"/>
                <w:highlight w:val="none"/>
              </w:rPr>
            </w:pPr>
            <w:r>
              <w:rPr>
                <w:color w:val="auto"/>
                <w:highlight w:val="none"/>
              </w:rPr>
              <w:t xml:space="preserve">      W：罩口长度，m；</w:t>
            </w:r>
          </w:p>
          <w:p w14:paraId="135DB0BB">
            <w:pPr>
              <w:ind w:firstLine="480"/>
              <w:rPr>
                <w:color w:val="auto"/>
                <w:highlight w:val="none"/>
              </w:rPr>
            </w:pPr>
            <w:r>
              <w:rPr>
                <w:color w:val="auto"/>
                <w:highlight w:val="none"/>
              </w:rPr>
              <w:t xml:space="preserve">      B：罩口宽度，m；</w:t>
            </w:r>
          </w:p>
          <w:p w14:paraId="0C51B88C">
            <w:pPr>
              <w:ind w:firstLine="480"/>
              <w:rPr>
                <w:color w:val="auto"/>
                <w:highlight w:val="none"/>
              </w:rPr>
            </w:pPr>
            <w:r>
              <w:rPr>
                <w:color w:val="auto"/>
                <w:highlight w:val="none"/>
              </w:rPr>
              <w:t xml:space="preserve">      H：罩口至污染源的距离，</w:t>
            </w:r>
            <w:r>
              <w:rPr>
                <w:rFonts w:hint="eastAsia"/>
                <w:color w:val="auto"/>
                <w:highlight w:val="none"/>
              </w:rPr>
              <w:t>m</w:t>
            </w:r>
            <w:r>
              <w:rPr>
                <w:color w:val="auto"/>
                <w:highlight w:val="none"/>
              </w:rPr>
              <w:t>；</w:t>
            </w:r>
          </w:p>
          <w:p w14:paraId="362198B2">
            <w:pPr>
              <w:ind w:firstLine="480"/>
              <w:rPr>
                <w:color w:val="auto"/>
                <w:highlight w:val="none"/>
              </w:rPr>
            </w:pPr>
            <w:r>
              <w:rPr>
                <w:color w:val="auto"/>
                <w:highlight w:val="none"/>
              </w:rPr>
              <w:t xml:space="preserve">      Vx：最小控制风速，m/s。根据《挥发性有机物治理使用手册》（第二版）第213页：外部排风罩（顶吸罩和侧吸罩）控制点建议风速为0.3~0.5m/s。本项目集气罩均属顶吸罩，风速取0.5m/s。</w:t>
            </w:r>
          </w:p>
          <w:p w14:paraId="41EBA33B">
            <w:pPr>
              <w:pStyle w:val="14"/>
              <w:spacing w:before="156"/>
              <w:rPr>
                <w:color w:val="auto"/>
                <w:highlight w:val="none"/>
              </w:rPr>
            </w:pPr>
            <w:r>
              <w:rPr>
                <w:rFonts w:hint="eastAsia"/>
                <w:color w:val="auto"/>
                <w:highlight w:val="none"/>
              </w:rPr>
              <w:t>表4-5  集气罩收集风量核算一览表</w:t>
            </w:r>
          </w:p>
          <w:tbl>
            <w:tblPr>
              <w:tblStyle w:val="10"/>
              <w:tblW w:w="4996"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2774"/>
              <w:gridCol w:w="642"/>
              <w:gridCol w:w="642"/>
              <w:gridCol w:w="642"/>
              <w:gridCol w:w="642"/>
              <w:gridCol w:w="1823"/>
              <w:gridCol w:w="1874"/>
            </w:tblGrid>
            <w:tr w14:paraId="01CCAD2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534" w:type="pct"/>
                  <w:tcBorders>
                    <w:tl2br w:val="nil"/>
                    <w:tr2bl w:val="nil"/>
                  </w:tcBorders>
                  <w:vAlign w:val="center"/>
                </w:tcPr>
                <w:p w14:paraId="07E1DB9D">
                  <w:pPr>
                    <w:pStyle w:val="13"/>
                    <w:rPr>
                      <w:b/>
                      <w:bCs/>
                      <w:color w:val="auto"/>
                      <w:highlight w:val="none"/>
                    </w:rPr>
                  </w:pPr>
                  <w:r>
                    <w:rPr>
                      <w:rFonts w:hint="eastAsia"/>
                      <w:b/>
                      <w:bCs/>
                      <w:color w:val="auto"/>
                      <w:highlight w:val="none"/>
                    </w:rPr>
                    <w:t>设施名称</w:t>
                  </w:r>
                </w:p>
              </w:tc>
              <w:tc>
                <w:tcPr>
                  <w:tcW w:w="355" w:type="pct"/>
                  <w:tcBorders>
                    <w:tl2br w:val="nil"/>
                    <w:tr2bl w:val="nil"/>
                  </w:tcBorders>
                  <w:vAlign w:val="center"/>
                </w:tcPr>
                <w:p w14:paraId="7EB2CCF4">
                  <w:pPr>
                    <w:pStyle w:val="13"/>
                    <w:rPr>
                      <w:b/>
                      <w:bCs/>
                      <w:color w:val="auto"/>
                      <w:highlight w:val="none"/>
                    </w:rPr>
                  </w:pPr>
                  <w:r>
                    <w:rPr>
                      <w:rFonts w:hint="eastAsia"/>
                      <w:b/>
                      <w:bCs/>
                      <w:color w:val="auto"/>
                      <w:highlight w:val="none"/>
                    </w:rPr>
                    <w:t>W</w:t>
                  </w:r>
                </w:p>
              </w:tc>
              <w:tc>
                <w:tcPr>
                  <w:tcW w:w="355" w:type="pct"/>
                  <w:tcBorders>
                    <w:tl2br w:val="nil"/>
                    <w:tr2bl w:val="nil"/>
                  </w:tcBorders>
                  <w:vAlign w:val="center"/>
                </w:tcPr>
                <w:p w14:paraId="2C6DB250">
                  <w:pPr>
                    <w:pStyle w:val="13"/>
                    <w:rPr>
                      <w:b/>
                      <w:bCs/>
                      <w:color w:val="auto"/>
                      <w:highlight w:val="none"/>
                    </w:rPr>
                  </w:pPr>
                  <w:r>
                    <w:rPr>
                      <w:rFonts w:hint="eastAsia"/>
                      <w:b/>
                      <w:bCs/>
                      <w:color w:val="auto"/>
                      <w:highlight w:val="none"/>
                    </w:rPr>
                    <w:t>B</w:t>
                  </w:r>
                </w:p>
              </w:tc>
              <w:tc>
                <w:tcPr>
                  <w:tcW w:w="355" w:type="pct"/>
                  <w:tcBorders>
                    <w:tl2br w:val="nil"/>
                    <w:tr2bl w:val="nil"/>
                  </w:tcBorders>
                  <w:vAlign w:val="center"/>
                </w:tcPr>
                <w:p w14:paraId="075E82B4">
                  <w:pPr>
                    <w:pStyle w:val="13"/>
                    <w:rPr>
                      <w:b/>
                      <w:bCs/>
                      <w:color w:val="auto"/>
                      <w:highlight w:val="none"/>
                    </w:rPr>
                  </w:pPr>
                  <w:r>
                    <w:rPr>
                      <w:rFonts w:hint="eastAsia"/>
                      <w:b/>
                      <w:bCs/>
                      <w:color w:val="auto"/>
                      <w:highlight w:val="none"/>
                    </w:rPr>
                    <w:t>H</w:t>
                  </w:r>
                </w:p>
              </w:tc>
              <w:tc>
                <w:tcPr>
                  <w:tcW w:w="355" w:type="pct"/>
                  <w:tcBorders>
                    <w:tl2br w:val="nil"/>
                    <w:tr2bl w:val="nil"/>
                  </w:tcBorders>
                  <w:vAlign w:val="center"/>
                </w:tcPr>
                <w:p w14:paraId="4FC8EC7C">
                  <w:pPr>
                    <w:pStyle w:val="13"/>
                    <w:rPr>
                      <w:b/>
                      <w:bCs/>
                      <w:color w:val="auto"/>
                      <w:highlight w:val="none"/>
                    </w:rPr>
                  </w:pPr>
                  <w:r>
                    <w:rPr>
                      <w:rFonts w:hint="eastAsia"/>
                      <w:b/>
                      <w:bCs/>
                      <w:color w:val="auto"/>
                      <w:highlight w:val="none"/>
                    </w:rPr>
                    <w:t>Vx</w:t>
                  </w:r>
                </w:p>
              </w:tc>
              <w:tc>
                <w:tcPr>
                  <w:tcW w:w="1008" w:type="pct"/>
                  <w:tcBorders>
                    <w:tl2br w:val="nil"/>
                    <w:tr2bl w:val="nil"/>
                  </w:tcBorders>
                  <w:vAlign w:val="center"/>
                </w:tcPr>
                <w:p w14:paraId="6A253A9E">
                  <w:pPr>
                    <w:pStyle w:val="13"/>
                    <w:rPr>
                      <w:b/>
                      <w:bCs/>
                      <w:color w:val="auto"/>
                      <w:highlight w:val="none"/>
                    </w:rPr>
                  </w:pPr>
                  <w:r>
                    <w:rPr>
                      <w:rFonts w:hint="eastAsia"/>
                      <w:b/>
                      <w:bCs/>
                      <w:color w:val="auto"/>
                      <w:highlight w:val="none"/>
                    </w:rPr>
                    <w:t>风速（m</w:t>
                  </w:r>
                  <w:r>
                    <w:rPr>
                      <w:b/>
                      <w:bCs/>
                      <w:color w:val="auto"/>
                      <w:highlight w:val="none"/>
                    </w:rPr>
                    <w:t>³</w:t>
                  </w:r>
                  <w:r>
                    <w:rPr>
                      <w:rFonts w:hint="eastAsia"/>
                      <w:b/>
                      <w:bCs/>
                      <w:color w:val="auto"/>
                      <w:highlight w:val="none"/>
                    </w:rPr>
                    <w:t>/s）</w:t>
                  </w:r>
                </w:p>
              </w:tc>
              <w:tc>
                <w:tcPr>
                  <w:tcW w:w="1036" w:type="pct"/>
                  <w:tcBorders>
                    <w:tl2br w:val="nil"/>
                    <w:tr2bl w:val="nil"/>
                  </w:tcBorders>
                  <w:vAlign w:val="center"/>
                </w:tcPr>
                <w:p w14:paraId="3146BCFB">
                  <w:pPr>
                    <w:pStyle w:val="13"/>
                    <w:rPr>
                      <w:b/>
                      <w:bCs/>
                      <w:color w:val="auto"/>
                      <w:highlight w:val="none"/>
                    </w:rPr>
                  </w:pPr>
                  <w:r>
                    <w:rPr>
                      <w:rFonts w:hint="eastAsia"/>
                      <w:b/>
                      <w:bCs/>
                      <w:color w:val="auto"/>
                      <w:highlight w:val="none"/>
                    </w:rPr>
                    <w:t>风量（m</w:t>
                  </w:r>
                  <w:r>
                    <w:rPr>
                      <w:b/>
                      <w:bCs/>
                      <w:color w:val="auto"/>
                      <w:highlight w:val="none"/>
                    </w:rPr>
                    <w:t>³</w:t>
                  </w:r>
                  <w:r>
                    <w:rPr>
                      <w:rFonts w:hint="eastAsia"/>
                      <w:b/>
                      <w:bCs/>
                      <w:color w:val="auto"/>
                      <w:highlight w:val="none"/>
                    </w:rPr>
                    <w:t>/h）</w:t>
                  </w:r>
                </w:p>
              </w:tc>
            </w:tr>
            <w:tr w14:paraId="64209A8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534" w:type="pct"/>
                  <w:tcBorders>
                    <w:tl2br w:val="nil"/>
                    <w:tr2bl w:val="nil"/>
                  </w:tcBorders>
                  <w:vAlign w:val="center"/>
                </w:tcPr>
                <w:p w14:paraId="241B349E">
                  <w:pPr>
                    <w:pStyle w:val="13"/>
                    <w:rPr>
                      <w:color w:val="auto"/>
                      <w:highlight w:val="none"/>
                    </w:rPr>
                  </w:pPr>
                  <w:r>
                    <w:rPr>
                      <w:rFonts w:hint="eastAsia"/>
                      <w:color w:val="auto"/>
                      <w:highlight w:val="none"/>
                    </w:rPr>
                    <w:t>清理筛</w:t>
                  </w:r>
                </w:p>
              </w:tc>
              <w:tc>
                <w:tcPr>
                  <w:tcW w:w="355" w:type="pct"/>
                  <w:tcBorders>
                    <w:tl2br w:val="nil"/>
                    <w:tr2bl w:val="nil"/>
                  </w:tcBorders>
                  <w:vAlign w:val="center"/>
                </w:tcPr>
                <w:p w14:paraId="42BE5283">
                  <w:pPr>
                    <w:pStyle w:val="13"/>
                    <w:rPr>
                      <w:color w:val="auto"/>
                      <w:highlight w:val="none"/>
                    </w:rPr>
                  </w:pPr>
                  <w:r>
                    <w:rPr>
                      <w:rFonts w:hint="eastAsia"/>
                      <w:color w:val="auto"/>
                      <w:highlight w:val="none"/>
                    </w:rPr>
                    <w:t>4</w:t>
                  </w:r>
                </w:p>
              </w:tc>
              <w:tc>
                <w:tcPr>
                  <w:tcW w:w="355" w:type="pct"/>
                  <w:tcBorders>
                    <w:tl2br w:val="nil"/>
                    <w:tr2bl w:val="nil"/>
                  </w:tcBorders>
                  <w:vAlign w:val="center"/>
                </w:tcPr>
                <w:p w14:paraId="1A705684">
                  <w:pPr>
                    <w:pStyle w:val="13"/>
                    <w:rPr>
                      <w:color w:val="auto"/>
                      <w:highlight w:val="none"/>
                    </w:rPr>
                  </w:pPr>
                  <w:r>
                    <w:rPr>
                      <w:rFonts w:hint="eastAsia"/>
                      <w:color w:val="auto"/>
                      <w:highlight w:val="none"/>
                    </w:rPr>
                    <w:t>1</w:t>
                  </w:r>
                </w:p>
              </w:tc>
              <w:tc>
                <w:tcPr>
                  <w:tcW w:w="355" w:type="pct"/>
                  <w:tcBorders>
                    <w:tl2br w:val="nil"/>
                    <w:tr2bl w:val="nil"/>
                  </w:tcBorders>
                  <w:vAlign w:val="center"/>
                </w:tcPr>
                <w:p w14:paraId="62B3C125">
                  <w:pPr>
                    <w:pStyle w:val="13"/>
                    <w:rPr>
                      <w:color w:val="auto"/>
                      <w:highlight w:val="none"/>
                    </w:rPr>
                  </w:pPr>
                  <w:r>
                    <w:rPr>
                      <w:rFonts w:hint="eastAsia"/>
                      <w:color w:val="auto"/>
                      <w:highlight w:val="none"/>
                    </w:rPr>
                    <w:t>1</w:t>
                  </w:r>
                </w:p>
              </w:tc>
              <w:tc>
                <w:tcPr>
                  <w:tcW w:w="355" w:type="pct"/>
                  <w:tcBorders>
                    <w:tl2br w:val="nil"/>
                    <w:tr2bl w:val="nil"/>
                  </w:tcBorders>
                  <w:vAlign w:val="center"/>
                </w:tcPr>
                <w:p w14:paraId="25059550">
                  <w:pPr>
                    <w:pStyle w:val="13"/>
                    <w:rPr>
                      <w:color w:val="auto"/>
                      <w:highlight w:val="none"/>
                    </w:rPr>
                  </w:pPr>
                  <w:r>
                    <w:rPr>
                      <w:color w:val="auto"/>
                      <w:highlight w:val="none"/>
                    </w:rPr>
                    <w:t>0.5</w:t>
                  </w:r>
                </w:p>
              </w:tc>
              <w:tc>
                <w:tcPr>
                  <w:tcW w:w="1008" w:type="pct"/>
                  <w:tcBorders>
                    <w:tl2br w:val="nil"/>
                    <w:tr2bl w:val="nil"/>
                  </w:tcBorders>
                  <w:vAlign w:val="center"/>
                </w:tcPr>
                <w:p w14:paraId="623DF4FA">
                  <w:pPr>
                    <w:pStyle w:val="13"/>
                    <w:rPr>
                      <w:color w:val="auto"/>
                      <w:highlight w:val="none"/>
                    </w:rPr>
                  </w:pPr>
                  <w:r>
                    <w:rPr>
                      <w:color w:val="auto"/>
                      <w:highlight w:val="none"/>
                    </w:rPr>
                    <w:t>0.45</w:t>
                  </w:r>
                </w:p>
              </w:tc>
              <w:tc>
                <w:tcPr>
                  <w:tcW w:w="1874" w:type="dxa"/>
                  <w:tcBorders>
                    <w:tl2br w:val="nil"/>
                    <w:tr2bl w:val="nil"/>
                  </w:tcBorders>
                  <w:vAlign w:val="center"/>
                </w:tcPr>
                <w:p w14:paraId="7DEC0FA1">
                  <w:pPr>
                    <w:pStyle w:val="13"/>
                    <w:rPr>
                      <w:color w:val="auto"/>
                      <w:highlight w:val="none"/>
                    </w:rPr>
                  </w:pPr>
                  <w:r>
                    <w:rPr>
                      <w:rFonts w:hint="eastAsia"/>
                      <w:color w:val="auto"/>
                      <w:highlight w:val="none"/>
                    </w:rPr>
                    <w:t>9000</w:t>
                  </w:r>
                </w:p>
              </w:tc>
            </w:tr>
            <w:tr w14:paraId="69D308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534" w:type="pct"/>
                  <w:tcBorders>
                    <w:tl2br w:val="nil"/>
                    <w:tr2bl w:val="nil"/>
                  </w:tcBorders>
                  <w:vAlign w:val="center"/>
                </w:tcPr>
                <w:p w14:paraId="51D4535A">
                  <w:pPr>
                    <w:pStyle w:val="13"/>
                    <w:rPr>
                      <w:color w:val="auto"/>
                      <w:highlight w:val="none"/>
                    </w:rPr>
                  </w:pPr>
                  <w:r>
                    <w:rPr>
                      <w:rFonts w:hint="eastAsia"/>
                      <w:color w:val="auto"/>
                      <w:highlight w:val="none"/>
                    </w:rPr>
                    <w:t>磁选机</w:t>
                  </w:r>
                </w:p>
              </w:tc>
              <w:tc>
                <w:tcPr>
                  <w:tcW w:w="355" w:type="pct"/>
                  <w:tcBorders>
                    <w:tl2br w:val="nil"/>
                    <w:tr2bl w:val="nil"/>
                  </w:tcBorders>
                  <w:vAlign w:val="center"/>
                </w:tcPr>
                <w:p w14:paraId="598E93A3">
                  <w:pPr>
                    <w:pStyle w:val="13"/>
                    <w:rPr>
                      <w:color w:val="auto"/>
                      <w:highlight w:val="none"/>
                    </w:rPr>
                  </w:pPr>
                  <w:r>
                    <w:rPr>
                      <w:rFonts w:hint="eastAsia"/>
                      <w:color w:val="auto"/>
                      <w:highlight w:val="none"/>
                    </w:rPr>
                    <w:t>4</w:t>
                  </w:r>
                </w:p>
              </w:tc>
              <w:tc>
                <w:tcPr>
                  <w:tcW w:w="355" w:type="pct"/>
                  <w:tcBorders>
                    <w:tl2br w:val="nil"/>
                    <w:tr2bl w:val="nil"/>
                  </w:tcBorders>
                  <w:vAlign w:val="center"/>
                </w:tcPr>
                <w:p w14:paraId="4DC2BC4A">
                  <w:pPr>
                    <w:pStyle w:val="13"/>
                    <w:rPr>
                      <w:color w:val="auto"/>
                      <w:highlight w:val="none"/>
                    </w:rPr>
                  </w:pPr>
                  <w:r>
                    <w:rPr>
                      <w:rFonts w:hint="eastAsia"/>
                      <w:color w:val="auto"/>
                      <w:highlight w:val="none"/>
                    </w:rPr>
                    <w:t>1</w:t>
                  </w:r>
                </w:p>
              </w:tc>
              <w:tc>
                <w:tcPr>
                  <w:tcW w:w="355" w:type="pct"/>
                  <w:tcBorders>
                    <w:tl2br w:val="nil"/>
                    <w:tr2bl w:val="nil"/>
                  </w:tcBorders>
                  <w:vAlign w:val="center"/>
                </w:tcPr>
                <w:p w14:paraId="42BE4830">
                  <w:pPr>
                    <w:pStyle w:val="13"/>
                    <w:rPr>
                      <w:color w:val="auto"/>
                      <w:highlight w:val="none"/>
                    </w:rPr>
                  </w:pPr>
                  <w:r>
                    <w:rPr>
                      <w:rFonts w:hint="eastAsia"/>
                      <w:color w:val="auto"/>
                      <w:highlight w:val="none"/>
                    </w:rPr>
                    <w:t>1</w:t>
                  </w:r>
                </w:p>
              </w:tc>
              <w:tc>
                <w:tcPr>
                  <w:tcW w:w="355" w:type="pct"/>
                  <w:tcBorders>
                    <w:tl2br w:val="nil"/>
                    <w:tr2bl w:val="nil"/>
                  </w:tcBorders>
                  <w:vAlign w:val="center"/>
                </w:tcPr>
                <w:p w14:paraId="18E42318">
                  <w:pPr>
                    <w:pStyle w:val="13"/>
                    <w:rPr>
                      <w:color w:val="auto"/>
                      <w:highlight w:val="none"/>
                    </w:rPr>
                  </w:pPr>
                  <w:r>
                    <w:rPr>
                      <w:color w:val="auto"/>
                      <w:highlight w:val="none"/>
                    </w:rPr>
                    <w:t>0.5</w:t>
                  </w:r>
                </w:p>
              </w:tc>
              <w:tc>
                <w:tcPr>
                  <w:tcW w:w="1008" w:type="pct"/>
                  <w:tcBorders>
                    <w:tl2br w:val="nil"/>
                    <w:tr2bl w:val="nil"/>
                  </w:tcBorders>
                  <w:vAlign w:val="center"/>
                </w:tcPr>
                <w:p w14:paraId="03231867">
                  <w:pPr>
                    <w:pStyle w:val="13"/>
                    <w:rPr>
                      <w:color w:val="auto"/>
                      <w:highlight w:val="none"/>
                    </w:rPr>
                  </w:pPr>
                  <w:r>
                    <w:rPr>
                      <w:color w:val="auto"/>
                      <w:highlight w:val="none"/>
                    </w:rPr>
                    <w:t>0.45</w:t>
                  </w:r>
                </w:p>
              </w:tc>
              <w:tc>
                <w:tcPr>
                  <w:tcW w:w="1874" w:type="dxa"/>
                  <w:tcBorders>
                    <w:tl2br w:val="nil"/>
                    <w:tr2bl w:val="nil"/>
                  </w:tcBorders>
                  <w:vAlign w:val="center"/>
                </w:tcPr>
                <w:p w14:paraId="746BE23C">
                  <w:pPr>
                    <w:pStyle w:val="13"/>
                    <w:rPr>
                      <w:color w:val="auto"/>
                      <w:highlight w:val="none"/>
                    </w:rPr>
                  </w:pPr>
                  <w:r>
                    <w:rPr>
                      <w:rFonts w:hint="eastAsia"/>
                      <w:color w:val="auto"/>
                      <w:highlight w:val="none"/>
                    </w:rPr>
                    <w:t>9000</w:t>
                  </w:r>
                </w:p>
              </w:tc>
            </w:tr>
            <w:tr w14:paraId="18A0CB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534" w:type="pct"/>
                  <w:tcBorders>
                    <w:tl2br w:val="nil"/>
                    <w:tr2bl w:val="nil"/>
                  </w:tcBorders>
                  <w:vAlign w:val="center"/>
                </w:tcPr>
                <w:p w14:paraId="5FEE1C09">
                  <w:pPr>
                    <w:pStyle w:val="13"/>
                    <w:rPr>
                      <w:color w:val="auto"/>
                      <w:highlight w:val="none"/>
                    </w:rPr>
                  </w:pPr>
                  <w:r>
                    <w:rPr>
                      <w:rFonts w:hint="eastAsia"/>
                      <w:color w:val="auto"/>
                      <w:highlight w:val="none"/>
                    </w:rPr>
                    <w:t>破碎机</w:t>
                  </w:r>
                </w:p>
              </w:tc>
              <w:tc>
                <w:tcPr>
                  <w:tcW w:w="355" w:type="pct"/>
                  <w:tcBorders>
                    <w:tl2br w:val="nil"/>
                    <w:tr2bl w:val="nil"/>
                  </w:tcBorders>
                  <w:vAlign w:val="center"/>
                </w:tcPr>
                <w:p w14:paraId="4CB6761C">
                  <w:pPr>
                    <w:pStyle w:val="13"/>
                    <w:rPr>
                      <w:color w:val="auto"/>
                      <w:highlight w:val="none"/>
                    </w:rPr>
                  </w:pPr>
                  <w:r>
                    <w:rPr>
                      <w:rFonts w:hint="eastAsia"/>
                      <w:color w:val="auto"/>
                      <w:highlight w:val="none"/>
                    </w:rPr>
                    <w:t>0.6</w:t>
                  </w:r>
                </w:p>
              </w:tc>
              <w:tc>
                <w:tcPr>
                  <w:tcW w:w="355" w:type="pct"/>
                  <w:tcBorders>
                    <w:tl2br w:val="nil"/>
                    <w:tr2bl w:val="nil"/>
                  </w:tcBorders>
                  <w:vAlign w:val="center"/>
                </w:tcPr>
                <w:p w14:paraId="0EDDFF25">
                  <w:pPr>
                    <w:pStyle w:val="13"/>
                    <w:rPr>
                      <w:color w:val="auto"/>
                      <w:highlight w:val="none"/>
                    </w:rPr>
                  </w:pPr>
                  <w:r>
                    <w:rPr>
                      <w:color w:val="auto"/>
                      <w:highlight w:val="none"/>
                    </w:rPr>
                    <w:t>0.</w:t>
                  </w:r>
                  <w:r>
                    <w:rPr>
                      <w:rFonts w:hint="eastAsia"/>
                      <w:color w:val="auto"/>
                      <w:highlight w:val="none"/>
                    </w:rPr>
                    <w:t>6</w:t>
                  </w:r>
                </w:p>
              </w:tc>
              <w:tc>
                <w:tcPr>
                  <w:tcW w:w="355" w:type="pct"/>
                  <w:tcBorders>
                    <w:tl2br w:val="nil"/>
                    <w:tr2bl w:val="nil"/>
                  </w:tcBorders>
                  <w:vAlign w:val="center"/>
                </w:tcPr>
                <w:p w14:paraId="7591E24A">
                  <w:pPr>
                    <w:pStyle w:val="13"/>
                    <w:rPr>
                      <w:color w:val="auto"/>
                      <w:highlight w:val="none"/>
                    </w:rPr>
                  </w:pPr>
                  <w:r>
                    <w:rPr>
                      <w:rFonts w:hint="eastAsia"/>
                      <w:color w:val="auto"/>
                      <w:highlight w:val="none"/>
                    </w:rPr>
                    <w:t>1</w:t>
                  </w:r>
                </w:p>
              </w:tc>
              <w:tc>
                <w:tcPr>
                  <w:tcW w:w="355" w:type="pct"/>
                  <w:tcBorders>
                    <w:tl2br w:val="nil"/>
                    <w:tr2bl w:val="nil"/>
                  </w:tcBorders>
                  <w:vAlign w:val="center"/>
                </w:tcPr>
                <w:p w14:paraId="78A32565">
                  <w:pPr>
                    <w:pStyle w:val="13"/>
                    <w:rPr>
                      <w:color w:val="auto"/>
                      <w:highlight w:val="none"/>
                    </w:rPr>
                  </w:pPr>
                  <w:r>
                    <w:rPr>
                      <w:color w:val="auto"/>
                      <w:highlight w:val="none"/>
                    </w:rPr>
                    <w:t>0.5</w:t>
                  </w:r>
                </w:p>
              </w:tc>
              <w:tc>
                <w:tcPr>
                  <w:tcW w:w="1008" w:type="pct"/>
                  <w:tcBorders>
                    <w:tl2br w:val="nil"/>
                    <w:tr2bl w:val="nil"/>
                  </w:tcBorders>
                  <w:vAlign w:val="center"/>
                </w:tcPr>
                <w:p w14:paraId="25DE7EEA">
                  <w:pPr>
                    <w:pStyle w:val="13"/>
                    <w:rPr>
                      <w:color w:val="auto"/>
                      <w:highlight w:val="none"/>
                    </w:rPr>
                  </w:pPr>
                  <w:r>
                    <w:rPr>
                      <w:color w:val="auto"/>
                      <w:highlight w:val="none"/>
                    </w:rPr>
                    <w:t>0.45</w:t>
                  </w:r>
                </w:p>
              </w:tc>
              <w:tc>
                <w:tcPr>
                  <w:tcW w:w="1874" w:type="dxa"/>
                  <w:tcBorders>
                    <w:tl2br w:val="nil"/>
                    <w:tr2bl w:val="nil"/>
                  </w:tcBorders>
                  <w:vAlign w:val="center"/>
                </w:tcPr>
                <w:p w14:paraId="63B7AE26">
                  <w:pPr>
                    <w:pStyle w:val="13"/>
                    <w:rPr>
                      <w:color w:val="auto"/>
                      <w:highlight w:val="none"/>
                    </w:rPr>
                  </w:pPr>
                  <w:r>
                    <w:rPr>
                      <w:rFonts w:hint="eastAsia"/>
                      <w:color w:val="auto"/>
                      <w:highlight w:val="none"/>
                    </w:rPr>
                    <w:t>2160</w:t>
                  </w:r>
                </w:p>
              </w:tc>
            </w:tr>
            <w:tr w14:paraId="71FAC5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534" w:type="pct"/>
                  <w:tcBorders>
                    <w:tl2br w:val="nil"/>
                    <w:tr2bl w:val="nil"/>
                  </w:tcBorders>
                  <w:vAlign w:val="center"/>
                </w:tcPr>
                <w:p w14:paraId="6B9EB830">
                  <w:pPr>
                    <w:pStyle w:val="13"/>
                    <w:rPr>
                      <w:color w:val="auto"/>
                      <w:highlight w:val="none"/>
                    </w:rPr>
                  </w:pPr>
                  <w:r>
                    <w:rPr>
                      <w:rFonts w:hint="eastAsia"/>
                      <w:color w:val="auto"/>
                      <w:highlight w:val="none"/>
                    </w:rPr>
                    <w:t>秸秆打包机</w:t>
                  </w:r>
                </w:p>
              </w:tc>
              <w:tc>
                <w:tcPr>
                  <w:tcW w:w="355" w:type="pct"/>
                  <w:tcBorders>
                    <w:tl2br w:val="nil"/>
                    <w:tr2bl w:val="nil"/>
                  </w:tcBorders>
                  <w:vAlign w:val="center"/>
                </w:tcPr>
                <w:p w14:paraId="430CF08A">
                  <w:pPr>
                    <w:pStyle w:val="13"/>
                    <w:rPr>
                      <w:color w:val="auto"/>
                      <w:highlight w:val="none"/>
                    </w:rPr>
                  </w:pPr>
                  <w:r>
                    <w:rPr>
                      <w:rFonts w:hint="eastAsia"/>
                      <w:color w:val="auto"/>
                      <w:highlight w:val="none"/>
                    </w:rPr>
                    <w:t>0.6</w:t>
                  </w:r>
                </w:p>
              </w:tc>
              <w:tc>
                <w:tcPr>
                  <w:tcW w:w="355" w:type="pct"/>
                  <w:tcBorders>
                    <w:tl2br w:val="nil"/>
                    <w:tr2bl w:val="nil"/>
                  </w:tcBorders>
                  <w:vAlign w:val="center"/>
                </w:tcPr>
                <w:p w14:paraId="6274B593">
                  <w:pPr>
                    <w:pStyle w:val="13"/>
                    <w:rPr>
                      <w:color w:val="auto"/>
                      <w:highlight w:val="none"/>
                    </w:rPr>
                  </w:pPr>
                  <w:r>
                    <w:rPr>
                      <w:color w:val="auto"/>
                      <w:highlight w:val="none"/>
                    </w:rPr>
                    <w:t>0.</w:t>
                  </w:r>
                  <w:r>
                    <w:rPr>
                      <w:rFonts w:hint="eastAsia"/>
                      <w:color w:val="auto"/>
                      <w:highlight w:val="none"/>
                    </w:rPr>
                    <w:t>6</w:t>
                  </w:r>
                </w:p>
              </w:tc>
              <w:tc>
                <w:tcPr>
                  <w:tcW w:w="355" w:type="pct"/>
                  <w:tcBorders>
                    <w:tl2br w:val="nil"/>
                    <w:tr2bl w:val="nil"/>
                  </w:tcBorders>
                  <w:vAlign w:val="center"/>
                </w:tcPr>
                <w:p w14:paraId="3266A145">
                  <w:pPr>
                    <w:pStyle w:val="13"/>
                    <w:rPr>
                      <w:color w:val="auto"/>
                      <w:highlight w:val="none"/>
                    </w:rPr>
                  </w:pPr>
                  <w:r>
                    <w:rPr>
                      <w:color w:val="auto"/>
                      <w:highlight w:val="none"/>
                    </w:rPr>
                    <w:t>0.5</w:t>
                  </w:r>
                </w:p>
              </w:tc>
              <w:tc>
                <w:tcPr>
                  <w:tcW w:w="355" w:type="pct"/>
                  <w:tcBorders>
                    <w:tl2br w:val="nil"/>
                    <w:tr2bl w:val="nil"/>
                  </w:tcBorders>
                  <w:vAlign w:val="center"/>
                </w:tcPr>
                <w:p w14:paraId="264597E1">
                  <w:pPr>
                    <w:pStyle w:val="13"/>
                    <w:rPr>
                      <w:color w:val="auto"/>
                      <w:highlight w:val="none"/>
                    </w:rPr>
                  </w:pPr>
                  <w:r>
                    <w:rPr>
                      <w:color w:val="auto"/>
                      <w:highlight w:val="none"/>
                    </w:rPr>
                    <w:t>0.5</w:t>
                  </w:r>
                </w:p>
              </w:tc>
              <w:tc>
                <w:tcPr>
                  <w:tcW w:w="1008" w:type="pct"/>
                  <w:tcBorders>
                    <w:tl2br w:val="nil"/>
                    <w:tr2bl w:val="nil"/>
                  </w:tcBorders>
                  <w:vAlign w:val="center"/>
                </w:tcPr>
                <w:p w14:paraId="56E054F9">
                  <w:pPr>
                    <w:pStyle w:val="13"/>
                    <w:rPr>
                      <w:color w:val="auto"/>
                      <w:highlight w:val="none"/>
                    </w:rPr>
                  </w:pPr>
                  <w:r>
                    <w:rPr>
                      <w:color w:val="auto"/>
                      <w:highlight w:val="none"/>
                    </w:rPr>
                    <w:t>0.45</w:t>
                  </w:r>
                </w:p>
              </w:tc>
              <w:tc>
                <w:tcPr>
                  <w:tcW w:w="1874" w:type="dxa"/>
                  <w:tcBorders>
                    <w:tl2br w:val="nil"/>
                    <w:tr2bl w:val="nil"/>
                  </w:tcBorders>
                  <w:vAlign w:val="center"/>
                </w:tcPr>
                <w:p w14:paraId="7728C42C">
                  <w:pPr>
                    <w:pStyle w:val="13"/>
                    <w:rPr>
                      <w:color w:val="auto"/>
                      <w:highlight w:val="none"/>
                    </w:rPr>
                  </w:pPr>
                  <w:r>
                    <w:rPr>
                      <w:rFonts w:hint="eastAsia"/>
                      <w:color w:val="auto"/>
                      <w:highlight w:val="none"/>
                    </w:rPr>
                    <w:t>2160</w:t>
                  </w:r>
                </w:p>
              </w:tc>
            </w:tr>
            <w:tr w14:paraId="2BEA73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534" w:type="pct"/>
                  <w:tcBorders>
                    <w:tl2br w:val="nil"/>
                    <w:tr2bl w:val="nil"/>
                  </w:tcBorders>
                  <w:vAlign w:val="center"/>
                </w:tcPr>
                <w:p w14:paraId="3C784AC5">
                  <w:pPr>
                    <w:pStyle w:val="13"/>
                    <w:rPr>
                      <w:color w:val="auto"/>
                      <w:highlight w:val="none"/>
                    </w:rPr>
                  </w:pPr>
                  <w:r>
                    <w:rPr>
                      <w:rFonts w:hint="eastAsia"/>
                      <w:color w:val="auto"/>
                      <w:highlight w:val="none"/>
                    </w:rPr>
                    <w:t>混合机</w:t>
                  </w:r>
                </w:p>
              </w:tc>
              <w:tc>
                <w:tcPr>
                  <w:tcW w:w="355" w:type="pct"/>
                  <w:tcBorders>
                    <w:tl2br w:val="nil"/>
                    <w:tr2bl w:val="nil"/>
                  </w:tcBorders>
                  <w:vAlign w:val="center"/>
                </w:tcPr>
                <w:p w14:paraId="6DD93E1B">
                  <w:pPr>
                    <w:pStyle w:val="13"/>
                    <w:rPr>
                      <w:color w:val="auto"/>
                      <w:highlight w:val="none"/>
                    </w:rPr>
                  </w:pPr>
                  <w:r>
                    <w:rPr>
                      <w:color w:val="auto"/>
                      <w:highlight w:val="none"/>
                    </w:rPr>
                    <w:t>0.</w:t>
                  </w:r>
                  <w:r>
                    <w:rPr>
                      <w:rFonts w:hint="eastAsia"/>
                      <w:color w:val="auto"/>
                      <w:highlight w:val="none"/>
                    </w:rPr>
                    <w:t>4</w:t>
                  </w:r>
                </w:p>
              </w:tc>
              <w:tc>
                <w:tcPr>
                  <w:tcW w:w="355" w:type="pct"/>
                  <w:tcBorders>
                    <w:tl2br w:val="nil"/>
                    <w:tr2bl w:val="nil"/>
                  </w:tcBorders>
                  <w:vAlign w:val="center"/>
                </w:tcPr>
                <w:p w14:paraId="42308A25">
                  <w:pPr>
                    <w:pStyle w:val="13"/>
                    <w:rPr>
                      <w:color w:val="auto"/>
                      <w:highlight w:val="none"/>
                    </w:rPr>
                  </w:pPr>
                  <w:r>
                    <w:rPr>
                      <w:color w:val="auto"/>
                      <w:highlight w:val="none"/>
                    </w:rPr>
                    <w:t>0.</w:t>
                  </w:r>
                  <w:r>
                    <w:rPr>
                      <w:rFonts w:hint="eastAsia"/>
                      <w:color w:val="auto"/>
                      <w:highlight w:val="none"/>
                    </w:rPr>
                    <w:t>4</w:t>
                  </w:r>
                </w:p>
              </w:tc>
              <w:tc>
                <w:tcPr>
                  <w:tcW w:w="355" w:type="pct"/>
                  <w:tcBorders>
                    <w:tl2br w:val="nil"/>
                    <w:tr2bl w:val="nil"/>
                  </w:tcBorders>
                  <w:vAlign w:val="center"/>
                </w:tcPr>
                <w:p w14:paraId="5B307C7D">
                  <w:pPr>
                    <w:pStyle w:val="13"/>
                    <w:rPr>
                      <w:color w:val="auto"/>
                      <w:highlight w:val="none"/>
                    </w:rPr>
                  </w:pPr>
                  <w:r>
                    <w:rPr>
                      <w:color w:val="auto"/>
                      <w:highlight w:val="none"/>
                    </w:rPr>
                    <w:t>0.5</w:t>
                  </w:r>
                </w:p>
              </w:tc>
              <w:tc>
                <w:tcPr>
                  <w:tcW w:w="355" w:type="pct"/>
                  <w:tcBorders>
                    <w:tl2br w:val="nil"/>
                    <w:tr2bl w:val="nil"/>
                  </w:tcBorders>
                  <w:vAlign w:val="center"/>
                </w:tcPr>
                <w:p w14:paraId="6E24B973">
                  <w:pPr>
                    <w:pStyle w:val="13"/>
                    <w:rPr>
                      <w:color w:val="auto"/>
                      <w:highlight w:val="none"/>
                    </w:rPr>
                  </w:pPr>
                  <w:r>
                    <w:rPr>
                      <w:color w:val="auto"/>
                      <w:highlight w:val="none"/>
                    </w:rPr>
                    <w:t>0.5</w:t>
                  </w:r>
                </w:p>
              </w:tc>
              <w:tc>
                <w:tcPr>
                  <w:tcW w:w="1008" w:type="pct"/>
                  <w:tcBorders>
                    <w:tl2br w:val="nil"/>
                    <w:tr2bl w:val="nil"/>
                  </w:tcBorders>
                  <w:vAlign w:val="center"/>
                </w:tcPr>
                <w:p w14:paraId="11EB5C27">
                  <w:pPr>
                    <w:pStyle w:val="13"/>
                    <w:rPr>
                      <w:color w:val="auto"/>
                      <w:highlight w:val="none"/>
                    </w:rPr>
                  </w:pPr>
                  <w:r>
                    <w:rPr>
                      <w:color w:val="auto"/>
                      <w:highlight w:val="none"/>
                    </w:rPr>
                    <w:t>0.2</w:t>
                  </w:r>
                </w:p>
              </w:tc>
              <w:tc>
                <w:tcPr>
                  <w:tcW w:w="1874" w:type="dxa"/>
                  <w:tcBorders>
                    <w:tl2br w:val="nil"/>
                    <w:tr2bl w:val="nil"/>
                  </w:tcBorders>
                  <w:vAlign w:val="center"/>
                </w:tcPr>
                <w:p w14:paraId="0D3B02E3">
                  <w:pPr>
                    <w:pStyle w:val="13"/>
                    <w:rPr>
                      <w:color w:val="auto"/>
                      <w:highlight w:val="none"/>
                    </w:rPr>
                  </w:pPr>
                  <w:r>
                    <w:rPr>
                      <w:rFonts w:hint="eastAsia"/>
                      <w:color w:val="auto"/>
                      <w:highlight w:val="none"/>
                    </w:rPr>
                    <w:t>1440</w:t>
                  </w:r>
                </w:p>
              </w:tc>
            </w:tr>
            <w:tr w14:paraId="4D34DE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534" w:type="pct"/>
                  <w:tcBorders>
                    <w:tl2br w:val="nil"/>
                    <w:tr2bl w:val="nil"/>
                  </w:tcBorders>
                  <w:vAlign w:val="center"/>
                </w:tcPr>
                <w:p w14:paraId="5C52DA06">
                  <w:pPr>
                    <w:pStyle w:val="13"/>
                    <w:rPr>
                      <w:color w:val="auto"/>
                      <w:highlight w:val="none"/>
                    </w:rPr>
                  </w:pPr>
                  <w:r>
                    <w:rPr>
                      <w:rFonts w:hint="eastAsia"/>
                      <w:color w:val="auto"/>
                      <w:highlight w:val="none"/>
                    </w:rPr>
                    <w:t>制粒机</w:t>
                  </w:r>
                </w:p>
              </w:tc>
              <w:tc>
                <w:tcPr>
                  <w:tcW w:w="642" w:type="dxa"/>
                  <w:tcBorders>
                    <w:tl2br w:val="nil"/>
                    <w:tr2bl w:val="nil"/>
                  </w:tcBorders>
                  <w:vAlign w:val="center"/>
                </w:tcPr>
                <w:p w14:paraId="7182F83C">
                  <w:pPr>
                    <w:pStyle w:val="13"/>
                    <w:rPr>
                      <w:color w:val="auto"/>
                      <w:highlight w:val="none"/>
                    </w:rPr>
                  </w:pPr>
                  <w:r>
                    <w:rPr>
                      <w:color w:val="auto"/>
                      <w:highlight w:val="none"/>
                    </w:rPr>
                    <w:t>0.</w:t>
                  </w:r>
                  <w:r>
                    <w:rPr>
                      <w:rFonts w:hint="eastAsia"/>
                      <w:color w:val="auto"/>
                      <w:highlight w:val="none"/>
                    </w:rPr>
                    <w:t>4</w:t>
                  </w:r>
                </w:p>
              </w:tc>
              <w:tc>
                <w:tcPr>
                  <w:tcW w:w="642" w:type="dxa"/>
                  <w:tcBorders>
                    <w:tl2br w:val="nil"/>
                    <w:tr2bl w:val="nil"/>
                  </w:tcBorders>
                  <w:vAlign w:val="center"/>
                </w:tcPr>
                <w:p w14:paraId="487A10C1">
                  <w:pPr>
                    <w:pStyle w:val="13"/>
                    <w:rPr>
                      <w:color w:val="auto"/>
                      <w:highlight w:val="none"/>
                    </w:rPr>
                  </w:pPr>
                  <w:r>
                    <w:rPr>
                      <w:color w:val="auto"/>
                      <w:highlight w:val="none"/>
                    </w:rPr>
                    <w:t>0.</w:t>
                  </w:r>
                  <w:r>
                    <w:rPr>
                      <w:rFonts w:hint="eastAsia"/>
                      <w:color w:val="auto"/>
                      <w:highlight w:val="none"/>
                    </w:rPr>
                    <w:t>4</w:t>
                  </w:r>
                </w:p>
              </w:tc>
              <w:tc>
                <w:tcPr>
                  <w:tcW w:w="642" w:type="dxa"/>
                  <w:tcBorders>
                    <w:tl2br w:val="nil"/>
                    <w:tr2bl w:val="nil"/>
                  </w:tcBorders>
                  <w:vAlign w:val="center"/>
                </w:tcPr>
                <w:p w14:paraId="0DE198CE">
                  <w:pPr>
                    <w:pStyle w:val="13"/>
                    <w:rPr>
                      <w:color w:val="auto"/>
                      <w:highlight w:val="none"/>
                    </w:rPr>
                  </w:pPr>
                  <w:r>
                    <w:rPr>
                      <w:color w:val="auto"/>
                      <w:highlight w:val="none"/>
                    </w:rPr>
                    <w:t>0.5</w:t>
                  </w:r>
                </w:p>
              </w:tc>
              <w:tc>
                <w:tcPr>
                  <w:tcW w:w="355" w:type="pct"/>
                  <w:tcBorders>
                    <w:tl2br w:val="nil"/>
                    <w:tr2bl w:val="nil"/>
                  </w:tcBorders>
                  <w:vAlign w:val="center"/>
                </w:tcPr>
                <w:p w14:paraId="22AFBE66">
                  <w:pPr>
                    <w:pStyle w:val="13"/>
                    <w:rPr>
                      <w:color w:val="auto"/>
                      <w:highlight w:val="none"/>
                    </w:rPr>
                  </w:pPr>
                  <w:r>
                    <w:rPr>
                      <w:color w:val="auto"/>
                      <w:highlight w:val="none"/>
                    </w:rPr>
                    <w:t>0.5</w:t>
                  </w:r>
                </w:p>
              </w:tc>
              <w:tc>
                <w:tcPr>
                  <w:tcW w:w="1008" w:type="pct"/>
                  <w:tcBorders>
                    <w:tl2br w:val="nil"/>
                    <w:tr2bl w:val="nil"/>
                  </w:tcBorders>
                  <w:vAlign w:val="center"/>
                </w:tcPr>
                <w:p w14:paraId="4B28254C">
                  <w:pPr>
                    <w:pStyle w:val="13"/>
                    <w:rPr>
                      <w:color w:val="auto"/>
                      <w:highlight w:val="none"/>
                    </w:rPr>
                  </w:pPr>
                  <w:r>
                    <w:rPr>
                      <w:color w:val="auto"/>
                      <w:highlight w:val="none"/>
                    </w:rPr>
                    <w:t>0.375</w:t>
                  </w:r>
                </w:p>
              </w:tc>
              <w:tc>
                <w:tcPr>
                  <w:tcW w:w="1874" w:type="dxa"/>
                  <w:tcBorders>
                    <w:tl2br w:val="nil"/>
                    <w:tr2bl w:val="nil"/>
                  </w:tcBorders>
                  <w:vAlign w:val="center"/>
                </w:tcPr>
                <w:p w14:paraId="5E2BB112">
                  <w:pPr>
                    <w:pStyle w:val="13"/>
                    <w:rPr>
                      <w:color w:val="auto"/>
                      <w:highlight w:val="none"/>
                    </w:rPr>
                  </w:pPr>
                  <w:r>
                    <w:rPr>
                      <w:rFonts w:hint="eastAsia"/>
                      <w:color w:val="auto"/>
                      <w:highlight w:val="none"/>
                    </w:rPr>
                    <w:t>1440</w:t>
                  </w:r>
                </w:p>
              </w:tc>
            </w:tr>
            <w:tr w14:paraId="68E926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534" w:type="pct"/>
                  <w:tcBorders>
                    <w:tl2br w:val="nil"/>
                    <w:tr2bl w:val="nil"/>
                  </w:tcBorders>
                  <w:vAlign w:val="center"/>
                </w:tcPr>
                <w:p w14:paraId="0058E658">
                  <w:pPr>
                    <w:pStyle w:val="13"/>
                    <w:rPr>
                      <w:color w:val="auto"/>
                      <w:highlight w:val="none"/>
                    </w:rPr>
                  </w:pPr>
                  <w:r>
                    <w:rPr>
                      <w:rFonts w:hint="eastAsia"/>
                      <w:color w:val="auto"/>
                      <w:highlight w:val="none"/>
                    </w:rPr>
                    <w:t>冷却分级筛</w:t>
                  </w:r>
                </w:p>
              </w:tc>
              <w:tc>
                <w:tcPr>
                  <w:tcW w:w="355" w:type="pct"/>
                  <w:tcBorders>
                    <w:tl2br w:val="nil"/>
                    <w:tr2bl w:val="nil"/>
                  </w:tcBorders>
                  <w:vAlign w:val="center"/>
                </w:tcPr>
                <w:p w14:paraId="6D8972F1">
                  <w:pPr>
                    <w:pStyle w:val="13"/>
                    <w:rPr>
                      <w:color w:val="auto"/>
                      <w:highlight w:val="none"/>
                    </w:rPr>
                  </w:pPr>
                  <w:r>
                    <w:rPr>
                      <w:rFonts w:hint="eastAsia"/>
                      <w:color w:val="auto"/>
                      <w:highlight w:val="none"/>
                    </w:rPr>
                    <w:t>2</w:t>
                  </w:r>
                </w:p>
              </w:tc>
              <w:tc>
                <w:tcPr>
                  <w:tcW w:w="355" w:type="pct"/>
                  <w:tcBorders>
                    <w:tl2br w:val="nil"/>
                    <w:tr2bl w:val="nil"/>
                  </w:tcBorders>
                  <w:vAlign w:val="center"/>
                </w:tcPr>
                <w:p w14:paraId="4D0B7180">
                  <w:pPr>
                    <w:pStyle w:val="13"/>
                    <w:rPr>
                      <w:color w:val="auto"/>
                      <w:highlight w:val="none"/>
                    </w:rPr>
                  </w:pPr>
                  <w:r>
                    <w:rPr>
                      <w:color w:val="auto"/>
                      <w:highlight w:val="none"/>
                    </w:rPr>
                    <w:t>0.</w:t>
                  </w:r>
                  <w:r>
                    <w:rPr>
                      <w:rFonts w:hint="eastAsia"/>
                      <w:color w:val="auto"/>
                      <w:highlight w:val="none"/>
                    </w:rPr>
                    <w:t>5</w:t>
                  </w:r>
                </w:p>
              </w:tc>
              <w:tc>
                <w:tcPr>
                  <w:tcW w:w="355" w:type="pct"/>
                  <w:tcBorders>
                    <w:tl2br w:val="nil"/>
                    <w:tr2bl w:val="nil"/>
                  </w:tcBorders>
                  <w:vAlign w:val="center"/>
                </w:tcPr>
                <w:p w14:paraId="4B0E1D95">
                  <w:pPr>
                    <w:pStyle w:val="13"/>
                    <w:rPr>
                      <w:color w:val="auto"/>
                      <w:highlight w:val="none"/>
                    </w:rPr>
                  </w:pPr>
                  <w:r>
                    <w:rPr>
                      <w:color w:val="auto"/>
                      <w:highlight w:val="none"/>
                    </w:rPr>
                    <w:t>0.5</w:t>
                  </w:r>
                </w:p>
              </w:tc>
              <w:tc>
                <w:tcPr>
                  <w:tcW w:w="355" w:type="pct"/>
                  <w:tcBorders>
                    <w:tl2br w:val="nil"/>
                    <w:tr2bl w:val="nil"/>
                  </w:tcBorders>
                  <w:vAlign w:val="center"/>
                </w:tcPr>
                <w:p w14:paraId="7791AE0C">
                  <w:pPr>
                    <w:pStyle w:val="13"/>
                    <w:rPr>
                      <w:color w:val="auto"/>
                      <w:highlight w:val="none"/>
                    </w:rPr>
                  </w:pPr>
                  <w:r>
                    <w:rPr>
                      <w:color w:val="auto"/>
                      <w:highlight w:val="none"/>
                    </w:rPr>
                    <w:t>0.5</w:t>
                  </w:r>
                </w:p>
              </w:tc>
              <w:tc>
                <w:tcPr>
                  <w:tcW w:w="1008" w:type="pct"/>
                  <w:tcBorders>
                    <w:tl2br w:val="nil"/>
                    <w:tr2bl w:val="nil"/>
                  </w:tcBorders>
                  <w:vAlign w:val="center"/>
                </w:tcPr>
                <w:p w14:paraId="2ACF0928">
                  <w:pPr>
                    <w:pStyle w:val="13"/>
                    <w:rPr>
                      <w:color w:val="auto"/>
                      <w:highlight w:val="none"/>
                    </w:rPr>
                  </w:pPr>
                  <w:r>
                    <w:rPr>
                      <w:color w:val="auto"/>
                      <w:highlight w:val="none"/>
                    </w:rPr>
                    <w:t>0.2</w:t>
                  </w:r>
                </w:p>
              </w:tc>
              <w:tc>
                <w:tcPr>
                  <w:tcW w:w="1874" w:type="dxa"/>
                  <w:tcBorders>
                    <w:tl2br w:val="nil"/>
                    <w:tr2bl w:val="nil"/>
                  </w:tcBorders>
                  <w:vAlign w:val="center"/>
                </w:tcPr>
                <w:p w14:paraId="639F14AD">
                  <w:pPr>
                    <w:pStyle w:val="13"/>
                    <w:rPr>
                      <w:color w:val="auto"/>
                      <w:highlight w:val="none"/>
                    </w:rPr>
                  </w:pPr>
                  <w:r>
                    <w:rPr>
                      <w:rFonts w:hint="eastAsia"/>
                      <w:color w:val="auto"/>
                      <w:highlight w:val="none"/>
                    </w:rPr>
                    <w:t>4500</w:t>
                  </w:r>
                </w:p>
              </w:tc>
            </w:tr>
          </w:tbl>
          <w:p w14:paraId="536AC425">
            <w:pPr>
              <w:pStyle w:val="3"/>
              <w:ind w:firstLine="482"/>
              <w:rPr>
                <w:color w:val="auto"/>
                <w:highlight w:val="none"/>
              </w:rPr>
            </w:pPr>
            <w:r>
              <w:rPr>
                <w:rFonts w:hint="eastAsia"/>
                <w:color w:val="auto"/>
                <w:highlight w:val="none"/>
              </w:rPr>
              <w:t>（3）风量核算</w:t>
            </w:r>
          </w:p>
          <w:p w14:paraId="41F3AEEF">
            <w:pPr>
              <w:ind w:firstLine="480"/>
              <w:rPr>
                <w:color w:val="auto"/>
                <w:highlight w:val="none"/>
              </w:rPr>
            </w:pPr>
            <w:r>
              <w:rPr>
                <w:color w:val="auto"/>
                <w:highlight w:val="none"/>
              </w:rPr>
              <w:t>综上，风量核算如下表所示：</w:t>
            </w:r>
          </w:p>
          <w:p w14:paraId="3C8AEB74">
            <w:pPr>
              <w:pStyle w:val="14"/>
              <w:spacing w:before="156"/>
              <w:rPr>
                <w:rFonts w:hint="eastAsia"/>
                <w:bCs/>
                <w:color w:val="auto"/>
                <w:highlight w:val="none"/>
              </w:rPr>
            </w:pPr>
            <w:r>
              <w:rPr>
                <w:rFonts w:hint="eastAsia"/>
                <w:color w:val="auto"/>
                <w:highlight w:val="none"/>
              </w:rPr>
              <w:t>表4-</w:t>
            </w:r>
            <w:r>
              <w:rPr>
                <w:rFonts w:hint="eastAsia"/>
                <w:color w:val="auto"/>
                <w:highlight w:val="none"/>
                <w:lang w:val="en-US" w:eastAsia="zh-CN"/>
              </w:rPr>
              <w:t>5</w:t>
            </w:r>
            <w:r>
              <w:rPr>
                <w:rFonts w:hint="eastAsia"/>
                <w:color w:val="auto"/>
                <w:highlight w:val="none"/>
              </w:rPr>
              <w:t xml:space="preserve">  废气收集风量核算一览表  单位：</w:t>
            </w:r>
            <w:r>
              <w:rPr>
                <w:bCs/>
                <w:color w:val="auto"/>
                <w:highlight w:val="none"/>
              </w:rPr>
              <w:t>m³</w:t>
            </w:r>
            <w:r>
              <w:rPr>
                <w:rFonts w:hint="eastAsia"/>
                <w:bCs/>
                <w:color w:val="auto"/>
                <w:highlight w:val="none"/>
              </w:rPr>
              <w:t>/h</w:t>
            </w:r>
          </w:p>
          <w:tbl>
            <w:tblPr>
              <w:tblStyle w:val="1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5"/>
              <w:gridCol w:w="2025"/>
              <w:gridCol w:w="719"/>
              <w:gridCol w:w="1139"/>
              <w:gridCol w:w="1110"/>
              <w:gridCol w:w="1156"/>
              <w:gridCol w:w="869"/>
              <w:gridCol w:w="1076"/>
            </w:tblGrid>
            <w:tr w14:paraId="59206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pct"/>
                  <w:vAlign w:val="center"/>
                </w:tcPr>
                <w:p w14:paraId="5A19A012">
                  <w:pPr>
                    <w:pStyle w:val="13"/>
                    <w:rPr>
                      <w:b/>
                      <w:bCs/>
                      <w:color w:val="auto"/>
                      <w:highlight w:val="none"/>
                    </w:rPr>
                  </w:pPr>
                  <w:r>
                    <w:rPr>
                      <w:rFonts w:hint="eastAsia"/>
                      <w:b/>
                      <w:bCs/>
                      <w:color w:val="auto"/>
                      <w:highlight w:val="none"/>
                    </w:rPr>
                    <w:t>排气筒</w:t>
                  </w:r>
                </w:p>
              </w:tc>
              <w:tc>
                <w:tcPr>
                  <w:tcW w:w="1118" w:type="pct"/>
                  <w:vAlign w:val="center"/>
                </w:tcPr>
                <w:p w14:paraId="1DB42FFF">
                  <w:pPr>
                    <w:pStyle w:val="13"/>
                    <w:rPr>
                      <w:b/>
                      <w:bCs/>
                      <w:color w:val="auto"/>
                      <w:highlight w:val="none"/>
                    </w:rPr>
                  </w:pPr>
                  <w:r>
                    <w:rPr>
                      <w:rFonts w:hint="eastAsia"/>
                      <w:b/>
                      <w:bCs/>
                      <w:color w:val="auto"/>
                      <w:highlight w:val="none"/>
                    </w:rPr>
                    <w:t>设施名称</w:t>
                  </w:r>
                </w:p>
              </w:tc>
              <w:tc>
                <w:tcPr>
                  <w:tcW w:w="397" w:type="pct"/>
                  <w:vAlign w:val="center"/>
                </w:tcPr>
                <w:p w14:paraId="0CE57D7F">
                  <w:pPr>
                    <w:pStyle w:val="13"/>
                    <w:rPr>
                      <w:b/>
                      <w:bCs/>
                      <w:color w:val="auto"/>
                      <w:highlight w:val="none"/>
                    </w:rPr>
                  </w:pPr>
                  <w:r>
                    <w:rPr>
                      <w:rFonts w:hint="eastAsia"/>
                      <w:b/>
                      <w:bCs/>
                      <w:color w:val="auto"/>
                      <w:highlight w:val="none"/>
                    </w:rPr>
                    <w:t>数量</w:t>
                  </w:r>
                </w:p>
              </w:tc>
              <w:tc>
                <w:tcPr>
                  <w:tcW w:w="629" w:type="pct"/>
                  <w:vAlign w:val="center"/>
                </w:tcPr>
                <w:p w14:paraId="0D5AB259">
                  <w:pPr>
                    <w:pStyle w:val="13"/>
                    <w:rPr>
                      <w:b/>
                      <w:bCs/>
                      <w:color w:val="auto"/>
                      <w:highlight w:val="none"/>
                    </w:rPr>
                  </w:pPr>
                  <w:r>
                    <w:rPr>
                      <w:rFonts w:hint="eastAsia"/>
                      <w:b/>
                      <w:bCs/>
                      <w:color w:val="auto"/>
                      <w:highlight w:val="none"/>
                    </w:rPr>
                    <w:t>集气方式</w:t>
                  </w:r>
                </w:p>
              </w:tc>
              <w:tc>
                <w:tcPr>
                  <w:tcW w:w="613" w:type="pct"/>
                  <w:vAlign w:val="center"/>
                </w:tcPr>
                <w:p w14:paraId="18CCFD05">
                  <w:pPr>
                    <w:pStyle w:val="13"/>
                    <w:rPr>
                      <w:b/>
                      <w:bCs/>
                      <w:color w:val="auto"/>
                      <w:highlight w:val="none"/>
                    </w:rPr>
                  </w:pPr>
                  <w:r>
                    <w:rPr>
                      <w:rFonts w:hint="eastAsia"/>
                      <w:b/>
                      <w:bCs/>
                      <w:color w:val="auto"/>
                      <w:highlight w:val="none"/>
                    </w:rPr>
                    <w:t>集气风量</w:t>
                  </w:r>
                </w:p>
              </w:tc>
              <w:tc>
                <w:tcPr>
                  <w:tcW w:w="638" w:type="pct"/>
                  <w:vAlign w:val="center"/>
                </w:tcPr>
                <w:p w14:paraId="5C220979">
                  <w:pPr>
                    <w:pStyle w:val="13"/>
                    <w:rPr>
                      <w:b/>
                      <w:bCs/>
                      <w:color w:val="auto"/>
                      <w:highlight w:val="none"/>
                    </w:rPr>
                  </w:pPr>
                  <w:r>
                    <w:rPr>
                      <w:rFonts w:hint="eastAsia"/>
                      <w:b/>
                      <w:bCs/>
                      <w:color w:val="auto"/>
                      <w:highlight w:val="none"/>
                    </w:rPr>
                    <w:t>合计风量</w:t>
                  </w:r>
                </w:p>
              </w:tc>
              <w:tc>
                <w:tcPr>
                  <w:tcW w:w="480" w:type="pct"/>
                  <w:vAlign w:val="center"/>
                </w:tcPr>
                <w:p w14:paraId="70CA6AAD">
                  <w:pPr>
                    <w:pStyle w:val="13"/>
                    <w:rPr>
                      <w:b/>
                      <w:bCs/>
                      <w:color w:val="auto"/>
                      <w:highlight w:val="none"/>
                    </w:rPr>
                  </w:pPr>
                  <w:r>
                    <w:rPr>
                      <w:rFonts w:hint="eastAsia"/>
                      <w:b/>
                      <w:bCs/>
                      <w:color w:val="auto"/>
                      <w:highlight w:val="none"/>
                    </w:rPr>
                    <w:t>总风量</w:t>
                  </w:r>
                </w:p>
              </w:tc>
              <w:tc>
                <w:tcPr>
                  <w:tcW w:w="594" w:type="pct"/>
                  <w:vAlign w:val="center"/>
                </w:tcPr>
                <w:p w14:paraId="04A9908B">
                  <w:pPr>
                    <w:pStyle w:val="13"/>
                    <w:rPr>
                      <w:b/>
                      <w:bCs/>
                      <w:color w:val="auto"/>
                      <w:highlight w:val="none"/>
                    </w:rPr>
                  </w:pPr>
                  <w:r>
                    <w:rPr>
                      <w:rFonts w:hint="eastAsia"/>
                      <w:b/>
                      <w:bCs/>
                      <w:color w:val="auto"/>
                      <w:highlight w:val="none"/>
                    </w:rPr>
                    <w:t>设计风量</w:t>
                  </w:r>
                </w:p>
              </w:tc>
            </w:tr>
            <w:tr w14:paraId="59776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pct"/>
                  <w:vMerge w:val="restart"/>
                  <w:vAlign w:val="center"/>
                </w:tcPr>
                <w:p w14:paraId="6625E9F6">
                  <w:pPr>
                    <w:pStyle w:val="13"/>
                    <w:rPr>
                      <w:color w:val="auto"/>
                      <w:highlight w:val="none"/>
                    </w:rPr>
                  </w:pPr>
                  <w:r>
                    <w:rPr>
                      <w:rFonts w:hint="eastAsia"/>
                      <w:color w:val="auto"/>
                      <w:highlight w:val="none"/>
                    </w:rPr>
                    <w:t>DA001</w:t>
                  </w:r>
                </w:p>
              </w:tc>
              <w:tc>
                <w:tcPr>
                  <w:tcW w:w="1118" w:type="pct"/>
                  <w:vAlign w:val="center"/>
                </w:tcPr>
                <w:p w14:paraId="2EC02FF5">
                  <w:pPr>
                    <w:pStyle w:val="13"/>
                    <w:rPr>
                      <w:color w:val="auto"/>
                      <w:highlight w:val="none"/>
                    </w:rPr>
                  </w:pPr>
                  <w:r>
                    <w:rPr>
                      <w:rFonts w:hint="eastAsia"/>
                      <w:color w:val="auto"/>
                      <w:highlight w:val="none"/>
                    </w:rPr>
                    <w:t>清理筛</w:t>
                  </w:r>
                </w:p>
              </w:tc>
              <w:tc>
                <w:tcPr>
                  <w:tcW w:w="397" w:type="pct"/>
                  <w:vAlign w:val="center"/>
                </w:tcPr>
                <w:p w14:paraId="5458EC00">
                  <w:pPr>
                    <w:pStyle w:val="13"/>
                    <w:rPr>
                      <w:color w:val="auto"/>
                      <w:highlight w:val="none"/>
                    </w:rPr>
                  </w:pPr>
                  <w:r>
                    <w:rPr>
                      <w:rFonts w:hint="eastAsia"/>
                      <w:color w:val="auto"/>
                      <w:highlight w:val="none"/>
                    </w:rPr>
                    <w:t>1</w:t>
                  </w:r>
                </w:p>
              </w:tc>
              <w:tc>
                <w:tcPr>
                  <w:tcW w:w="629" w:type="pct"/>
                  <w:vMerge w:val="restart"/>
                  <w:vAlign w:val="center"/>
                </w:tcPr>
                <w:p w14:paraId="24433DD2">
                  <w:pPr>
                    <w:pStyle w:val="13"/>
                    <w:rPr>
                      <w:color w:val="auto"/>
                      <w:highlight w:val="none"/>
                    </w:rPr>
                  </w:pPr>
                  <w:r>
                    <w:rPr>
                      <w:rFonts w:hint="eastAsia"/>
                      <w:color w:val="auto"/>
                      <w:highlight w:val="none"/>
                    </w:rPr>
                    <w:t>集气罩</w:t>
                  </w:r>
                </w:p>
              </w:tc>
              <w:tc>
                <w:tcPr>
                  <w:tcW w:w="613" w:type="pct"/>
                  <w:vAlign w:val="center"/>
                </w:tcPr>
                <w:p w14:paraId="37843C81">
                  <w:pPr>
                    <w:pStyle w:val="13"/>
                    <w:rPr>
                      <w:color w:val="auto"/>
                      <w:highlight w:val="none"/>
                    </w:rPr>
                  </w:pPr>
                  <w:r>
                    <w:rPr>
                      <w:color w:val="auto"/>
                      <w:highlight w:val="none"/>
                    </w:rPr>
                    <w:t>9000</w:t>
                  </w:r>
                </w:p>
              </w:tc>
              <w:tc>
                <w:tcPr>
                  <w:tcW w:w="638" w:type="pct"/>
                  <w:vAlign w:val="center"/>
                </w:tcPr>
                <w:p w14:paraId="3255C530">
                  <w:pPr>
                    <w:pStyle w:val="13"/>
                    <w:rPr>
                      <w:color w:val="auto"/>
                      <w:highlight w:val="none"/>
                    </w:rPr>
                  </w:pPr>
                  <w:r>
                    <w:rPr>
                      <w:rFonts w:hint="eastAsia"/>
                      <w:color w:val="auto"/>
                      <w:highlight w:val="none"/>
                    </w:rPr>
                    <w:t>9000</w:t>
                  </w:r>
                </w:p>
              </w:tc>
              <w:tc>
                <w:tcPr>
                  <w:tcW w:w="480" w:type="pct"/>
                  <w:vMerge w:val="restart"/>
                  <w:vAlign w:val="center"/>
                </w:tcPr>
                <w:p w14:paraId="6C64732B">
                  <w:pPr>
                    <w:pStyle w:val="13"/>
                    <w:rPr>
                      <w:color w:val="auto"/>
                      <w:highlight w:val="none"/>
                    </w:rPr>
                  </w:pPr>
                  <w:r>
                    <w:rPr>
                      <w:rFonts w:hint="eastAsia"/>
                      <w:color w:val="auto"/>
                      <w:highlight w:val="none"/>
                    </w:rPr>
                    <w:t>22320</w:t>
                  </w:r>
                </w:p>
              </w:tc>
              <w:tc>
                <w:tcPr>
                  <w:tcW w:w="594" w:type="pct"/>
                  <w:vMerge w:val="restart"/>
                  <w:vAlign w:val="center"/>
                </w:tcPr>
                <w:p w14:paraId="35A0210A">
                  <w:pPr>
                    <w:pStyle w:val="13"/>
                    <w:rPr>
                      <w:color w:val="auto"/>
                      <w:highlight w:val="none"/>
                    </w:rPr>
                  </w:pPr>
                  <w:r>
                    <w:rPr>
                      <w:rFonts w:hint="eastAsia"/>
                      <w:color w:val="auto"/>
                      <w:highlight w:val="none"/>
                    </w:rPr>
                    <w:t>25000</w:t>
                  </w:r>
                </w:p>
              </w:tc>
            </w:tr>
            <w:tr w14:paraId="71B6A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pct"/>
                  <w:vMerge w:val="continue"/>
                  <w:vAlign w:val="center"/>
                </w:tcPr>
                <w:p w14:paraId="2D33AE97">
                  <w:pPr>
                    <w:pStyle w:val="13"/>
                    <w:rPr>
                      <w:color w:val="auto"/>
                      <w:highlight w:val="none"/>
                    </w:rPr>
                  </w:pPr>
                </w:p>
              </w:tc>
              <w:tc>
                <w:tcPr>
                  <w:tcW w:w="1118" w:type="pct"/>
                  <w:vAlign w:val="center"/>
                </w:tcPr>
                <w:p w14:paraId="449D844D">
                  <w:pPr>
                    <w:pStyle w:val="13"/>
                    <w:rPr>
                      <w:color w:val="auto"/>
                      <w:highlight w:val="none"/>
                    </w:rPr>
                  </w:pPr>
                  <w:r>
                    <w:rPr>
                      <w:rFonts w:hint="eastAsia"/>
                      <w:color w:val="auto"/>
                      <w:highlight w:val="none"/>
                    </w:rPr>
                    <w:t>磁选机</w:t>
                  </w:r>
                </w:p>
              </w:tc>
              <w:tc>
                <w:tcPr>
                  <w:tcW w:w="397" w:type="pct"/>
                  <w:vAlign w:val="center"/>
                </w:tcPr>
                <w:p w14:paraId="6C2C7F58">
                  <w:pPr>
                    <w:pStyle w:val="13"/>
                    <w:rPr>
                      <w:color w:val="auto"/>
                      <w:highlight w:val="none"/>
                    </w:rPr>
                  </w:pPr>
                  <w:r>
                    <w:rPr>
                      <w:rFonts w:hint="eastAsia"/>
                      <w:color w:val="auto"/>
                      <w:highlight w:val="none"/>
                    </w:rPr>
                    <w:t>1</w:t>
                  </w:r>
                </w:p>
              </w:tc>
              <w:tc>
                <w:tcPr>
                  <w:tcW w:w="629" w:type="pct"/>
                  <w:vMerge w:val="continue"/>
                  <w:vAlign w:val="center"/>
                </w:tcPr>
                <w:p w14:paraId="24423460">
                  <w:pPr>
                    <w:pStyle w:val="13"/>
                    <w:rPr>
                      <w:color w:val="auto"/>
                      <w:highlight w:val="none"/>
                    </w:rPr>
                  </w:pPr>
                </w:p>
              </w:tc>
              <w:tc>
                <w:tcPr>
                  <w:tcW w:w="613" w:type="pct"/>
                  <w:vAlign w:val="center"/>
                </w:tcPr>
                <w:p w14:paraId="55FAAA38">
                  <w:pPr>
                    <w:pStyle w:val="13"/>
                    <w:rPr>
                      <w:color w:val="auto"/>
                      <w:highlight w:val="none"/>
                    </w:rPr>
                  </w:pPr>
                  <w:r>
                    <w:rPr>
                      <w:color w:val="auto"/>
                      <w:highlight w:val="none"/>
                    </w:rPr>
                    <w:t>9000</w:t>
                  </w:r>
                </w:p>
              </w:tc>
              <w:tc>
                <w:tcPr>
                  <w:tcW w:w="638" w:type="pct"/>
                  <w:vAlign w:val="center"/>
                </w:tcPr>
                <w:p w14:paraId="2195209D">
                  <w:pPr>
                    <w:pStyle w:val="13"/>
                    <w:rPr>
                      <w:color w:val="auto"/>
                      <w:highlight w:val="none"/>
                    </w:rPr>
                  </w:pPr>
                  <w:r>
                    <w:rPr>
                      <w:rFonts w:hint="eastAsia"/>
                      <w:color w:val="auto"/>
                      <w:highlight w:val="none"/>
                    </w:rPr>
                    <w:t>9000</w:t>
                  </w:r>
                </w:p>
              </w:tc>
              <w:tc>
                <w:tcPr>
                  <w:tcW w:w="480" w:type="pct"/>
                  <w:vMerge w:val="continue"/>
                  <w:vAlign w:val="center"/>
                </w:tcPr>
                <w:p w14:paraId="33A450CF">
                  <w:pPr>
                    <w:pStyle w:val="13"/>
                    <w:rPr>
                      <w:color w:val="auto"/>
                      <w:highlight w:val="none"/>
                    </w:rPr>
                  </w:pPr>
                </w:p>
              </w:tc>
              <w:tc>
                <w:tcPr>
                  <w:tcW w:w="594" w:type="pct"/>
                  <w:vMerge w:val="continue"/>
                  <w:vAlign w:val="center"/>
                </w:tcPr>
                <w:p w14:paraId="7C2048EF">
                  <w:pPr>
                    <w:pStyle w:val="13"/>
                    <w:rPr>
                      <w:color w:val="auto"/>
                      <w:highlight w:val="none"/>
                    </w:rPr>
                  </w:pPr>
                </w:p>
              </w:tc>
            </w:tr>
            <w:tr w14:paraId="20C9B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pct"/>
                  <w:vMerge w:val="continue"/>
                  <w:vAlign w:val="center"/>
                </w:tcPr>
                <w:p w14:paraId="6954EFB1">
                  <w:pPr>
                    <w:pStyle w:val="13"/>
                    <w:rPr>
                      <w:color w:val="auto"/>
                      <w:highlight w:val="none"/>
                    </w:rPr>
                  </w:pPr>
                </w:p>
              </w:tc>
              <w:tc>
                <w:tcPr>
                  <w:tcW w:w="1118" w:type="pct"/>
                  <w:vAlign w:val="center"/>
                </w:tcPr>
                <w:p w14:paraId="262EA3D8">
                  <w:pPr>
                    <w:pStyle w:val="13"/>
                    <w:rPr>
                      <w:color w:val="auto"/>
                      <w:highlight w:val="none"/>
                    </w:rPr>
                  </w:pPr>
                  <w:r>
                    <w:rPr>
                      <w:rFonts w:hint="eastAsia"/>
                      <w:color w:val="auto"/>
                      <w:highlight w:val="none"/>
                    </w:rPr>
                    <w:t>破碎机</w:t>
                  </w:r>
                </w:p>
              </w:tc>
              <w:tc>
                <w:tcPr>
                  <w:tcW w:w="397" w:type="pct"/>
                  <w:vAlign w:val="center"/>
                </w:tcPr>
                <w:p w14:paraId="01C4A39A">
                  <w:pPr>
                    <w:pStyle w:val="13"/>
                    <w:rPr>
                      <w:color w:val="auto"/>
                      <w:highlight w:val="none"/>
                    </w:rPr>
                  </w:pPr>
                  <w:r>
                    <w:rPr>
                      <w:rFonts w:hint="eastAsia"/>
                      <w:color w:val="auto"/>
                      <w:highlight w:val="none"/>
                    </w:rPr>
                    <w:t>1</w:t>
                  </w:r>
                </w:p>
              </w:tc>
              <w:tc>
                <w:tcPr>
                  <w:tcW w:w="629" w:type="pct"/>
                  <w:vMerge w:val="continue"/>
                  <w:vAlign w:val="center"/>
                </w:tcPr>
                <w:p w14:paraId="0F4E0DDA">
                  <w:pPr>
                    <w:pStyle w:val="13"/>
                    <w:rPr>
                      <w:color w:val="auto"/>
                      <w:highlight w:val="none"/>
                    </w:rPr>
                  </w:pPr>
                </w:p>
              </w:tc>
              <w:tc>
                <w:tcPr>
                  <w:tcW w:w="613" w:type="pct"/>
                  <w:vAlign w:val="center"/>
                </w:tcPr>
                <w:p w14:paraId="58E879FB">
                  <w:pPr>
                    <w:pStyle w:val="13"/>
                    <w:rPr>
                      <w:color w:val="auto"/>
                      <w:highlight w:val="none"/>
                    </w:rPr>
                  </w:pPr>
                  <w:r>
                    <w:rPr>
                      <w:color w:val="auto"/>
                      <w:highlight w:val="none"/>
                    </w:rPr>
                    <w:t>2160</w:t>
                  </w:r>
                </w:p>
              </w:tc>
              <w:tc>
                <w:tcPr>
                  <w:tcW w:w="638" w:type="pct"/>
                  <w:vAlign w:val="center"/>
                </w:tcPr>
                <w:p w14:paraId="1170B19D">
                  <w:pPr>
                    <w:pStyle w:val="13"/>
                    <w:rPr>
                      <w:color w:val="auto"/>
                      <w:highlight w:val="none"/>
                    </w:rPr>
                  </w:pPr>
                  <w:r>
                    <w:rPr>
                      <w:rFonts w:hint="eastAsia"/>
                      <w:color w:val="auto"/>
                      <w:highlight w:val="none"/>
                    </w:rPr>
                    <w:t>2160</w:t>
                  </w:r>
                </w:p>
              </w:tc>
              <w:tc>
                <w:tcPr>
                  <w:tcW w:w="480" w:type="pct"/>
                  <w:vMerge w:val="continue"/>
                  <w:vAlign w:val="center"/>
                </w:tcPr>
                <w:p w14:paraId="5C6EEBE4">
                  <w:pPr>
                    <w:pStyle w:val="13"/>
                    <w:rPr>
                      <w:color w:val="auto"/>
                      <w:highlight w:val="none"/>
                    </w:rPr>
                  </w:pPr>
                </w:p>
              </w:tc>
              <w:tc>
                <w:tcPr>
                  <w:tcW w:w="594" w:type="pct"/>
                  <w:vMerge w:val="continue"/>
                  <w:vAlign w:val="center"/>
                </w:tcPr>
                <w:p w14:paraId="0F95FB0B">
                  <w:pPr>
                    <w:pStyle w:val="13"/>
                    <w:rPr>
                      <w:color w:val="auto"/>
                      <w:highlight w:val="none"/>
                    </w:rPr>
                  </w:pPr>
                </w:p>
              </w:tc>
            </w:tr>
            <w:tr w14:paraId="5F470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pct"/>
                  <w:vMerge w:val="continue"/>
                  <w:vAlign w:val="center"/>
                </w:tcPr>
                <w:p w14:paraId="503D6E43">
                  <w:pPr>
                    <w:pStyle w:val="13"/>
                    <w:rPr>
                      <w:color w:val="auto"/>
                      <w:highlight w:val="none"/>
                    </w:rPr>
                  </w:pPr>
                </w:p>
              </w:tc>
              <w:tc>
                <w:tcPr>
                  <w:tcW w:w="1118" w:type="pct"/>
                  <w:vAlign w:val="center"/>
                </w:tcPr>
                <w:p w14:paraId="4ABCD99D">
                  <w:pPr>
                    <w:pStyle w:val="13"/>
                    <w:rPr>
                      <w:color w:val="auto"/>
                      <w:highlight w:val="none"/>
                    </w:rPr>
                  </w:pPr>
                  <w:r>
                    <w:rPr>
                      <w:rFonts w:hint="eastAsia"/>
                      <w:color w:val="auto"/>
                      <w:highlight w:val="none"/>
                    </w:rPr>
                    <w:t>秸秆打包机</w:t>
                  </w:r>
                </w:p>
              </w:tc>
              <w:tc>
                <w:tcPr>
                  <w:tcW w:w="397" w:type="pct"/>
                  <w:vAlign w:val="center"/>
                </w:tcPr>
                <w:p w14:paraId="316EB8A9">
                  <w:pPr>
                    <w:pStyle w:val="13"/>
                    <w:rPr>
                      <w:color w:val="auto"/>
                      <w:highlight w:val="none"/>
                    </w:rPr>
                  </w:pPr>
                  <w:r>
                    <w:rPr>
                      <w:rFonts w:hint="eastAsia"/>
                      <w:color w:val="auto"/>
                      <w:highlight w:val="none"/>
                    </w:rPr>
                    <w:t>2</w:t>
                  </w:r>
                </w:p>
              </w:tc>
              <w:tc>
                <w:tcPr>
                  <w:tcW w:w="629" w:type="pct"/>
                  <w:vMerge w:val="continue"/>
                  <w:vAlign w:val="center"/>
                </w:tcPr>
                <w:p w14:paraId="0087CD40">
                  <w:pPr>
                    <w:pStyle w:val="13"/>
                    <w:rPr>
                      <w:color w:val="auto"/>
                      <w:highlight w:val="none"/>
                    </w:rPr>
                  </w:pPr>
                </w:p>
              </w:tc>
              <w:tc>
                <w:tcPr>
                  <w:tcW w:w="613" w:type="pct"/>
                  <w:vAlign w:val="center"/>
                </w:tcPr>
                <w:p w14:paraId="7B632BC4">
                  <w:pPr>
                    <w:pStyle w:val="13"/>
                    <w:rPr>
                      <w:color w:val="auto"/>
                      <w:highlight w:val="none"/>
                    </w:rPr>
                  </w:pPr>
                  <w:r>
                    <w:rPr>
                      <w:color w:val="auto"/>
                      <w:highlight w:val="none"/>
                    </w:rPr>
                    <w:t>1080</w:t>
                  </w:r>
                </w:p>
              </w:tc>
              <w:tc>
                <w:tcPr>
                  <w:tcW w:w="638" w:type="pct"/>
                  <w:vAlign w:val="center"/>
                </w:tcPr>
                <w:p w14:paraId="44EC0BA3">
                  <w:pPr>
                    <w:pStyle w:val="13"/>
                    <w:rPr>
                      <w:color w:val="auto"/>
                      <w:highlight w:val="none"/>
                    </w:rPr>
                  </w:pPr>
                  <w:r>
                    <w:rPr>
                      <w:rFonts w:hint="eastAsia"/>
                      <w:color w:val="auto"/>
                      <w:highlight w:val="none"/>
                    </w:rPr>
                    <w:t>2160</w:t>
                  </w:r>
                </w:p>
              </w:tc>
              <w:tc>
                <w:tcPr>
                  <w:tcW w:w="480" w:type="pct"/>
                  <w:vMerge w:val="continue"/>
                  <w:vAlign w:val="center"/>
                </w:tcPr>
                <w:p w14:paraId="10298E90">
                  <w:pPr>
                    <w:pStyle w:val="13"/>
                    <w:rPr>
                      <w:color w:val="auto"/>
                      <w:highlight w:val="none"/>
                    </w:rPr>
                  </w:pPr>
                </w:p>
              </w:tc>
              <w:tc>
                <w:tcPr>
                  <w:tcW w:w="594" w:type="pct"/>
                  <w:vMerge w:val="continue"/>
                  <w:vAlign w:val="center"/>
                </w:tcPr>
                <w:p w14:paraId="7D2667FF">
                  <w:pPr>
                    <w:pStyle w:val="13"/>
                    <w:rPr>
                      <w:color w:val="auto"/>
                      <w:highlight w:val="none"/>
                    </w:rPr>
                  </w:pPr>
                </w:p>
              </w:tc>
            </w:tr>
            <w:tr w14:paraId="1B853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pct"/>
                  <w:vMerge w:val="restart"/>
                  <w:vAlign w:val="center"/>
                </w:tcPr>
                <w:p w14:paraId="6036CE6C">
                  <w:pPr>
                    <w:pStyle w:val="13"/>
                    <w:rPr>
                      <w:color w:val="auto"/>
                      <w:highlight w:val="none"/>
                    </w:rPr>
                  </w:pPr>
                  <w:r>
                    <w:rPr>
                      <w:rFonts w:hint="eastAsia"/>
                      <w:color w:val="auto"/>
                      <w:highlight w:val="none"/>
                    </w:rPr>
                    <w:t>DA002</w:t>
                  </w:r>
                </w:p>
              </w:tc>
              <w:tc>
                <w:tcPr>
                  <w:tcW w:w="1118" w:type="pct"/>
                  <w:vAlign w:val="center"/>
                </w:tcPr>
                <w:p w14:paraId="555B7EBC">
                  <w:pPr>
                    <w:pStyle w:val="13"/>
                    <w:rPr>
                      <w:color w:val="auto"/>
                      <w:highlight w:val="none"/>
                    </w:rPr>
                  </w:pPr>
                  <w:r>
                    <w:rPr>
                      <w:rFonts w:hint="eastAsia"/>
                      <w:color w:val="auto"/>
                      <w:highlight w:val="none"/>
                    </w:rPr>
                    <w:t>混合机</w:t>
                  </w:r>
                </w:p>
              </w:tc>
              <w:tc>
                <w:tcPr>
                  <w:tcW w:w="397" w:type="pct"/>
                  <w:vAlign w:val="center"/>
                </w:tcPr>
                <w:p w14:paraId="43513F25">
                  <w:pPr>
                    <w:pStyle w:val="13"/>
                    <w:rPr>
                      <w:color w:val="auto"/>
                      <w:highlight w:val="none"/>
                    </w:rPr>
                  </w:pPr>
                  <w:r>
                    <w:rPr>
                      <w:rFonts w:hint="eastAsia"/>
                      <w:color w:val="auto"/>
                      <w:highlight w:val="none"/>
                    </w:rPr>
                    <w:t>2</w:t>
                  </w:r>
                </w:p>
              </w:tc>
              <w:tc>
                <w:tcPr>
                  <w:tcW w:w="629" w:type="pct"/>
                  <w:vMerge w:val="continue"/>
                  <w:vAlign w:val="center"/>
                </w:tcPr>
                <w:p w14:paraId="1852DDD6">
                  <w:pPr>
                    <w:pStyle w:val="13"/>
                    <w:rPr>
                      <w:color w:val="auto"/>
                      <w:highlight w:val="none"/>
                    </w:rPr>
                  </w:pPr>
                </w:p>
              </w:tc>
              <w:tc>
                <w:tcPr>
                  <w:tcW w:w="613" w:type="pct"/>
                  <w:vAlign w:val="center"/>
                </w:tcPr>
                <w:p w14:paraId="6968FF3C">
                  <w:pPr>
                    <w:pStyle w:val="13"/>
                    <w:rPr>
                      <w:color w:val="auto"/>
                      <w:highlight w:val="none"/>
                    </w:rPr>
                  </w:pPr>
                  <w:r>
                    <w:rPr>
                      <w:color w:val="auto"/>
                      <w:highlight w:val="none"/>
                    </w:rPr>
                    <w:t>720</w:t>
                  </w:r>
                </w:p>
              </w:tc>
              <w:tc>
                <w:tcPr>
                  <w:tcW w:w="638" w:type="pct"/>
                  <w:vAlign w:val="center"/>
                </w:tcPr>
                <w:p w14:paraId="41D59BD2">
                  <w:pPr>
                    <w:pStyle w:val="13"/>
                    <w:rPr>
                      <w:color w:val="auto"/>
                      <w:highlight w:val="none"/>
                    </w:rPr>
                  </w:pPr>
                  <w:r>
                    <w:rPr>
                      <w:rFonts w:hint="eastAsia"/>
                      <w:color w:val="auto"/>
                      <w:highlight w:val="none"/>
                    </w:rPr>
                    <w:t>1440</w:t>
                  </w:r>
                </w:p>
              </w:tc>
              <w:tc>
                <w:tcPr>
                  <w:tcW w:w="480" w:type="pct"/>
                  <w:vMerge w:val="restart"/>
                  <w:vAlign w:val="center"/>
                </w:tcPr>
                <w:p w14:paraId="1793777E">
                  <w:pPr>
                    <w:pStyle w:val="13"/>
                    <w:rPr>
                      <w:color w:val="auto"/>
                      <w:highlight w:val="none"/>
                    </w:rPr>
                  </w:pPr>
                  <w:r>
                    <w:rPr>
                      <w:rFonts w:hint="eastAsia"/>
                      <w:color w:val="auto"/>
                      <w:highlight w:val="none"/>
                    </w:rPr>
                    <w:t>8820</w:t>
                  </w:r>
                </w:p>
              </w:tc>
              <w:tc>
                <w:tcPr>
                  <w:tcW w:w="594" w:type="pct"/>
                  <w:vMerge w:val="restart"/>
                  <w:vAlign w:val="center"/>
                </w:tcPr>
                <w:p w14:paraId="144AB2A6">
                  <w:pPr>
                    <w:pStyle w:val="13"/>
                    <w:rPr>
                      <w:color w:val="auto"/>
                      <w:highlight w:val="none"/>
                    </w:rPr>
                  </w:pPr>
                  <w:r>
                    <w:rPr>
                      <w:rFonts w:hint="eastAsia"/>
                      <w:color w:val="auto"/>
                      <w:highlight w:val="none"/>
                    </w:rPr>
                    <w:t>10000</w:t>
                  </w:r>
                </w:p>
              </w:tc>
            </w:tr>
            <w:tr w14:paraId="68347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pct"/>
                  <w:vMerge w:val="continue"/>
                  <w:vAlign w:val="center"/>
                </w:tcPr>
                <w:p w14:paraId="29FFAEEB">
                  <w:pPr>
                    <w:pStyle w:val="13"/>
                    <w:rPr>
                      <w:color w:val="auto"/>
                      <w:highlight w:val="none"/>
                    </w:rPr>
                  </w:pPr>
                </w:p>
              </w:tc>
              <w:tc>
                <w:tcPr>
                  <w:tcW w:w="1118" w:type="pct"/>
                  <w:vAlign w:val="center"/>
                </w:tcPr>
                <w:p w14:paraId="13F8911F">
                  <w:pPr>
                    <w:pStyle w:val="13"/>
                    <w:rPr>
                      <w:color w:val="auto"/>
                      <w:highlight w:val="none"/>
                    </w:rPr>
                  </w:pPr>
                  <w:r>
                    <w:rPr>
                      <w:rFonts w:hint="eastAsia"/>
                      <w:color w:val="auto"/>
                      <w:highlight w:val="none"/>
                    </w:rPr>
                    <w:t>制粒机</w:t>
                  </w:r>
                </w:p>
              </w:tc>
              <w:tc>
                <w:tcPr>
                  <w:tcW w:w="397" w:type="pct"/>
                  <w:vAlign w:val="center"/>
                </w:tcPr>
                <w:p w14:paraId="79B5FBE5">
                  <w:pPr>
                    <w:pStyle w:val="13"/>
                    <w:rPr>
                      <w:color w:val="auto"/>
                      <w:highlight w:val="none"/>
                    </w:rPr>
                  </w:pPr>
                  <w:r>
                    <w:rPr>
                      <w:rFonts w:hint="eastAsia"/>
                      <w:color w:val="auto"/>
                      <w:highlight w:val="none"/>
                    </w:rPr>
                    <w:t>4</w:t>
                  </w:r>
                </w:p>
              </w:tc>
              <w:tc>
                <w:tcPr>
                  <w:tcW w:w="629" w:type="pct"/>
                  <w:vMerge w:val="continue"/>
                  <w:vAlign w:val="center"/>
                </w:tcPr>
                <w:p w14:paraId="3BB899C0">
                  <w:pPr>
                    <w:pStyle w:val="13"/>
                    <w:rPr>
                      <w:color w:val="auto"/>
                      <w:highlight w:val="none"/>
                    </w:rPr>
                  </w:pPr>
                </w:p>
              </w:tc>
              <w:tc>
                <w:tcPr>
                  <w:tcW w:w="613" w:type="pct"/>
                  <w:vAlign w:val="center"/>
                </w:tcPr>
                <w:p w14:paraId="146374F6">
                  <w:pPr>
                    <w:pStyle w:val="13"/>
                    <w:rPr>
                      <w:color w:val="auto"/>
                      <w:highlight w:val="none"/>
                    </w:rPr>
                  </w:pPr>
                  <w:r>
                    <w:rPr>
                      <w:color w:val="auto"/>
                      <w:highlight w:val="none"/>
                    </w:rPr>
                    <w:t>720</w:t>
                  </w:r>
                </w:p>
              </w:tc>
              <w:tc>
                <w:tcPr>
                  <w:tcW w:w="638" w:type="pct"/>
                  <w:vAlign w:val="center"/>
                </w:tcPr>
                <w:p w14:paraId="43EDACC1">
                  <w:pPr>
                    <w:pStyle w:val="13"/>
                    <w:rPr>
                      <w:color w:val="auto"/>
                      <w:highlight w:val="none"/>
                    </w:rPr>
                  </w:pPr>
                  <w:r>
                    <w:rPr>
                      <w:rFonts w:hint="eastAsia"/>
                      <w:color w:val="auto"/>
                      <w:highlight w:val="none"/>
                    </w:rPr>
                    <w:t>2880</w:t>
                  </w:r>
                </w:p>
              </w:tc>
              <w:tc>
                <w:tcPr>
                  <w:tcW w:w="480" w:type="pct"/>
                  <w:vMerge w:val="continue"/>
                  <w:vAlign w:val="center"/>
                </w:tcPr>
                <w:p w14:paraId="798D0C8E">
                  <w:pPr>
                    <w:pStyle w:val="13"/>
                    <w:rPr>
                      <w:color w:val="auto"/>
                      <w:highlight w:val="none"/>
                    </w:rPr>
                  </w:pPr>
                </w:p>
              </w:tc>
              <w:tc>
                <w:tcPr>
                  <w:tcW w:w="594" w:type="pct"/>
                  <w:vMerge w:val="continue"/>
                  <w:vAlign w:val="center"/>
                </w:tcPr>
                <w:p w14:paraId="1444949E">
                  <w:pPr>
                    <w:pStyle w:val="13"/>
                    <w:rPr>
                      <w:color w:val="auto"/>
                      <w:highlight w:val="none"/>
                    </w:rPr>
                  </w:pPr>
                </w:p>
              </w:tc>
            </w:tr>
            <w:tr w14:paraId="73562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pct"/>
                  <w:vMerge w:val="continue"/>
                  <w:vAlign w:val="center"/>
                </w:tcPr>
                <w:p w14:paraId="454C5FEA">
                  <w:pPr>
                    <w:pStyle w:val="13"/>
                    <w:rPr>
                      <w:color w:val="auto"/>
                      <w:highlight w:val="none"/>
                    </w:rPr>
                  </w:pPr>
                </w:p>
              </w:tc>
              <w:tc>
                <w:tcPr>
                  <w:tcW w:w="1118" w:type="pct"/>
                  <w:vAlign w:val="center"/>
                </w:tcPr>
                <w:p w14:paraId="7D5DEB75">
                  <w:pPr>
                    <w:pStyle w:val="13"/>
                    <w:rPr>
                      <w:color w:val="auto"/>
                      <w:highlight w:val="none"/>
                    </w:rPr>
                  </w:pPr>
                  <w:r>
                    <w:rPr>
                      <w:rFonts w:hint="eastAsia"/>
                      <w:color w:val="auto"/>
                      <w:highlight w:val="none"/>
                    </w:rPr>
                    <w:t>冷却分级筛</w:t>
                  </w:r>
                </w:p>
              </w:tc>
              <w:tc>
                <w:tcPr>
                  <w:tcW w:w="397" w:type="pct"/>
                  <w:vAlign w:val="center"/>
                </w:tcPr>
                <w:p w14:paraId="1B325BE8">
                  <w:pPr>
                    <w:pStyle w:val="13"/>
                    <w:rPr>
                      <w:color w:val="auto"/>
                      <w:highlight w:val="none"/>
                    </w:rPr>
                  </w:pPr>
                  <w:r>
                    <w:rPr>
                      <w:rFonts w:hint="eastAsia"/>
                      <w:color w:val="auto"/>
                      <w:highlight w:val="none"/>
                    </w:rPr>
                    <w:t>2</w:t>
                  </w:r>
                </w:p>
              </w:tc>
              <w:tc>
                <w:tcPr>
                  <w:tcW w:w="629" w:type="pct"/>
                  <w:vMerge w:val="continue"/>
                  <w:vAlign w:val="center"/>
                </w:tcPr>
                <w:p w14:paraId="69C716BA">
                  <w:pPr>
                    <w:pStyle w:val="13"/>
                    <w:rPr>
                      <w:color w:val="auto"/>
                      <w:highlight w:val="none"/>
                    </w:rPr>
                  </w:pPr>
                </w:p>
              </w:tc>
              <w:tc>
                <w:tcPr>
                  <w:tcW w:w="613" w:type="pct"/>
                  <w:vAlign w:val="center"/>
                </w:tcPr>
                <w:p w14:paraId="53DD152A">
                  <w:pPr>
                    <w:pStyle w:val="13"/>
                    <w:rPr>
                      <w:color w:val="auto"/>
                      <w:highlight w:val="none"/>
                    </w:rPr>
                  </w:pPr>
                  <w:r>
                    <w:rPr>
                      <w:color w:val="auto"/>
                      <w:highlight w:val="none"/>
                    </w:rPr>
                    <w:t>2250</w:t>
                  </w:r>
                </w:p>
              </w:tc>
              <w:tc>
                <w:tcPr>
                  <w:tcW w:w="638" w:type="pct"/>
                  <w:vAlign w:val="center"/>
                </w:tcPr>
                <w:p w14:paraId="5E51642E">
                  <w:pPr>
                    <w:pStyle w:val="13"/>
                    <w:rPr>
                      <w:color w:val="auto"/>
                      <w:highlight w:val="none"/>
                    </w:rPr>
                  </w:pPr>
                  <w:r>
                    <w:rPr>
                      <w:rFonts w:hint="eastAsia"/>
                      <w:color w:val="auto"/>
                      <w:highlight w:val="none"/>
                    </w:rPr>
                    <w:t>4500</w:t>
                  </w:r>
                </w:p>
              </w:tc>
              <w:tc>
                <w:tcPr>
                  <w:tcW w:w="480" w:type="pct"/>
                  <w:vMerge w:val="continue"/>
                  <w:vAlign w:val="center"/>
                </w:tcPr>
                <w:p w14:paraId="79184BD7">
                  <w:pPr>
                    <w:pStyle w:val="13"/>
                    <w:rPr>
                      <w:color w:val="auto"/>
                      <w:highlight w:val="none"/>
                    </w:rPr>
                  </w:pPr>
                </w:p>
              </w:tc>
              <w:tc>
                <w:tcPr>
                  <w:tcW w:w="594" w:type="pct"/>
                  <w:vMerge w:val="continue"/>
                  <w:vAlign w:val="center"/>
                </w:tcPr>
                <w:p w14:paraId="7EB73F10">
                  <w:pPr>
                    <w:pStyle w:val="13"/>
                    <w:rPr>
                      <w:color w:val="auto"/>
                      <w:highlight w:val="none"/>
                    </w:rPr>
                  </w:pPr>
                </w:p>
              </w:tc>
            </w:tr>
            <w:tr w14:paraId="01BC0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pct"/>
                  <w:vAlign w:val="center"/>
                </w:tcPr>
                <w:p w14:paraId="58A24C51">
                  <w:pPr>
                    <w:pStyle w:val="13"/>
                    <w:rPr>
                      <w:color w:val="auto"/>
                      <w:highlight w:val="none"/>
                    </w:rPr>
                  </w:pPr>
                  <w:r>
                    <w:rPr>
                      <w:rFonts w:hint="eastAsia"/>
                      <w:color w:val="auto"/>
                      <w:highlight w:val="none"/>
                    </w:rPr>
                    <w:t>DA003</w:t>
                  </w:r>
                </w:p>
              </w:tc>
              <w:tc>
                <w:tcPr>
                  <w:tcW w:w="1118" w:type="pct"/>
                  <w:vAlign w:val="center"/>
                </w:tcPr>
                <w:p w14:paraId="6B2297E4">
                  <w:pPr>
                    <w:pStyle w:val="13"/>
                    <w:rPr>
                      <w:color w:val="auto"/>
                      <w:highlight w:val="none"/>
                    </w:rPr>
                  </w:pPr>
                  <w:r>
                    <w:rPr>
                      <w:rFonts w:hint="eastAsia"/>
                      <w:color w:val="auto"/>
                      <w:highlight w:val="none"/>
                    </w:rPr>
                    <w:t>蒸汽锅炉</w:t>
                  </w:r>
                </w:p>
              </w:tc>
              <w:tc>
                <w:tcPr>
                  <w:tcW w:w="397" w:type="pct"/>
                  <w:vAlign w:val="center"/>
                </w:tcPr>
                <w:p w14:paraId="00889460">
                  <w:pPr>
                    <w:pStyle w:val="13"/>
                    <w:rPr>
                      <w:color w:val="auto"/>
                      <w:highlight w:val="none"/>
                    </w:rPr>
                  </w:pPr>
                  <w:r>
                    <w:rPr>
                      <w:rFonts w:hint="eastAsia"/>
                      <w:color w:val="auto"/>
                      <w:highlight w:val="none"/>
                    </w:rPr>
                    <w:t>1</w:t>
                  </w:r>
                </w:p>
              </w:tc>
              <w:tc>
                <w:tcPr>
                  <w:tcW w:w="629" w:type="pct"/>
                  <w:vAlign w:val="center"/>
                </w:tcPr>
                <w:p w14:paraId="6ECEE966">
                  <w:pPr>
                    <w:pStyle w:val="13"/>
                    <w:rPr>
                      <w:color w:val="auto"/>
                      <w:highlight w:val="none"/>
                    </w:rPr>
                  </w:pPr>
                  <w:r>
                    <w:rPr>
                      <w:rFonts w:hint="eastAsia"/>
                      <w:color w:val="auto"/>
                      <w:highlight w:val="none"/>
                    </w:rPr>
                    <w:t>/</w:t>
                  </w:r>
                </w:p>
              </w:tc>
              <w:tc>
                <w:tcPr>
                  <w:tcW w:w="613" w:type="pct"/>
                  <w:vAlign w:val="center"/>
                </w:tcPr>
                <w:p w14:paraId="602316F8">
                  <w:pPr>
                    <w:pStyle w:val="13"/>
                    <w:rPr>
                      <w:color w:val="auto"/>
                      <w:highlight w:val="none"/>
                    </w:rPr>
                  </w:pPr>
                  <w:r>
                    <w:rPr>
                      <w:rFonts w:hint="eastAsia"/>
                      <w:color w:val="auto"/>
                      <w:highlight w:val="none"/>
                    </w:rPr>
                    <w:t>78</w:t>
                  </w:r>
                </w:p>
              </w:tc>
              <w:tc>
                <w:tcPr>
                  <w:tcW w:w="638" w:type="pct"/>
                  <w:vAlign w:val="center"/>
                </w:tcPr>
                <w:p w14:paraId="523C54D3">
                  <w:pPr>
                    <w:pStyle w:val="13"/>
                    <w:rPr>
                      <w:color w:val="auto"/>
                      <w:highlight w:val="none"/>
                    </w:rPr>
                  </w:pPr>
                  <w:r>
                    <w:rPr>
                      <w:rFonts w:hint="eastAsia"/>
                      <w:color w:val="auto"/>
                      <w:highlight w:val="none"/>
                    </w:rPr>
                    <w:t>78</w:t>
                  </w:r>
                </w:p>
              </w:tc>
              <w:tc>
                <w:tcPr>
                  <w:tcW w:w="480" w:type="pct"/>
                  <w:vAlign w:val="center"/>
                </w:tcPr>
                <w:p w14:paraId="73E57398">
                  <w:pPr>
                    <w:pStyle w:val="13"/>
                    <w:rPr>
                      <w:color w:val="auto"/>
                      <w:highlight w:val="none"/>
                    </w:rPr>
                  </w:pPr>
                  <w:r>
                    <w:rPr>
                      <w:rFonts w:hint="eastAsia"/>
                      <w:color w:val="auto"/>
                      <w:highlight w:val="none"/>
                    </w:rPr>
                    <w:t>3467</w:t>
                  </w:r>
                </w:p>
              </w:tc>
              <w:tc>
                <w:tcPr>
                  <w:tcW w:w="594" w:type="pct"/>
                  <w:vAlign w:val="center"/>
                </w:tcPr>
                <w:p w14:paraId="79CF2E75">
                  <w:pPr>
                    <w:pStyle w:val="13"/>
                    <w:rPr>
                      <w:color w:val="auto"/>
                      <w:highlight w:val="none"/>
                    </w:rPr>
                  </w:pPr>
                  <w:r>
                    <w:rPr>
                      <w:rFonts w:hint="eastAsia"/>
                      <w:color w:val="auto"/>
                      <w:highlight w:val="none"/>
                    </w:rPr>
                    <w:t>4000</w:t>
                  </w:r>
                </w:p>
              </w:tc>
            </w:tr>
          </w:tbl>
          <w:p w14:paraId="5EAA07E1">
            <w:pPr>
              <w:rPr>
                <w:rFonts w:hint="eastAsia"/>
                <w:bCs/>
                <w:color w:val="auto"/>
                <w:highlight w:val="none"/>
              </w:rPr>
            </w:pPr>
          </w:p>
          <w:p w14:paraId="2E67C6D2">
            <w:pPr>
              <w:rPr>
                <w:rFonts w:hint="eastAsia"/>
                <w:bCs/>
                <w:color w:val="auto"/>
                <w:highlight w:val="none"/>
              </w:rPr>
            </w:pPr>
          </w:p>
          <w:p w14:paraId="579DBAB0">
            <w:pPr>
              <w:rPr>
                <w:rFonts w:hint="eastAsia"/>
                <w:bCs/>
                <w:color w:val="auto"/>
                <w:highlight w:val="none"/>
              </w:rPr>
            </w:pPr>
          </w:p>
          <w:p w14:paraId="6EA33F34">
            <w:pPr>
              <w:rPr>
                <w:rFonts w:hint="eastAsia"/>
                <w:bCs/>
                <w:color w:val="auto"/>
                <w:highlight w:val="none"/>
              </w:rPr>
            </w:pPr>
          </w:p>
          <w:p w14:paraId="03F37BCB">
            <w:pPr>
              <w:rPr>
                <w:rFonts w:hint="eastAsia"/>
                <w:bCs/>
                <w:color w:val="auto"/>
                <w:highlight w:val="none"/>
              </w:rPr>
            </w:pPr>
          </w:p>
          <w:p w14:paraId="5AA7D2A6">
            <w:pPr>
              <w:rPr>
                <w:rFonts w:hint="eastAsia"/>
                <w:bCs/>
                <w:color w:val="auto"/>
                <w:highlight w:val="none"/>
              </w:rPr>
            </w:pPr>
          </w:p>
          <w:p w14:paraId="65A2603D">
            <w:pPr>
              <w:ind w:firstLine="480"/>
              <w:rPr>
                <w:color w:val="auto"/>
                <w:highlight w:val="none"/>
              </w:rPr>
            </w:pPr>
          </w:p>
        </w:tc>
      </w:tr>
    </w:tbl>
    <w:p w14:paraId="0343B5DE">
      <w:pPr>
        <w:ind w:firstLine="480"/>
        <w:rPr>
          <w:color w:val="auto"/>
          <w:highlight w:val="none"/>
        </w:rPr>
        <w:sectPr>
          <w:pgSz w:w="11906" w:h="16838"/>
          <w:pgMar w:top="1134" w:right="1247" w:bottom="1247" w:left="1134" w:header="851" w:footer="850" w:gutter="0"/>
          <w:cols w:space="425" w:num="1"/>
          <w:docGrid w:type="lines" w:linePitch="312" w:charSpace="0"/>
        </w:sectPr>
      </w:pP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14216"/>
      </w:tblGrid>
      <w:tr w14:paraId="0C1B6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 w:type="pct"/>
          </w:tcPr>
          <w:p w14:paraId="57A4A558">
            <w:pPr>
              <w:pStyle w:val="2"/>
              <w:ind w:firstLine="0" w:firstLineChars="0"/>
              <w:rPr>
                <w:color w:val="auto"/>
                <w:highlight w:val="none"/>
              </w:rPr>
            </w:pPr>
            <w:r>
              <w:rPr>
                <w:rFonts w:hint="eastAsia"/>
                <w:color w:val="auto"/>
                <w:highlight w:val="none"/>
              </w:rPr>
              <w:t>运营期环境影响和保护措施</w:t>
            </w:r>
          </w:p>
        </w:tc>
        <w:tc>
          <w:tcPr>
            <w:tcW w:w="4844" w:type="pct"/>
          </w:tcPr>
          <w:p w14:paraId="6267F470">
            <w:pPr>
              <w:pStyle w:val="2"/>
              <w:ind w:firstLine="482"/>
              <w:rPr>
                <w:color w:val="auto"/>
                <w:highlight w:val="none"/>
              </w:rPr>
            </w:pPr>
            <w:r>
              <w:rPr>
                <w:rFonts w:hint="eastAsia"/>
                <w:color w:val="auto"/>
                <w:highlight w:val="none"/>
              </w:rPr>
              <w:t>2、废水</w:t>
            </w:r>
          </w:p>
          <w:p w14:paraId="49196ADE">
            <w:pPr>
              <w:pStyle w:val="3"/>
              <w:ind w:firstLine="482"/>
              <w:rPr>
                <w:color w:val="auto"/>
                <w:highlight w:val="none"/>
              </w:rPr>
            </w:pPr>
            <w:r>
              <w:rPr>
                <w:rFonts w:hint="eastAsia"/>
                <w:color w:val="auto"/>
                <w:highlight w:val="none"/>
              </w:rPr>
              <w:t>（1）项目废水产生和排放情况</w:t>
            </w:r>
          </w:p>
          <w:p w14:paraId="6F259BFD">
            <w:pPr>
              <w:ind w:firstLine="480"/>
              <w:rPr>
                <w:rFonts w:hint="eastAsia"/>
                <w:color w:val="auto"/>
                <w:highlight w:val="none"/>
              </w:rPr>
            </w:pPr>
            <w:r>
              <w:rPr>
                <w:rFonts w:hint="eastAsia"/>
                <w:color w:val="auto"/>
                <w:highlight w:val="none"/>
                <w:lang w:eastAsia="zh-CN"/>
              </w:rPr>
              <w:t>生活污水经隔油池、化粪池处理达酉华镇污水处理站接管标准后，与调质废水一起纳管排入酉华镇污水处理站处理，达到《城镇污水处理站污染物排放标准》（GB 18918-2002）一级A标准后排入七星河</w:t>
            </w:r>
            <w:r>
              <w:rPr>
                <w:rFonts w:hint="eastAsia"/>
                <w:color w:val="auto"/>
                <w:highlight w:val="none"/>
              </w:rPr>
              <w:t>。</w:t>
            </w:r>
          </w:p>
          <w:p w14:paraId="2812405B">
            <w:pPr>
              <w:pStyle w:val="14"/>
              <w:spacing w:before="156"/>
              <w:rPr>
                <w:color w:val="auto"/>
                <w:highlight w:val="none"/>
              </w:rPr>
            </w:pPr>
            <w:r>
              <w:rPr>
                <w:rFonts w:hint="eastAsia"/>
                <w:color w:val="auto"/>
                <w:highlight w:val="none"/>
              </w:rPr>
              <w:t>表4-</w:t>
            </w:r>
            <w:r>
              <w:rPr>
                <w:rFonts w:hint="eastAsia"/>
                <w:color w:val="auto"/>
                <w:highlight w:val="none"/>
                <w:lang w:val="en-US" w:eastAsia="zh-CN"/>
              </w:rPr>
              <w:t>6</w:t>
            </w:r>
            <w:r>
              <w:rPr>
                <w:rFonts w:hint="eastAsia"/>
                <w:color w:val="auto"/>
                <w:highlight w:val="none"/>
              </w:rPr>
              <w:t xml:space="preserve">  项目废水产生和排放情况</w:t>
            </w:r>
          </w:p>
          <w:tbl>
            <w:tblPr>
              <w:tblStyle w:val="1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3"/>
              <w:gridCol w:w="1424"/>
              <w:gridCol w:w="1726"/>
              <w:gridCol w:w="1069"/>
              <w:gridCol w:w="1069"/>
              <w:gridCol w:w="1069"/>
              <w:gridCol w:w="1069"/>
              <w:gridCol w:w="1069"/>
              <w:gridCol w:w="1069"/>
              <w:gridCol w:w="1069"/>
              <w:gridCol w:w="1069"/>
              <w:gridCol w:w="1077"/>
            </w:tblGrid>
            <w:tr w14:paraId="26746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0" w:type="pct"/>
                  <w:vAlign w:val="center"/>
                </w:tcPr>
                <w:p w14:paraId="36BCC380">
                  <w:pPr>
                    <w:pStyle w:val="13"/>
                    <w:rPr>
                      <w:b/>
                      <w:bCs/>
                      <w:color w:val="auto"/>
                      <w:highlight w:val="none"/>
                    </w:rPr>
                  </w:pPr>
                  <w:r>
                    <w:rPr>
                      <w:b/>
                      <w:bCs/>
                      <w:color w:val="auto"/>
                      <w:highlight w:val="none"/>
                    </w:rPr>
                    <w:t>污染源</w:t>
                  </w:r>
                </w:p>
              </w:tc>
              <w:tc>
                <w:tcPr>
                  <w:tcW w:w="509" w:type="pct"/>
                  <w:vAlign w:val="center"/>
                </w:tcPr>
                <w:p w14:paraId="373DDD66">
                  <w:pPr>
                    <w:pStyle w:val="13"/>
                    <w:rPr>
                      <w:b/>
                      <w:bCs/>
                      <w:color w:val="auto"/>
                      <w:highlight w:val="none"/>
                    </w:rPr>
                  </w:pPr>
                  <w:r>
                    <w:rPr>
                      <w:b/>
                      <w:bCs/>
                      <w:color w:val="auto"/>
                      <w:highlight w:val="none"/>
                    </w:rPr>
                    <w:t>废水量（t/a）</w:t>
                  </w:r>
                </w:p>
              </w:tc>
              <w:tc>
                <w:tcPr>
                  <w:tcW w:w="617" w:type="pct"/>
                  <w:vAlign w:val="center"/>
                </w:tcPr>
                <w:p w14:paraId="553DB65C">
                  <w:pPr>
                    <w:pStyle w:val="13"/>
                    <w:ind w:firstLine="0" w:firstLineChars="0"/>
                    <w:rPr>
                      <w:b/>
                      <w:bCs/>
                      <w:color w:val="auto"/>
                      <w:highlight w:val="none"/>
                    </w:rPr>
                  </w:pPr>
                  <w:r>
                    <w:rPr>
                      <w:b/>
                      <w:bCs/>
                      <w:color w:val="auto"/>
                      <w:highlight w:val="none"/>
                    </w:rPr>
                    <w:t>指标</w:t>
                  </w:r>
                </w:p>
              </w:tc>
              <w:tc>
                <w:tcPr>
                  <w:tcW w:w="382" w:type="pct"/>
                  <w:vAlign w:val="center"/>
                </w:tcPr>
                <w:p w14:paraId="54D4E5A9">
                  <w:pPr>
                    <w:pStyle w:val="13"/>
                    <w:rPr>
                      <w:b/>
                      <w:bCs/>
                      <w:color w:val="auto"/>
                      <w:highlight w:val="none"/>
                    </w:rPr>
                  </w:pPr>
                  <w:r>
                    <w:rPr>
                      <w:rFonts w:hint="eastAsia"/>
                      <w:b/>
                      <w:bCs/>
                      <w:color w:val="auto"/>
                      <w:highlight w:val="none"/>
                    </w:rPr>
                    <w:t>pH</w:t>
                  </w:r>
                </w:p>
              </w:tc>
              <w:tc>
                <w:tcPr>
                  <w:tcW w:w="382" w:type="pct"/>
                  <w:vAlign w:val="center"/>
                </w:tcPr>
                <w:p w14:paraId="6882CC4F">
                  <w:pPr>
                    <w:pStyle w:val="13"/>
                    <w:rPr>
                      <w:rFonts w:hint="eastAsia" w:eastAsia="宋体"/>
                      <w:b/>
                      <w:bCs/>
                      <w:color w:val="auto"/>
                      <w:highlight w:val="none"/>
                      <w:lang w:val="en-US" w:eastAsia="zh-CN"/>
                    </w:rPr>
                  </w:pPr>
                  <w:r>
                    <w:rPr>
                      <w:rFonts w:hint="eastAsia"/>
                      <w:b/>
                      <w:bCs/>
                      <w:color w:val="auto"/>
                      <w:highlight w:val="none"/>
                      <w:lang w:val="en-US" w:eastAsia="zh-CN"/>
                    </w:rPr>
                    <w:t>色度</w:t>
                  </w:r>
                </w:p>
              </w:tc>
              <w:tc>
                <w:tcPr>
                  <w:tcW w:w="382" w:type="pct"/>
                  <w:vAlign w:val="center"/>
                </w:tcPr>
                <w:p w14:paraId="46817A08">
                  <w:pPr>
                    <w:pStyle w:val="13"/>
                    <w:rPr>
                      <w:rFonts w:hint="eastAsia"/>
                      <w:b/>
                      <w:bCs/>
                      <w:color w:val="auto"/>
                      <w:highlight w:val="none"/>
                      <w:lang w:val="en-US" w:eastAsia="zh-CN"/>
                    </w:rPr>
                  </w:pPr>
                  <w:r>
                    <w:rPr>
                      <w:b/>
                      <w:bCs/>
                      <w:color w:val="auto"/>
                      <w:highlight w:val="none"/>
                    </w:rPr>
                    <w:t>SS</w:t>
                  </w:r>
                </w:p>
              </w:tc>
              <w:tc>
                <w:tcPr>
                  <w:tcW w:w="382" w:type="pct"/>
                  <w:vAlign w:val="center"/>
                </w:tcPr>
                <w:p w14:paraId="4981C19D">
                  <w:pPr>
                    <w:pStyle w:val="13"/>
                    <w:rPr>
                      <w:b/>
                      <w:bCs/>
                      <w:color w:val="auto"/>
                      <w:highlight w:val="none"/>
                    </w:rPr>
                  </w:pPr>
                  <w:r>
                    <w:rPr>
                      <w:b/>
                      <w:bCs/>
                      <w:color w:val="auto"/>
                      <w:highlight w:val="none"/>
                    </w:rPr>
                    <w:t>BOD</w:t>
                  </w:r>
                  <w:r>
                    <w:rPr>
                      <w:rFonts w:hint="eastAsia"/>
                      <w:b/>
                      <w:bCs/>
                      <w:color w:val="auto"/>
                      <w:highlight w:val="none"/>
                      <w:vertAlign w:val="subscript"/>
                    </w:rPr>
                    <w:t>5</w:t>
                  </w:r>
                </w:p>
              </w:tc>
              <w:tc>
                <w:tcPr>
                  <w:tcW w:w="382" w:type="pct"/>
                  <w:vAlign w:val="center"/>
                </w:tcPr>
                <w:p w14:paraId="148F40E2">
                  <w:pPr>
                    <w:pStyle w:val="13"/>
                    <w:rPr>
                      <w:b/>
                      <w:bCs/>
                      <w:color w:val="auto"/>
                      <w:highlight w:val="none"/>
                    </w:rPr>
                  </w:pPr>
                  <w:r>
                    <w:rPr>
                      <w:b/>
                      <w:bCs/>
                      <w:color w:val="auto"/>
                      <w:highlight w:val="none"/>
                    </w:rPr>
                    <w:t>COD</w:t>
                  </w:r>
                </w:p>
              </w:tc>
              <w:tc>
                <w:tcPr>
                  <w:tcW w:w="382" w:type="pct"/>
                  <w:vAlign w:val="center"/>
                </w:tcPr>
                <w:p w14:paraId="4214A38C">
                  <w:pPr>
                    <w:pStyle w:val="13"/>
                    <w:rPr>
                      <w:b/>
                      <w:bCs/>
                      <w:color w:val="auto"/>
                      <w:highlight w:val="none"/>
                    </w:rPr>
                  </w:pPr>
                  <w:r>
                    <w:rPr>
                      <w:b/>
                      <w:bCs/>
                      <w:color w:val="auto"/>
                      <w:highlight w:val="none"/>
                    </w:rPr>
                    <w:t>NH</w:t>
                  </w:r>
                  <w:r>
                    <w:rPr>
                      <w:rFonts w:hint="eastAsia"/>
                      <w:b/>
                      <w:bCs/>
                      <w:color w:val="auto"/>
                      <w:highlight w:val="none"/>
                      <w:vertAlign w:val="subscript"/>
                    </w:rPr>
                    <w:t>3</w:t>
                  </w:r>
                  <w:r>
                    <w:rPr>
                      <w:b/>
                      <w:bCs/>
                      <w:color w:val="auto"/>
                      <w:highlight w:val="none"/>
                    </w:rPr>
                    <w:t>-N</w:t>
                  </w:r>
                </w:p>
              </w:tc>
              <w:tc>
                <w:tcPr>
                  <w:tcW w:w="382" w:type="pct"/>
                  <w:vAlign w:val="center"/>
                </w:tcPr>
                <w:p w14:paraId="3265C31B">
                  <w:pPr>
                    <w:pStyle w:val="13"/>
                    <w:rPr>
                      <w:rFonts w:hint="default" w:eastAsia="宋体"/>
                      <w:b/>
                      <w:bCs/>
                      <w:color w:val="auto"/>
                      <w:highlight w:val="none"/>
                      <w:lang w:val="en-US" w:eastAsia="zh-CN"/>
                    </w:rPr>
                  </w:pPr>
                  <w:r>
                    <w:rPr>
                      <w:rFonts w:hint="eastAsia"/>
                      <w:b/>
                      <w:bCs/>
                      <w:color w:val="auto"/>
                      <w:highlight w:val="none"/>
                      <w:lang w:val="en-US" w:eastAsia="zh-CN"/>
                    </w:rPr>
                    <w:t>TN</w:t>
                  </w:r>
                </w:p>
              </w:tc>
              <w:tc>
                <w:tcPr>
                  <w:tcW w:w="382" w:type="pct"/>
                  <w:vAlign w:val="center"/>
                </w:tcPr>
                <w:p w14:paraId="2816097D">
                  <w:pPr>
                    <w:pStyle w:val="13"/>
                    <w:rPr>
                      <w:rFonts w:hint="default"/>
                      <w:b/>
                      <w:bCs/>
                      <w:color w:val="auto"/>
                      <w:highlight w:val="none"/>
                      <w:lang w:val="en-US" w:eastAsia="zh-CN"/>
                    </w:rPr>
                  </w:pPr>
                  <w:r>
                    <w:rPr>
                      <w:rFonts w:hint="eastAsia"/>
                      <w:b/>
                      <w:bCs/>
                      <w:color w:val="auto"/>
                      <w:highlight w:val="none"/>
                      <w:lang w:val="en-US" w:eastAsia="zh-CN"/>
                    </w:rPr>
                    <w:t>TP</w:t>
                  </w:r>
                </w:p>
              </w:tc>
              <w:tc>
                <w:tcPr>
                  <w:tcW w:w="385" w:type="pct"/>
                  <w:vAlign w:val="center"/>
                </w:tcPr>
                <w:p w14:paraId="6E538D5F">
                  <w:pPr>
                    <w:pStyle w:val="13"/>
                    <w:rPr>
                      <w:b/>
                      <w:bCs/>
                      <w:color w:val="auto"/>
                      <w:highlight w:val="none"/>
                    </w:rPr>
                  </w:pPr>
                  <w:r>
                    <w:rPr>
                      <w:rFonts w:hint="eastAsia"/>
                      <w:b/>
                      <w:bCs/>
                      <w:color w:val="auto"/>
                      <w:highlight w:val="none"/>
                    </w:rPr>
                    <w:t>动植物油</w:t>
                  </w:r>
                </w:p>
              </w:tc>
            </w:tr>
            <w:tr w14:paraId="162C2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0" w:type="pct"/>
                  <w:vMerge w:val="restart"/>
                  <w:vAlign w:val="center"/>
                </w:tcPr>
                <w:p w14:paraId="1928F6D4">
                  <w:pPr>
                    <w:pStyle w:val="13"/>
                    <w:rPr>
                      <w:rFonts w:hint="default" w:eastAsia="宋体"/>
                      <w:color w:val="auto"/>
                      <w:highlight w:val="none"/>
                      <w:lang w:val="en-US" w:eastAsia="zh-CN"/>
                    </w:rPr>
                  </w:pPr>
                  <w:r>
                    <w:rPr>
                      <w:color w:val="auto"/>
                      <w:highlight w:val="none"/>
                    </w:rPr>
                    <w:t>生活污水</w:t>
                  </w:r>
                </w:p>
              </w:tc>
              <w:tc>
                <w:tcPr>
                  <w:tcW w:w="509" w:type="pct"/>
                  <w:vMerge w:val="restart"/>
                  <w:vAlign w:val="center"/>
                </w:tcPr>
                <w:p w14:paraId="518D0529">
                  <w:pPr>
                    <w:pStyle w:val="13"/>
                    <w:rPr>
                      <w:rFonts w:hint="default" w:eastAsia="宋体"/>
                      <w:color w:val="auto"/>
                      <w:highlight w:val="none"/>
                      <w:lang w:val="en-US" w:eastAsia="zh-CN"/>
                    </w:rPr>
                  </w:pPr>
                  <w:r>
                    <w:rPr>
                      <w:rFonts w:hint="eastAsia"/>
                      <w:color w:val="auto"/>
                      <w:highlight w:val="none"/>
                      <w:lang w:val="en-US" w:eastAsia="zh-CN"/>
                    </w:rPr>
                    <w:t>528</w:t>
                  </w:r>
                </w:p>
              </w:tc>
              <w:tc>
                <w:tcPr>
                  <w:tcW w:w="617" w:type="pct"/>
                  <w:vAlign w:val="center"/>
                </w:tcPr>
                <w:p w14:paraId="5ADBFAFD">
                  <w:pPr>
                    <w:pStyle w:val="13"/>
                    <w:ind w:firstLine="0" w:firstLineChars="0"/>
                    <w:rPr>
                      <w:rFonts w:hint="eastAsia"/>
                      <w:color w:val="auto"/>
                      <w:highlight w:val="none"/>
                    </w:rPr>
                  </w:pPr>
                  <w:r>
                    <w:rPr>
                      <w:color w:val="auto"/>
                      <w:highlight w:val="none"/>
                    </w:rPr>
                    <w:t>产生浓度（mg/L）</w:t>
                  </w:r>
                </w:p>
              </w:tc>
              <w:tc>
                <w:tcPr>
                  <w:tcW w:w="382" w:type="pct"/>
                  <w:vAlign w:val="center"/>
                </w:tcPr>
                <w:p w14:paraId="5571DBA7">
                  <w:pPr>
                    <w:pStyle w:val="13"/>
                    <w:ind w:firstLine="0" w:firstLineChars="0"/>
                    <w:rPr>
                      <w:color w:val="auto"/>
                      <w:highlight w:val="none"/>
                    </w:rPr>
                  </w:pPr>
                  <w:r>
                    <w:rPr>
                      <w:rFonts w:hint="eastAsia"/>
                      <w:color w:val="auto"/>
                      <w:highlight w:val="none"/>
                    </w:rPr>
                    <w:t>6-9</w:t>
                  </w:r>
                </w:p>
              </w:tc>
              <w:tc>
                <w:tcPr>
                  <w:tcW w:w="382" w:type="pct"/>
                  <w:vAlign w:val="center"/>
                </w:tcPr>
                <w:p w14:paraId="10119075">
                  <w:pPr>
                    <w:pStyle w:val="13"/>
                    <w:ind w:firstLine="0" w:firstLineChars="0"/>
                    <w:rPr>
                      <w:rFonts w:hint="default" w:eastAsia="宋体"/>
                      <w:color w:val="auto"/>
                      <w:highlight w:val="none"/>
                      <w:lang w:val="en-US" w:eastAsia="zh-CN"/>
                    </w:rPr>
                  </w:pPr>
                  <w:r>
                    <w:rPr>
                      <w:rFonts w:hint="eastAsia"/>
                      <w:color w:val="auto"/>
                      <w:highlight w:val="none"/>
                      <w:lang w:val="en-US" w:eastAsia="zh-CN"/>
                    </w:rPr>
                    <w:t>60</w:t>
                  </w:r>
                </w:p>
              </w:tc>
              <w:tc>
                <w:tcPr>
                  <w:tcW w:w="382" w:type="pct"/>
                  <w:vAlign w:val="center"/>
                </w:tcPr>
                <w:p w14:paraId="59384D4A">
                  <w:pPr>
                    <w:pStyle w:val="13"/>
                    <w:ind w:firstLine="0" w:firstLineChars="0"/>
                    <w:rPr>
                      <w:rFonts w:hint="default" w:eastAsia="宋体"/>
                      <w:color w:val="auto"/>
                      <w:highlight w:val="none"/>
                      <w:lang w:val="en-US" w:eastAsia="zh-CN"/>
                    </w:rPr>
                  </w:pPr>
                  <w:r>
                    <w:rPr>
                      <w:rFonts w:hint="eastAsia"/>
                      <w:color w:val="auto"/>
                      <w:highlight w:val="none"/>
                      <w:lang w:val="en-US" w:eastAsia="zh-CN"/>
                    </w:rPr>
                    <w:t>200</w:t>
                  </w:r>
                </w:p>
              </w:tc>
              <w:tc>
                <w:tcPr>
                  <w:tcW w:w="382" w:type="pct"/>
                  <w:vAlign w:val="center"/>
                </w:tcPr>
                <w:p w14:paraId="1DAE54FB">
                  <w:pPr>
                    <w:pStyle w:val="13"/>
                    <w:ind w:firstLine="0" w:firstLineChars="0"/>
                    <w:rPr>
                      <w:rFonts w:hint="default"/>
                      <w:color w:val="auto"/>
                      <w:highlight w:val="none"/>
                      <w:lang w:val="en-US"/>
                    </w:rPr>
                  </w:pPr>
                  <w:r>
                    <w:rPr>
                      <w:rFonts w:hint="eastAsia"/>
                      <w:color w:val="auto"/>
                      <w:highlight w:val="none"/>
                      <w:lang w:val="en-US" w:eastAsia="zh-CN"/>
                    </w:rPr>
                    <w:t>100</w:t>
                  </w:r>
                </w:p>
              </w:tc>
              <w:tc>
                <w:tcPr>
                  <w:tcW w:w="382" w:type="pct"/>
                  <w:vAlign w:val="center"/>
                </w:tcPr>
                <w:p w14:paraId="5C252CBC">
                  <w:pPr>
                    <w:pStyle w:val="13"/>
                    <w:ind w:firstLine="0" w:firstLineChars="0"/>
                    <w:rPr>
                      <w:rFonts w:hint="default"/>
                      <w:color w:val="auto"/>
                      <w:highlight w:val="none"/>
                      <w:lang w:val="en-US"/>
                    </w:rPr>
                  </w:pPr>
                  <w:r>
                    <w:rPr>
                      <w:rFonts w:hint="eastAsia"/>
                      <w:color w:val="auto"/>
                      <w:highlight w:val="none"/>
                      <w:lang w:val="en-US" w:eastAsia="zh-CN"/>
                    </w:rPr>
                    <w:t>250</w:t>
                  </w:r>
                </w:p>
              </w:tc>
              <w:tc>
                <w:tcPr>
                  <w:tcW w:w="382" w:type="pct"/>
                  <w:vAlign w:val="center"/>
                </w:tcPr>
                <w:p w14:paraId="030C85AD">
                  <w:pPr>
                    <w:pStyle w:val="13"/>
                    <w:ind w:firstLine="0" w:firstLineChars="0"/>
                    <w:rPr>
                      <w:rFonts w:hint="default" w:eastAsia="宋体"/>
                      <w:color w:val="auto"/>
                      <w:highlight w:val="none"/>
                      <w:lang w:val="en-US" w:eastAsia="zh-CN"/>
                    </w:rPr>
                  </w:pPr>
                  <w:r>
                    <w:rPr>
                      <w:rFonts w:hint="eastAsia"/>
                      <w:color w:val="auto"/>
                      <w:highlight w:val="none"/>
                      <w:lang w:val="en-US" w:eastAsia="zh-CN"/>
                    </w:rPr>
                    <w:t>20</w:t>
                  </w:r>
                </w:p>
              </w:tc>
              <w:tc>
                <w:tcPr>
                  <w:tcW w:w="382" w:type="pct"/>
                  <w:vAlign w:val="center"/>
                </w:tcPr>
                <w:p w14:paraId="35FDF2A6">
                  <w:pPr>
                    <w:pStyle w:val="13"/>
                    <w:ind w:firstLine="0" w:firstLineChars="0"/>
                    <w:rPr>
                      <w:rFonts w:hint="default" w:eastAsia="宋体"/>
                      <w:color w:val="auto"/>
                      <w:highlight w:val="none"/>
                      <w:lang w:val="en-US" w:eastAsia="zh-CN"/>
                    </w:rPr>
                  </w:pPr>
                  <w:r>
                    <w:rPr>
                      <w:rFonts w:hint="eastAsia"/>
                      <w:color w:val="auto"/>
                      <w:highlight w:val="none"/>
                      <w:lang w:val="en-US" w:eastAsia="zh-CN"/>
                    </w:rPr>
                    <w:t>40</w:t>
                  </w:r>
                </w:p>
              </w:tc>
              <w:tc>
                <w:tcPr>
                  <w:tcW w:w="382" w:type="pct"/>
                  <w:vAlign w:val="center"/>
                </w:tcPr>
                <w:p w14:paraId="7BEF3485">
                  <w:pPr>
                    <w:pStyle w:val="13"/>
                    <w:ind w:firstLine="0" w:firstLineChars="0"/>
                    <w:rPr>
                      <w:rFonts w:hint="default" w:eastAsia="宋体"/>
                      <w:color w:val="auto"/>
                      <w:highlight w:val="none"/>
                      <w:lang w:val="en-US" w:eastAsia="zh-CN"/>
                    </w:rPr>
                  </w:pPr>
                  <w:r>
                    <w:rPr>
                      <w:rFonts w:hint="eastAsia"/>
                      <w:color w:val="auto"/>
                      <w:highlight w:val="none"/>
                      <w:lang w:val="en-US" w:eastAsia="zh-CN"/>
                    </w:rPr>
                    <w:t>5</w:t>
                  </w:r>
                </w:p>
              </w:tc>
              <w:tc>
                <w:tcPr>
                  <w:tcW w:w="385" w:type="pct"/>
                  <w:vAlign w:val="center"/>
                </w:tcPr>
                <w:p w14:paraId="6847A14A">
                  <w:pPr>
                    <w:pStyle w:val="13"/>
                    <w:ind w:firstLine="0" w:firstLineChars="0"/>
                    <w:rPr>
                      <w:rFonts w:hint="default" w:eastAsia="宋体"/>
                      <w:color w:val="auto"/>
                      <w:highlight w:val="none"/>
                      <w:lang w:val="en-US" w:eastAsia="zh-CN"/>
                    </w:rPr>
                  </w:pPr>
                  <w:r>
                    <w:rPr>
                      <w:rFonts w:hint="eastAsia"/>
                      <w:color w:val="auto"/>
                      <w:highlight w:val="none"/>
                      <w:lang w:val="en-US" w:eastAsia="zh-CN"/>
                    </w:rPr>
                    <w:t>20</w:t>
                  </w:r>
                </w:p>
              </w:tc>
            </w:tr>
            <w:tr w14:paraId="452C4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0" w:type="pct"/>
                  <w:vMerge w:val="continue"/>
                  <w:vAlign w:val="center"/>
                </w:tcPr>
                <w:p w14:paraId="1705B14A">
                  <w:pPr>
                    <w:pStyle w:val="13"/>
                    <w:rPr>
                      <w:rFonts w:hint="default" w:eastAsia="宋体"/>
                      <w:color w:val="auto"/>
                      <w:highlight w:val="none"/>
                      <w:lang w:val="en-US" w:eastAsia="zh-CN"/>
                    </w:rPr>
                  </w:pPr>
                </w:p>
              </w:tc>
              <w:tc>
                <w:tcPr>
                  <w:tcW w:w="509" w:type="pct"/>
                  <w:vMerge w:val="continue"/>
                  <w:vAlign w:val="center"/>
                </w:tcPr>
                <w:p w14:paraId="20744C36">
                  <w:pPr>
                    <w:pStyle w:val="13"/>
                    <w:rPr>
                      <w:rFonts w:hint="eastAsia"/>
                      <w:color w:val="auto"/>
                      <w:highlight w:val="none"/>
                    </w:rPr>
                  </w:pPr>
                </w:p>
              </w:tc>
              <w:tc>
                <w:tcPr>
                  <w:tcW w:w="617" w:type="pct"/>
                  <w:vAlign w:val="center"/>
                </w:tcPr>
                <w:p w14:paraId="40808D64">
                  <w:pPr>
                    <w:pStyle w:val="13"/>
                    <w:ind w:firstLine="0" w:firstLineChars="0"/>
                    <w:rPr>
                      <w:rFonts w:hint="eastAsia"/>
                      <w:color w:val="auto"/>
                      <w:highlight w:val="none"/>
                    </w:rPr>
                  </w:pPr>
                  <w:r>
                    <w:rPr>
                      <w:color w:val="auto"/>
                      <w:highlight w:val="none"/>
                    </w:rPr>
                    <w:t>产生量（t/a）</w:t>
                  </w:r>
                </w:p>
              </w:tc>
              <w:tc>
                <w:tcPr>
                  <w:tcW w:w="1069" w:type="dxa"/>
                  <w:vAlign w:val="center"/>
                </w:tcPr>
                <w:p w14:paraId="4D313E0C">
                  <w:pPr>
                    <w:pStyle w:val="13"/>
                    <w:bidi w:val="0"/>
                    <w:rPr>
                      <w:color w:val="auto"/>
                      <w:highlight w:val="none"/>
                    </w:rPr>
                  </w:pPr>
                  <w:r>
                    <w:rPr>
                      <w:rFonts w:hint="default"/>
                      <w:color w:val="auto"/>
                      <w:highlight w:val="none"/>
                      <w:lang w:val="en-US" w:eastAsia="zh-CN"/>
                    </w:rPr>
                    <w:t>0.0317</w:t>
                  </w:r>
                </w:p>
              </w:tc>
              <w:tc>
                <w:tcPr>
                  <w:tcW w:w="1069" w:type="dxa"/>
                  <w:vAlign w:val="center"/>
                </w:tcPr>
                <w:p w14:paraId="78CFF657">
                  <w:pPr>
                    <w:pStyle w:val="13"/>
                    <w:bidi w:val="0"/>
                    <w:rPr>
                      <w:rFonts w:hint="default"/>
                      <w:color w:val="auto"/>
                      <w:highlight w:val="none"/>
                      <w:lang w:val="en-US" w:eastAsia="zh-CN"/>
                    </w:rPr>
                  </w:pPr>
                  <w:r>
                    <w:rPr>
                      <w:rFonts w:hint="default"/>
                      <w:color w:val="auto"/>
                      <w:highlight w:val="none"/>
                      <w:lang w:val="en-US" w:eastAsia="zh-CN"/>
                    </w:rPr>
                    <w:t>0.1056</w:t>
                  </w:r>
                </w:p>
              </w:tc>
              <w:tc>
                <w:tcPr>
                  <w:tcW w:w="1069" w:type="dxa"/>
                  <w:vAlign w:val="center"/>
                </w:tcPr>
                <w:p w14:paraId="1E5A4608">
                  <w:pPr>
                    <w:pStyle w:val="13"/>
                    <w:bidi w:val="0"/>
                    <w:rPr>
                      <w:rFonts w:hint="default"/>
                      <w:color w:val="auto"/>
                      <w:highlight w:val="none"/>
                      <w:lang w:val="en-US" w:eastAsia="zh-CN"/>
                    </w:rPr>
                  </w:pPr>
                  <w:r>
                    <w:rPr>
                      <w:rFonts w:hint="default"/>
                      <w:color w:val="auto"/>
                      <w:highlight w:val="none"/>
                      <w:lang w:val="en-US" w:eastAsia="zh-CN"/>
                    </w:rPr>
                    <w:t>0.0528</w:t>
                  </w:r>
                </w:p>
              </w:tc>
              <w:tc>
                <w:tcPr>
                  <w:tcW w:w="1069" w:type="dxa"/>
                  <w:vAlign w:val="center"/>
                </w:tcPr>
                <w:p w14:paraId="0A78BEFE">
                  <w:pPr>
                    <w:pStyle w:val="13"/>
                    <w:bidi w:val="0"/>
                    <w:rPr>
                      <w:color w:val="auto"/>
                      <w:highlight w:val="none"/>
                    </w:rPr>
                  </w:pPr>
                  <w:r>
                    <w:rPr>
                      <w:rFonts w:hint="default"/>
                      <w:color w:val="auto"/>
                      <w:highlight w:val="none"/>
                      <w:lang w:val="en-US" w:eastAsia="zh-CN"/>
                    </w:rPr>
                    <w:t>0.1320</w:t>
                  </w:r>
                </w:p>
              </w:tc>
              <w:tc>
                <w:tcPr>
                  <w:tcW w:w="1069" w:type="dxa"/>
                  <w:vAlign w:val="center"/>
                </w:tcPr>
                <w:p w14:paraId="3043AC89">
                  <w:pPr>
                    <w:pStyle w:val="13"/>
                    <w:bidi w:val="0"/>
                    <w:rPr>
                      <w:color w:val="auto"/>
                      <w:highlight w:val="none"/>
                    </w:rPr>
                  </w:pPr>
                  <w:r>
                    <w:rPr>
                      <w:rFonts w:hint="default"/>
                      <w:color w:val="auto"/>
                      <w:highlight w:val="none"/>
                      <w:lang w:val="en-US" w:eastAsia="zh-CN"/>
                    </w:rPr>
                    <w:t>0.0106</w:t>
                  </w:r>
                </w:p>
              </w:tc>
              <w:tc>
                <w:tcPr>
                  <w:tcW w:w="1069" w:type="dxa"/>
                  <w:vAlign w:val="center"/>
                </w:tcPr>
                <w:p w14:paraId="2E6EF65F">
                  <w:pPr>
                    <w:pStyle w:val="13"/>
                    <w:bidi w:val="0"/>
                    <w:rPr>
                      <w:rFonts w:hint="default"/>
                      <w:color w:val="auto"/>
                      <w:highlight w:val="none"/>
                      <w:lang w:val="en-US" w:eastAsia="zh-CN"/>
                    </w:rPr>
                  </w:pPr>
                  <w:r>
                    <w:rPr>
                      <w:rFonts w:hint="default"/>
                      <w:color w:val="auto"/>
                      <w:highlight w:val="none"/>
                      <w:lang w:val="en-US" w:eastAsia="zh-CN"/>
                    </w:rPr>
                    <w:t>0.0211</w:t>
                  </w:r>
                </w:p>
              </w:tc>
              <w:tc>
                <w:tcPr>
                  <w:tcW w:w="1069" w:type="dxa"/>
                  <w:vAlign w:val="center"/>
                </w:tcPr>
                <w:p w14:paraId="3B309243">
                  <w:pPr>
                    <w:pStyle w:val="13"/>
                    <w:bidi w:val="0"/>
                    <w:rPr>
                      <w:rFonts w:hint="default"/>
                      <w:color w:val="auto"/>
                      <w:highlight w:val="none"/>
                      <w:lang w:val="en-US" w:eastAsia="zh-CN"/>
                    </w:rPr>
                  </w:pPr>
                  <w:r>
                    <w:rPr>
                      <w:rFonts w:hint="default"/>
                      <w:color w:val="auto"/>
                      <w:highlight w:val="none"/>
                      <w:lang w:val="en-US" w:eastAsia="zh-CN"/>
                    </w:rPr>
                    <w:t>0.0026</w:t>
                  </w:r>
                </w:p>
              </w:tc>
              <w:tc>
                <w:tcPr>
                  <w:tcW w:w="1069" w:type="dxa"/>
                  <w:vAlign w:val="center"/>
                </w:tcPr>
                <w:p w14:paraId="4ABEA4B2">
                  <w:pPr>
                    <w:pStyle w:val="13"/>
                    <w:bidi w:val="0"/>
                    <w:rPr>
                      <w:rFonts w:hint="default"/>
                      <w:color w:val="auto"/>
                      <w:highlight w:val="none"/>
                      <w:lang w:val="en-US" w:eastAsia="zh-CN"/>
                    </w:rPr>
                  </w:pPr>
                  <w:r>
                    <w:rPr>
                      <w:rFonts w:hint="default"/>
                      <w:color w:val="auto"/>
                      <w:highlight w:val="none"/>
                      <w:lang w:val="en-US" w:eastAsia="zh-CN"/>
                    </w:rPr>
                    <w:t>0.0106</w:t>
                  </w:r>
                </w:p>
              </w:tc>
              <w:tc>
                <w:tcPr>
                  <w:tcW w:w="1077" w:type="dxa"/>
                  <w:vAlign w:val="center"/>
                </w:tcPr>
                <w:p w14:paraId="34C002DC">
                  <w:pPr>
                    <w:pStyle w:val="13"/>
                    <w:bidi w:val="0"/>
                    <w:rPr>
                      <w:color w:val="auto"/>
                      <w:highlight w:val="none"/>
                    </w:rPr>
                  </w:pPr>
                  <w:r>
                    <w:rPr>
                      <w:rFonts w:hint="default"/>
                      <w:color w:val="auto"/>
                      <w:highlight w:val="none"/>
                      <w:lang w:val="en-US" w:eastAsia="zh-CN"/>
                    </w:rPr>
                    <w:t>0.0317</w:t>
                  </w:r>
                </w:p>
              </w:tc>
            </w:tr>
            <w:tr w14:paraId="4508F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0" w:type="pct"/>
                  <w:vMerge w:val="restart"/>
                  <w:vAlign w:val="center"/>
                </w:tcPr>
                <w:p w14:paraId="7113F669">
                  <w:pPr>
                    <w:pStyle w:val="13"/>
                    <w:rPr>
                      <w:rFonts w:hint="default" w:eastAsia="宋体"/>
                      <w:color w:val="auto"/>
                      <w:highlight w:val="none"/>
                      <w:lang w:val="en-US" w:eastAsia="zh-CN"/>
                    </w:rPr>
                  </w:pPr>
                  <w:r>
                    <w:rPr>
                      <w:rFonts w:hint="eastAsia"/>
                      <w:color w:val="auto"/>
                      <w:highlight w:val="none"/>
                      <w:lang w:val="en-US" w:eastAsia="zh-CN"/>
                    </w:rPr>
                    <w:t>调质软水</w:t>
                  </w:r>
                </w:p>
              </w:tc>
              <w:tc>
                <w:tcPr>
                  <w:tcW w:w="509" w:type="pct"/>
                  <w:vMerge w:val="restart"/>
                  <w:vAlign w:val="center"/>
                </w:tcPr>
                <w:p w14:paraId="0298B5F8">
                  <w:pPr>
                    <w:pStyle w:val="13"/>
                    <w:rPr>
                      <w:rFonts w:hint="default" w:eastAsia="宋体"/>
                      <w:color w:val="auto"/>
                      <w:highlight w:val="none"/>
                      <w:lang w:val="en-US" w:eastAsia="zh-CN"/>
                    </w:rPr>
                  </w:pPr>
                  <w:r>
                    <w:rPr>
                      <w:rFonts w:hint="eastAsia"/>
                      <w:color w:val="auto"/>
                      <w:highlight w:val="none"/>
                      <w:lang w:val="en-US" w:eastAsia="zh-CN"/>
                    </w:rPr>
                    <w:t>17.5</w:t>
                  </w:r>
                </w:p>
              </w:tc>
              <w:tc>
                <w:tcPr>
                  <w:tcW w:w="617" w:type="pct"/>
                  <w:shd w:val="clear" w:color="auto" w:fill="auto"/>
                  <w:vAlign w:val="center"/>
                </w:tcPr>
                <w:p w14:paraId="4699644A">
                  <w:pPr>
                    <w:pStyle w:val="13"/>
                    <w:ind w:firstLine="0" w:firstLineChars="0"/>
                    <w:rPr>
                      <w:rFonts w:hint="eastAsia" w:ascii="Times New Roman" w:hAnsi="Times New Roman" w:eastAsia="宋体" w:cstheme="minorBidi"/>
                      <w:color w:val="auto"/>
                      <w:kern w:val="2"/>
                      <w:sz w:val="21"/>
                      <w:szCs w:val="21"/>
                      <w:highlight w:val="none"/>
                      <w:lang w:val="en-US" w:eastAsia="zh-CN" w:bidi="ar-SA"/>
                    </w:rPr>
                  </w:pPr>
                  <w:r>
                    <w:rPr>
                      <w:color w:val="auto"/>
                      <w:highlight w:val="none"/>
                    </w:rPr>
                    <w:t>产生浓度（mg/L）</w:t>
                  </w:r>
                </w:p>
              </w:tc>
              <w:tc>
                <w:tcPr>
                  <w:tcW w:w="1069" w:type="dxa"/>
                  <w:shd w:val="clear" w:color="auto" w:fill="auto"/>
                  <w:vAlign w:val="center"/>
                </w:tcPr>
                <w:p w14:paraId="1E3E625B">
                  <w:pPr>
                    <w:pStyle w:val="13"/>
                    <w:bidi w:val="0"/>
                    <w:rPr>
                      <w:rFonts w:hint="eastAsia"/>
                      <w:color w:val="auto"/>
                      <w:highlight w:val="none"/>
                      <w:lang w:val="en-US" w:eastAsia="zh-CN"/>
                    </w:rPr>
                  </w:pPr>
                  <w:r>
                    <w:rPr>
                      <w:rFonts w:hint="default"/>
                      <w:color w:val="auto"/>
                      <w:highlight w:val="none"/>
                      <w:lang w:val="en-US" w:eastAsia="zh-CN"/>
                    </w:rPr>
                    <w:t>60</w:t>
                  </w:r>
                </w:p>
              </w:tc>
              <w:tc>
                <w:tcPr>
                  <w:tcW w:w="1069" w:type="dxa"/>
                  <w:shd w:val="clear" w:color="auto" w:fill="auto"/>
                  <w:vAlign w:val="center"/>
                </w:tcPr>
                <w:p w14:paraId="3DCA0FAB">
                  <w:pPr>
                    <w:pStyle w:val="13"/>
                    <w:bidi w:val="0"/>
                    <w:rPr>
                      <w:rFonts w:hint="eastAsia"/>
                      <w:color w:val="auto"/>
                      <w:highlight w:val="none"/>
                      <w:lang w:val="en-US" w:eastAsia="zh-CN"/>
                    </w:rPr>
                  </w:pPr>
                  <w:r>
                    <w:rPr>
                      <w:rFonts w:hint="default"/>
                      <w:color w:val="auto"/>
                      <w:highlight w:val="none"/>
                      <w:lang w:val="en-US" w:eastAsia="zh-CN"/>
                    </w:rPr>
                    <w:t>200</w:t>
                  </w:r>
                </w:p>
              </w:tc>
              <w:tc>
                <w:tcPr>
                  <w:tcW w:w="1069" w:type="dxa"/>
                  <w:shd w:val="clear" w:color="auto" w:fill="auto"/>
                  <w:vAlign w:val="center"/>
                </w:tcPr>
                <w:p w14:paraId="36A819F4">
                  <w:pPr>
                    <w:pStyle w:val="13"/>
                    <w:bidi w:val="0"/>
                    <w:rPr>
                      <w:rFonts w:hint="eastAsia"/>
                      <w:color w:val="auto"/>
                      <w:highlight w:val="none"/>
                      <w:lang w:val="en-US" w:eastAsia="zh-CN"/>
                    </w:rPr>
                  </w:pPr>
                  <w:r>
                    <w:rPr>
                      <w:rFonts w:hint="default"/>
                      <w:color w:val="auto"/>
                      <w:highlight w:val="none"/>
                      <w:lang w:val="en-US" w:eastAsia="zh-CN"/>
                    </w:rPr>
                    <w:t>100</w:t>
                  </w:r>
                </w:p>
              </w:tc>
              <w:tc>
                <w:tcPr>
                  <w:tcW w:w="1069" w:type="dxa"/>
                  <w:shd w:val="clear" w:color="auto" w:fill="auto"/>
                  <w:vAlign w:val="center"/>
                </w:tcPr>
                <w:p w14:paraId="77391640">
                  <w:pPr>
                    <w:pStyle w:val="13"/>
                    <w:bidi w:val="0"/>
                    <w:rPr>
                      <w:rFonts w:hint="eastAsia"/>
                      <w:color w:val="auto"/>
                      <w:highlight w:val="none"/>
                      <w:lang w:val="en-US" w:eastAsia="zh-CN"/>
                    </w:rPr>
                  </w:pPr>
                  <w:r>
                    <w:rPr>
                      <w:rFonts w:hint="default"/>
                      <w:color w:val="auto"/>
                      <w:highlight w:val="none"/>
                      <w:lang w:val="en-US" w:eastAsia="zh-CN"/>
                    </w:rPr>
                    <w:t>250</w:t>
                  </w:r>
                </w:p>
              </w:tc>
              <w:tc>
                <w:tcPr>
                  <w:tcW w:w="1069" w:type="dxa"/>
                  <w:shd w:val="clear" w:color="auto" w:fill="auto"/>
                  <w:vAlign w:val="center"/>
                </w:tcPr>
                <w:p w14:paraId="2700052B">
                  <w:pPr>
                    <w:pStyle w:val="13"/>
                    <w:bidi w:val="0"/>
                    <w:rPr>
                      <w:rFonts w:hint="eastAsia"/>
                      <w:color w:val="auto"/>
                      <w:highlight w:val="none"/>
                      <w:lang w:val="en-US" w:eastAsia="zh-CN"/>
                    </w:rPr>
                  </w:pPr>
                  <w:r>
                    <w:rPr>
                      <w:rFonts w:hint="default"/>
                      <w:color w:val="auto"/>
                      <w:highlight w:val="none"/>
                      <w:lang w:val="en-US" w:eastAsia="zh-CN"/>
                    </w:rPr>
                    <w:t>20</w:t>
                  </w:r>
                </w:p>
              </w:tc>
              <w:tc>
                <w:tcPr>
                  <w:tcW w:w="1069" w:type="dxa"/>
                  <w:shd w:val="clear" w:color="auto" w:fill="auto"/>
                  <w:vAlign w:val="center"/>
                </w:tcPr>
                <w:p w14:paraId="3FEF6A1F">
                  <w:pPr>
                    <w:pStyle w:val="13"/>
                    <w:bidi w:val="0"/>
                    <w:rPr>
                      <w:rFonts w:hint="eastAsia"/>
                      <w:color w:val="auto"/>
                      <w:highlight w:val="none"/>
                      <w:lang w:val="en-US" w:eastAsia="zh-CN"/>
                    </w:rPr>
                  </w:pPr>
                  <w:r>
                    <w:rPr>
                      <w:rFonts w:hint="default"/>
                      <w:color w:val="auto"/>
                      <w:highlight w:val="none"/>
                      <w:lang w:val="en-US" w:eastAsia="zh-CN"/>
                    </w:rPr>
                    <w:t>40</w:t>
                  </w:r>
                </w:p>
              </w:tc>
              <w:tc>
                <w:tcPr>
                  <w:tcW w:w="1069" w:type="dxa"/>
                  <w:shd w:val="clear" w:color="auto" w:fill="auto"/>
                  <w:vAlign w:val="center"/>
                </w:tcPr>
                <w:p w14:paraId="2E57A363">
                  <w:pPr>
                    <w:pStyle w:val="13"/>
                    <w:bidi w:val="0"/>
                    <w:rPr>
                      <w:rFonts w:hint="eastAsia"/>
                      <w:color w:val="auto"/>
                      <w:highlight w:val="none"/>
                      <w:lang w:val="en-US" w:eastAsia="zh-CN"/>
                    </w:rPr>
                  </w:pPr>
                  <w:r>
                    <w:rPr>
                      <w:rFonts w:hint="default"/>
                      <w:color w:val="auto"/>
                      <w:highlight w:val="none"/>
                      <w:lang w:val="en-US" w:eastAsia="zh-CN"/>
                    </w:rPr>
                    <w:t>5</w:t>
                  </w:r>
                </w:p>
              </w:tc>
              <w:tc>
                <w:tcPr>
                  <w:tcW w:w="1069" w:type="dxa"/>
                  <w:shd w:val="clear" w:color="auto" w:fill="auto"/>
                  <w:vAlign w:val="center"/>
                </w:tcPr>
                <w:p w14:paraId="33E8E4E3">
                  <w:pPr>
                    <w:pStyle w:val="13"/>
                    <w:bidi w:val="0"/>
                    <w:rPr>
                      <w:rFonts w:hint="eastAsia"/>
                      <w:color w:val="auto"/>
                      <w:highlight w:val="none"/>
                      <w:lang w:val="en-US" w:eastAsia="zh-CN"/>
                    </w:rPr>
                  </w:pPr>
                  <w:r>
                    <w:rPr>
                      <w:rFonts w:hint="default"/>
                      <w:color w:val="auto"/>
                      <w:highlight w:val="none"/>
                      <w:lang w:val="en-US" w:eastAsia="zh-CN"/>
                    </w:rPr>
                    <w:t>20</w:t>
                  </w:r>
                </w:p>
              </w:tc>
              <w:tc>
                <w:tcPr>
                  <w:tcW w:w="1077" w:type="dxa"/>
                  <w:shd w:val="clear" w:color="auto" w:fill="auto"/>
                  <w:vAlign w:val="center"/>
                </w:tcPr>
                <w:p w14:paraId="096862B5">
                  <w:pPr>
                    <w:pStyle w:val="13"/>
                    <w:bidi w:val="0"/>
                    <w:rPr>
                      <w:rFonts w:hint="eastAsia"/>
                      <w:color w:val="auto"/>
                      <w:highlight w:val="none"/>
                      <w:lang w:val="en-US" w:eastAsia="zh-CN"/>
                    </w:rPr>
                  </w:pPr>
                  <w:r>
                    <w:rPr>
                      <w:rFonts w:hint="default"/>
                      <w:color w:val="auto"/>
                      <w:highlight w:val="none"/>
                      <w:lang w:val="en-US" w:eastAsia="zh-CN"/>
                    </w:rPr>
                    <w:t>60</w:t>
                  </w:r>
                </w:p>
              </w:tc>
            </w:tr>
            <w:tr w14:paraId="19941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0" w:type="pct"/>
                  <w:vMerge w:val="continue"/>
                  <w:vAlign w:val="center"/>
                </w:tcPr>
                <w:p w14:paraId="2A0D93F2">
                  <w:pPr>
                    <w:pStyle w:val="13"/>
                    <w:rPr>
                      <w:color w:val="auto"/>
                      <w:highlight w:val="none"/>
                    </w:rPr>
                  </w:pPr>
                </w:p>
              </w:tc>
              <w:tc>
                <w:tcPr>
                  <w:tcW w:w="509" w:type="pct"/>
                  <w:vMerge w:val="continue"/>
                  <w:vAlign w:val="center"/>
                </w:tcPr>
                <w:p w14:paraId="44495112">
                  <w:pPr>
                    <w:pStyle w:val="13"/>
                    <w:rPr>
                      <w:rFonts w:hint="eastAsia"/>
                      <w:color w:val="auto"/>
                      <w:highlight w:val="none"/>
                    </w:rPr>
                  </w:pPr>
                </w:p>
              </w:tc>
              <w:tc>
                <w:tcPr>
                  <w:tcW w:w="617" w:type="pct"/>
                  <w:shd w:val="clear" w:color="auto" w:fill="auto"/>
                  <w:vAlign w:val="center"/>
                </w:tcPr>
                <w:p w14:paraId="02655790">
                  <w:pPr>
                    <w:pStyle w:val="13"/>
                    <w:ind w:firstLine="0" w:firstLineChars="0"/>
                    <w:rPr>
                      <w:rFonts w:hint="eastAsia" w:ascii="Times New Roman" w:hAnsi="Times New Roman" w:eastAsia="宋体" w:cstheme="minorBidi"/>
                      <w:color w:val="auto"/>
                      <w:kern w:val="2"/>
                      <w:sz w:val="21"/>
                      <w:szCs w:val="21"/>
                      <w:highlight w:val="none"/>
                      <w:lang w:val="en-US" w:eastAsia="zh-CN" w:bidi="ar-SA"/>
                    </w:rPr>
                  </w:pPr>
                  <w:r>
                    <w:rPr>
                      <w:color w:val="auto"/>
                      <w:highlight w:val="none"/>
                    </w:rPr>
                    <w:t>产生量（t/a）</w:t>
                  </w:r>
                </w:p>
              </w:tc>
              <w:tc>
                <w:tcPr>
                  <w:tcW w:w="1069" w:type="dxa"/>
                  <w:shd w:val="clear" w:color="auto" w:fill="auto"/>
                  <w:vAlign w:val="center"/>
                </w:tcPr>
                <w:p w14:paraId="3CA07576">
                  <w:pPr>
                    <w:pStyle w:val="13"/>
                    <w:bidi w:val="0"/>
                    <w:rPr>
                      <w:rFonts w:hint="eastAsia"/>
                      <w:color w:val="auto"/>
                      <w:highlight w:val="none"/>
                      <w:lang w:val="en-US" w:eastAsia="zh-CN"/>
                    </w:rPr>
                  </w:pPr>
                  <w:r>
                    <w:rPr>
                      <w:rFonts w:hint="default"/>
                      <w:color w:val="auto"/>
                      <w:highlight w:val="none"/>
                      <w:lang w:val="en-US" w:eastAsia="zh-CN"/>
                    </w:rPr>
                    <w:t>0.0011</w:t>
                  </w:r>
                </w:p>
              </w:tc>
              <w:tc>
                <w:tcPr>
                  <w:tcW w:w="1069" w:type="dxa"/>
                  <w:shd w:val="clear" w:color="auto" w:fill="auto"/>
                  <w:vAlign w:val="center"/>
                </w:tcPr>
                <w:p w14:paraId="041601F1">
                  <w:pPr>
                    <w:pStyle w:val="13"/>
                    <w:bidi w:val="0"/>
                    <w:rPr>
                      <w:rFonts w:hint="eastAsia"/>
                      <w:color w:val="auto"/>
                      <w:highlight w:val="none"/>
                      <w:lang w:val="en-US" w:eastAsia="zh-CN"/>
                    </w:rPr>
                  </w:pPr>
                  <w:r>
                    <w:rPr>
                      <w:rFonts w:hint="default"/>
                      <w:color w:val="auto"/>
                      <w:highlight w:val="none"/>
                      <w:lang w:val="en-US" w:eastAsia="zh-CN"/>
                    </w:rPr>
                    <w:t>0.0035</w:t>
                  </w:r>
                </w:p>
              </w:tc>
              <w:tc>
                <w:tcPr>
                  <w:tcW w:w="1069" w:type="dxa"/>
                  <w:shd w:val="clear" w:color="auto" w:fill="auto"/>
                  <w:vAlign w:val="center"/>
                </w:tcPr>
                <w:p w14:paraId="7A1EBBDC">
                  <w:pPr>
                    <w:pStyle w:val="13"/>
                    <w:bidi w:val="0"/>
                    <w:rPr>
                      <w:rFonts w:hint="eastAsia"/>
                      <w:color w:val="auto"/>
                      <w:highlight w:val="none"/>
                      <w:lang w:val="en-US" w:eastAsia="zh-CN"/>
                    </w:rPr>
                  </w:pPr>
                  <w:r>
                    <w:rPr>
                      <w:rFonts w:hint="default"/>
                      <w:color w:val="auto"/>
                      <w:highlight w:val="none"/>
                      <w:lang w:val="en-US" w:eastAsia="zh-CN"/>
                    </w:rPr>
                    <w:t>0.0018</w:t>
                  </w:r>
                </w:p>
              </w:tc>
              <w:tc>
                <w:tcPr>
                  <w:tcW w:w="1069" w:type="dxa"/>
                  <w:shd w:val="clear" w:color="auto" w:fill="auto"/>
                  <w:vAlign w:val="center"/>
                </w:tcPr>
                <w:p w14:paraId="7622C910">
                  <w:pPr>
                    <w:pStyle w:val="13"/>
                    <w:bidi w:val="0"/>
                    <w:rPr>
                      <w:rFonts w:hint="eastAsia"/>
                      <w:color w:val="auto"/>
                      <w:highlight w:val="none"/>
                      <w:lang w:val="en-US" w:eastAsia="zh-CN"/>
                    </w:rPr>
                  </w:pPr>
                  <w:r>
                    <w:rPr>
                      <w:rFonts w:hint="default"/>
                      <w:color w:val="auto"/>
                      <w:highlight w:val="none"/>
                      <w:lang w:val="en-US" w:eastAsia="zh-CN"/>
                    </w:rPr>
                    <w:t>0.0044</w:t>
                  </w:r>
                </w:p>
              </w:tc>
              <w:tc>
                <w:tcPr>
                  <w:tcW w:w="1069" w:type="dxa"/>
                  <w:shd w:val="clear" w:color="auto" w:fill="auto"/>
                  <w:vAlign w:val="center"/>
                </w:tcPr>
                <w:p w14:paraId="7F745329">
                  <w:pPr>
                    <w:pStyle w:val="13"/>
                    <w:bidi w:val="0"/>
                    <w:rPr>
                      <w:rFonts w:hint="eastAsia"/>
                      <w:color w:val="auto"/>
                      <w:highlight w:val="none"/>
                      <w:lang w:val="en-US" w:eastAsia="zh-CN"/>
                    </w:rPr>
                  </w:pPr>
                  <w:r>
                    <w:rPr>
                      <w:rFonts w:hint="default"/>
                      <w:color w:val="auto"/>
                      <w:highlight w:val="none"/>
                      <w:lang w:val="en-US" w:eastAsia="zh-CN"/>
                    </w:rPr>
                    <w:t>0.0004</w:t>
                  </w:r>
                </w:p>
              </w:tc>
              <w:tc>
                <w:tcPr>
                  <w:tcW w:w="1069" w:type="dxa"/>
                  <w:shd w:val="clear" w:color="auto" w:fill="auto"/>
                  <w:vAlign w:val="center"/>
                </w:tcPr>
                <w:p w14:paraId="37AFE213">
                  <w:pPr>
                    <w:pStyle w:val="13"/>
                    <w:bidi w:val="0"/>
                    <w:rPr>
                      <w:rFonts w:hint="eastAsia"/>
                      <w:color w:val="auto"/>
                      <w:highlight w:val="none"/>
                      <w:lang w:val="en-US" w:eastAsia="zh-CN"/>
                    </w:rPr>
                  </w:pPr>
                  <w:r>
                    <w:rPr>
                      <w:rFonts w:hint="default"/>
                      <w:color w:val="auto"/>
                      <w:highlight w:val="none"/>
                      <w:lang w:val="en-US" w:eastAsia="zh-CN"/>
                    </w:rPr>
                    <w:t>0.0007</w:t>
                  </w:r>
                </w:p>
              </w:tc>
              <w:tc>
                <w:tcPr>
                  <w:tcW w:w="1069" w:type="dxa"/>
                  <w:shd w:val="clear" w:color="auto" w:fill="auto"/>
                  <w:vAlign w:val="center"/>
                </w:tcPr>
                <w:p w14:paraId="6409AC70">
                  <w:pPr>
                    <w:pStyle w:val="13"/>
                    <w:bidi w:val="0"/>
                    <w:rPr>
                      <w:rFonts w:hint="eastAsia"/>
                      <w:color w:val="auto"/>
                      <w:highlight w:val="none"/>
                      <w:lang w:val="en-US" w:eastAsia="zh-CN"/>
                    </w:rPr>
                  </w:pPr>
                  <w:r>
                    <w:rPr>
                      <w:rFonts w:hint="default"/>
                      <w:color w:val="auto"/>
                      <w:highlight w:val="none"/>
                      <w:lang w:val="en-US" w:eastAsia="zh-CN"/>
                    </w:rPr>
                    <w:t>0.0001</w:t>
                  </w:r>
                </w:p>
              </w:tc>
              <w:tc>
                <w:tcPr>
                  <w:tcW w:w="1069" w:type="dxa"/>
                  <w:shd w:val="clear" w:color="auto" w:fill="auto"/>
                  <w:vAlign w:val="center"/>
                </w:tcPr>
                <w:p w14:paraId="2D326E4A">
                  <w:pPr>
                    <w:pStyle w:val="13"/>
                    <w:bidi w:val="0"/>
                    <w:rPr>
                      <w:rFonts w:hint="eastAsia"/>
                      <w:color w:val="auto"/>
                      <w:highlight w:val="none"/>
                      <w:lang w:val="en-US" w:eastAsia="zh-CN"/>
                    </w:rPr>
                  </w:pPr>
                  <w:r>
                    <w:rPr>
                      <w:rFonts w:hint="default"/>
                      <w:color w:val="auto"/>
                      <w:highlight w:val="none"/>
                      <w:lang w:val="en-US" w:eastAsia="zh-CN"/>
                    </w:rPr>
                    <w:t>0.0004</w:t>
                  </w:r>
                </w:p>
              </w:tc>
              <w:tc>
                <w:tcPr>
                  <w:tcW w:w="1077" w:type="dxa"/>
                  <w:shd w:val="clear" w:color="auto" w:fill="auto"/>
                  <w:vAlign w:val="center"/>
                </w:tcPr>
                <w:p w14:paraId="29DBE7D5">
                  <w:pPr>
                    <w:pStyle w:val="13"/>
                    <w:bidi w:val="0"/>
                    <w:rPr>
                      <w:rFonts w:hint="eastAsia"/>
                      <w:color w:val="auto"/>
                      <w:highlight w:val="none"/>
                      <w:lang w:val="en-US" w:eastAsia="zh-CN"/>
                    </w:rPr>
                  </w:pPr>
                  <w:r>
                    <w:rPr>
                      <w:rFonts w:hint="default"/>
                      <w:color w:val="auto"/>
                      <w:highlight w:val="none"/>
                      <w:lang w:val="en-US" w:eastAsia="zh-CN"/>
                    </w:rPr>
                    <w:t>0.0011</w:t>
                  </w:r>
                </w:p>
              </w:tc>
            </w:tr>
            <w:tr w14:paraId="3C7F3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56" w:type="pct"/>
                  <w:gridSpan w:val="3"/>
                  <w:vAlign w:val="center"/>
                </w:tcPr>
                <w:p w14:paraId="743DEBA2">
                  <w:pPr>
                    <w:pStyle w:val="13"/>
                    <w:rPr>
                      <w:rFonts w:hint="eastAsia"/>
                      <w:color w:val="auto"/>
                      <w:highlight w:val="none"/>
                    </w:rPr>
                  </w:pPr>
                  <w:r>
                    <w:rPr>
                      <w:color w:val="auto"/>
                      <w:highlight w:val="none"/>
                    </w:rPr>
                    <w:t>污水排放执行标准（mg/L）</w:t>
                  </w:r>
                </w:p>
              </w:tc>
              <w:tc>
                <w:tcPr>
                  <w:tcW w:w="382" w:type="pct"/>
                  <w:vAlign w:val="center"/>
                </w:tcPr>
                <w:p w14:paraId="21F123BF">
                  <w:pPr>
                    <w:pStyle w:val="13"/>
                    <w:ind w:firstLine="0" w:firstLineChars="0"/>
                    <w:rPr>
                      <w:color w:val="auto"/>
                      <w:highlight w:val="none"/>
                    </w:rPr>
                  </w:pPr>
                  <w:r>
                    <w:rPr>
                      <w:rFonts w:hint="eastAsia"/>
                      <w:color w:val="auto"/>
                      <w:highlight w:val="none"/>
                    </w:rPr>
                    <w:t>6-9</w:t>
                  </w:r>
                </w:p>
              </w:tc>
              <w:tc>
                <w:tcPr>
                  <w:tcW w:w="382" w:type="pct"/>
                  <w:vAlign w:val="center"/>
                </w:tcPr>
                <w:p w14:paraId="700C5EA7">
                  <w:pPr>
                    <w:pStyle w:val="13"/>
                    <w:ind w:firstLine="0" w:firstLineChars="0"/>
                    <w:rPr>
                      <w:rFonts w:hint="default" w:eastAsia="宋体"/>
                      <w:color w:val="auto"/>
                      <w:highlight w:val="none"/>
                      <w:lang w:val="en-US" w:eastAsia="zh-CN"/>
                    </w:rPr>
                  </w:pPr>
                  <w:r>
                    <w:rPr>
                      <w:rFonts w:hint="eastAsia"/>
                      <w:color w:val="auto"/>
                      <w:highlight w:val="none"/>
                      <w:lang w:val="en-US" w:eastAsia="zh-CN"/>
                    </w:rPr>
                    <w:t>100</w:t>
                  </w:r>
                </w:p>
              </w:tc>
              <w:tc>
                <w:tcPr>
                  <w:tcW w:w="382" w:type="pct"/>
                  <w:vAlign w:val="center"/>
                </w:tcPr>
                <w:p w14:paraId="21786043">
                  <w:pPr>
                    <w:pStyle w:val="13"/>
                    <w:ind w:firstLine="0" w:firstLineChars="0"/>
                    <w:rPr>
                      <w:rFonts w:hint="default" w:eastAsia="宋体"/>
                      <w:color w:val="auto"/>
                      <w:highlight w:val="none"/>
                      <w:lang w:val="en-US" w:eastAsia="zh-CN"/>
                    </w:rPr>
                  </w:pPr>
                  <w:r>
                    <w:rPr>
                      <w:rFonts w:hint="eastAsia"/>
                      <w:color w:val="auto"/>
                      <w:highlight w:val="none"/>
                      <w:lang w:val="en-US" w:eastAsia="zh-CN"/>
                    </w:rPr>
                    <w:t>400</w:t>
                  </w:r>
                </w:p>
              </w:tc>
              <w:tc>
                <w:tcPr>
                  <w:tcW w:w="382" w:type="pct"/>
                  <w:vAlign w:val="center"/>
                </w:tcPr>
                <w:p w14:paraId="5E81A4DE">
                  <w:pPr>
                    <w:pStyle w:val="13"/>
                    <w:ind w:firstLine="0" w:firstLineChars="0"/>
                    <w:rPr>
                      <w:rFonts w:hint="default" w:eastAsia="宋体"/>
                      <w:color w:val="auto"/>
                      <w:highlight w:val="none"/>
                      <w:lang w:val="en-US" w:eastAsia="zh-CN"/>
                    </w:rPr>
                  </w:pPr>
                  <w:r>
                    <w:rPr>
                      <w:rFonts w:hint="eastAsia"/>
                      <w:color w:val="auto"/>
                      <w:highlight w:val="none"/>
                      <w:lang w:val="en-US" w:eastAsia="zh-CN"/>
                    </w:rPr>
                    <w:t>35</w:t>
                  </w:r>
                  <w:r>
                    <w:rPr>
                      <w:color w:val="auto"/>
                      <w:highlight w:val="none"/>
                    </w:rPr>
                    <w:t>0</w:t>
                  </w:r>
                </w:p>
              </w:tc>
              <w:tc>
                <w:tcPr>
                  <w:tcW w:w="382" w:type="pct"/>
                  <w:vAlign w:val="center"/>
                </w:tcPr>
                <w:p w14:paraId="4B4A9794">
                  <w:pPr>
                    <w:pStyle w:val="13"/>
                    <w:ind w:firstLine="0" w:firstLineChars="0"/>
                    <w:rPr>
                      <w:color w:val="auto"/>
                      <w:highlight w:val="none"/>
                    </w:rPr>
                  </w:pPr>
                  <w:r>
                    <w:rPr>
                      <w:rFonts w:hint="eastAsia"/>
                      <w:color w:val="auto"/>
                      <w:highlight w:val="none"/>
                      <w:lang w:val="en-US" w:eastAsia="zh-CN"/>
                    </w:rPr>
                    <w:t>5</w:t>
                  </w:r>
                  <w:r>
                    <w:rPr>
                      <w:color w:val="auto"/>
                      <w:highlight w:val="none"/>
                    </w:rPr>
                    <w:t>00</w:t>
                  </w:r>
                </w:p>
              </w:tc>
              <w:tc>
                <w:tcPr>
                  <w:tcW w:w="382" w:type="pct"/>
                  <w:vAlign w:val="center"/>
                </w:tcPr>
                <w:p w14:paraId="667C1074">
                  <w:pPr>
                    <w:pStyle w:val="13"/>
                    <w:ind w:firstLine="0" w:firstLineChars="0"/>
                    <w:rPr>
                      <w:rFonts w:hint="eastAsia" w:eastAsia="宋体"/>
                      <w:color w:val="auto"/>
                      <w:highlight w:val="none"/>
                      <w:lang w:eastAsia="zh-CN"/>
                    </w:rPr>
                  </w:pPr>
                  <w:r>
                    <w:rPr>
                      <w:rFonts w:hint="eastAsia"/>
                      <w:color w:val="auto"/>
                      <w:highlight w:val="none"/>
                      <w:lang w:val="en-US" w:eastAsia="zh-CN"/>
                    </w:rPr>
                    <w:t>45</w:t>
                  </w:r>
                </w:p>
              </w:tc>
              <w:tc>
                <w:tcPr>
                  <w:tcW w:w="382" w:type="pct"/>
                  <w:vAlign w:val="center"/>
                </w:tcPr>
                <w:p w14:paraId="6A8EC8B2">
                  <w:pPr>
                    <w:pStyle w:val="13"/>
                    <w:ind w:firstLine="0" w:firstLineChars="0"/>
                    <w:rPr>
                      <w:color w:val="auto"/>
                      <w:highlight w:val="none"/>
                    </w:rPr>
                  </w:pPr>
                  <w:r>
                    <w:rPr>
                      <w:rFonts w:hint="eastAsia"/>
                      <w:color w:val="auto"/>
                      <w:highlight w:val="none"/>
                      <w:lang w:val="en-US" w:eastAsia="zh-CN"/>
                    </w:rPr>
                    <w:t>70</w:t>
                  </w:r>
                </w:p>
              </w:tc>
              <w:tc>
                <w:tcPr>
                  <w:tcW w:w="382" w:type="pct"/>
                  <w:vAlign w:val="center"/>
                </w:tcPr>
                <w:p w14:paraId="1D5D11B3">
                  <w:pPr>
                    <w:pStyle w:val="13"/>
                    <w:ind w:firstLine="0" w:firstLineChars="0"/>
                    <w:rPr>
                      <w:rFonts w:hint="default" w:eastAsia="宋体"/>
                      <w:color w:val="auto"/>
                      <w:highlight w:val="none"/>
                      <w:lang w:val="en-US" w:eastAsia="zh-CN"/>
                    </w:rPr>
                  </w:pPr>
                  <w:r>
                    <w:rPr>
                      <w:rFonts w:hint="eastAsia"/>
                      <w:color w:val="auto"/>
                      <w:highlight w:val="none"/>
                      <w:lang w:val="en-US" w:eastAsia="zh-CN"/>
                    </w:rPr>
                    <w:t>8.0</w:t>
                  </w:r>
                </w:p>
              </w:tc>
              <w:tc>
                <w:tcPr>
                  <w:tcW w:w="385" w:type="pct"/>
                  <w:vAlign w:val="center"/>
                </w:tcPr>
                <w:p w14:paraId="190BC382">
                  <w:pPr>
                    <w:pStyle w:val="13"/>
                    <w:ind w:firstLine="0" w:firstLineChars="0"/>
                    <w:rPr>
                      <w:color w:val="auto"/>
                      <w:highlight w:val="none"/>
                    </w:rPr>
                  </w:pPr>
                  <w:r>
                    <w:rPr>
                      <w:rFonts w:hint="eastAsia"/>
                      <w:color w:val="auto"/>
                      <w:highlight w:val="none"/>
                    </w:rPr>
                    <w:t>100</w:t>
                  </w:r>
                </w:p>
              </w:tc>
            </w:tr>
            <w:tr w14:paraId="6C38A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56" w:type="pct"/>
                  <w:gridSpan w:val="3"/>
                  <w:vAlign w:val="center"/>
                </w:tcPr>
                <w:p w14:paraId="081935B0">
                  <w:pPr>
                    <w:pStyle w:val="13"/>
                    <w:rPr>
                      <w:rFonts w:hint="eastAsia"/>
                      <w:color w:val="auto"/>
                      <w:highlight w:val="none"/>
                    </w:rPr>
                  </w:pPr>
                  <w:r>
                    <w:rPr>
                      <w:color w:val="auto"/>
                      <w:highlight w:val="none"/>
                    </w:rPr>
                    <w:t>是否满足执行标准</w:t>
                  </w:r>
                </w:p>
              </w:tc>
              <w:tc>
                <w:tcPr>
                  <w:tcW w:w="382" w:type="pct"/>
                  <w:vAlign w:val="center"/>
                </w:tcPr>
                <w:p w14:paraId="02454B55">
                  <w:pPr>
                    <w:pStyle w:val="13"/>
                    <w:ind w:firstLine="0" w:firstLineChars="0"/>
                    <w:rPr>
                      <w:rFonts w:hint="eastAsia"/>
                      <w:color w:val="auto"/>
                      <w:highlight w:val="none"/>
                    </w:rPr>
                  </w:pPr>
                  <w:r>
                    <w:rPr>
                      <w:rFonts w:hint="eastAsia"/>
                      <w:color w:val="auto"/>
                      <w:highlight w:val="none"/>
                    </w:rPr>
                    <w:t>满足</w:t>
                  </w:r>
                </w:p>
              </w:tc>
              <w:tc>
                <w:tcPr>
                  <w:tcW w:w="382" w:type="pct"/>
                  <w:vAlign w:val="center"/>
                </w:tcPr>
                <w:p w14:paraId="4285F223">
                  <w:pPr>
                    <w:pStyle w:val="13"/>
                    <w:ind w:firstLine="0" w:firstLineChars="0"/>
                    <w:rPr>
                      <w:rFonts w:hint="eastAsia"/>
                      <w:color w:val="auto"/>
                      <w:highlight w:val="none"/>
                      <w:lang w:val="en-US" w:eastAsia="zh-CN"/>
                    </w:rPr>
                  </w:pPr>
                  <w:r>
                    <w:rPr>
                      <w:color w:val="auto"/>
                      <w:highlight w:val="none"/>
                    </w:rPr>
                    <w:t>满足</w:t>
                  </w:r>
                </w:p>
              </w:tc>
              <w:tc>
                <w:tcPr>
                  <w:tcW w:w="382" w:type="pct"/>
                  <w:vAlign w:val="center"/>
                </w:tcPr>
                <w:p w14:paraId="6BC44427">
                  <w:pPr>
                    <w:pStyle w:val="13"/>
                    <w:ind w:firstLine="0" w:firstLineChars="0"/>
                    <w:rPr>
                      <w:rFonts w:hint="eastAsia"/>
                      <w:color w:val="auto"/>
                      <w:highlight w:val="none"/>
                      <w:lang w:val="en-US" w:eastAsia="zh-CN"/>
                    </w:rPr>
                  </w:pPr>
                  <w:r>
                    <w:rPr>
                      <w:rFonts w:hint="eastAsia"/>
                      <w:color w:val="auto"/>
                      <w:highlight w:val="none"/>
                    </w:rPr>
                    <w:t>满足</w:t>
                  </w:r>
                </w:p>
              </w:tc>
              <w:tc>
                <w:tcPr>
                  <w:tcW w:w="382" w:type="pct"/>
                  <w:vAlign w:val="center"/>
                </w:tcPr>
                <w:p w14:paraId="024B77AD">
                  <w:pPr>
                    <w:pStyle w:val="13"/>
                    <w:ind w:firstLine="0" w:firstLineChars="0"/>
                    <w:rPr>
                      <w:rFonts w:hint="eastAsia"/>
                      <w:color w:val="auto"/>
                      <w:highlight w:val="none"/>
                      <w:lang w:val="en-US" w:eastAsia="zh-CN"/>
                    </w:rPr>
                  </w:pPr>
                  <w:r>
                    <w:rPr>
                      <w:color w:val="auto"/>
                      <w:highlight w:val="none"/>
                    </w:rPr>
                    <w:t>满足</w:t>
                  </w:r>
                </w:p>
              </w:tc>
              <w:tc>
                <w:tcPr>
                  <w:tcW w:w="382" w:type="pct"/>
                  <w:vAlign w:val="center"/>
                </w:tcPr>
                <w:p w14:paraId="4F42A5E6">
                  <w:pPr>
                    <w:pStyle w:val="13"/>
                    <w:ind w:firstLine="0" w:firstLineChars="0"/>
                    <w:rPr>
                      <w:rFonts w:hint="eastAsia"/>
                      <w:color w:val="auto"/>
                      <w:highlight w:val="none"/>
                      <w:lang w:val="en-US" w:eastAsia="zh-CN"/>
                    </w:rPr>
                  </w:pPr>
                  <w:r>
                    <w:rPr>
                      <w:rFonts w:hint="eastAsia"/>
                      <w:color w:val="auto"/>
                      <w:highlight w:val="none"/>
                    </w:rPr>
                    <w:t>满足</w:t>
                  </w:r>
                </w:p>
              </w:tc>
              <w:tc>
                <w:tcPr>
                  <w:tcW w:w="382" w:type="pct"/>
                  <w:vAlign w:val="center"/>
                </w:tcPr>
                <w:p w14:paraId="365A3D8E">
                  <w:pPr>
                    <w:pStyle w:val="13"/>
                    <w:ind w:firstLine="0" w:firstLineChars="0"/>
                    <w:rPr>
                      <w:rFonts w:hint="eastAsia"/>
                      <w:color w:val="auto"/>
                      <w:highlight w:val="none"/>
                      <w:lang w:val="en-US" w:eastAsia="zh-CN"/>
                    </w:rPr>
                  </w:pPr>
                  <w:r>
                    <w:rPr>
                      <w:color w:val="auto"/>
                      <w:highlight w:val="none"/>
                    </w:rPr>
                    <w:t>满足</w:t>
                  </w:r>
                </w:p>
              </w:tc>
              <w:tc>
                <w:tcPr>
                  <w:tcW w:w="382" w:type="pct"/>
                  <w:vAlign w:val="center"/>
                </w:tcPr>
                <w:p w14:paraId="5537E0FC">
                  <w:pPr>
                    <w:pStyle w:val="13"/>
                    <w:ind w:firstLine="0" w:firstLineChars="0"/>
                    <w:rPr>
                      <w:rFonts w:hint="eastAsia"/>
                      <w:color w:val="auto"/>
                      <w:highlight w:val="none"/>
                      <w:lang w:val="en-US" w:eastAsia="zh-CN"/>
                    </w:rPr>
                  </w:pPr>
                  <w:r>
                    <w:rPr>
                      <w:rFonts w:hint="eastAsia"/>
                      <w:color w:val="auto"/>
                      <w:highlight w:val="none"/>
                    </w:rPr>
                    <w:t>满足</w:t>
                  </w:r>
                </w:p>
              </w:tc>
              <w:tc>
                <w:tcPr>
                  <w:tcW w:w="382" w:type="pct"/>
                  <w:vAlign w:val="center"/>
                </w:tcPr>
                <w:p w14:paraId="7270D302">
                  <w:pPr>
                    <w:pStyle w:val="13"/>
                    <w:ind w:firstLine="0" w:firstLineChars="0"/>
                    <w:rPr>
                      <w:rFonts w:hint="eastAsia"/>
                      <w:color w:val="auto"/>
                      <w:highlight w:val="none"/>
                      <w:lang w:val="en-US" w:eastAsia="zh-CN"/>
                    </w:rPr>
                  </w:pPr>
                  <w:r>
                    <w:rPr>
                      <w:color w:val="auto"/>
                      <w:highlight w:val="none"/>
                    </w:rPr>
                    <w:t>满足</w:t>
                  </w:r>
                </w:p>
              </w:tc>
              <w:tc>
                <w:tcPr>
                  <w:tcW w:w="385" w:type="pct"/>
                  <w:vAlign w:val="center"/>
                </w:tcPr>
                <w:p w14:paraId="33A0C987">
                  <w:pPr>
                    <w:pStyle w:val="13"/>
                    <w:ind w:firstLine="0" w:firstLineChars="0"/>
                    <w:rPr>
                      <w:rFonts w:hint="eastAsia"/>
                      <w:color w:val="auto"/>
                      <w:highlight w:val="none"/>
                    </w:rPr>
                  </w:pPr>
                  <w:r>
                    <w:rPr>
                      <w:rFonts w:hint="eastAsia"/>
                      <w:color w:val="auto"/>
                      <w:highlight w:val="none"/>
                    </w:rPr>
                    <w:t>满足</w:t>
                  </w:r>
                </w:p>
              </w:tc>
            </w:tr>
          </w:tbl>
          <w:p w14:paraId="3CB0B309">
            <w:pPr>
              <w:pStyle w:val="14"/>
              <w:spacing w:before="156"/>
              <w:rPr>
                <w:color w:val="auto"/>
                <w:highlight w:val="none"/>
                <w:lang w:val="zh-CN"/>
              </w:rPr>
            </w:pPr>
            <w:r>
              <w:rPr>
                <w:rFonts w:hint="eastAsia"/>
                <w:color w:val="auto"/>
                <w:highlight w:val="none"/>
              </w:rPr>
              <w:t>表4</w:t>
            </w:r>
            <w:r>
              <w:rPr>
                <w:rFonts w:hint="eastAsia"/>
                <w:color w:val="auto"/>
                <w:highlight w:val="none"/>
                <w:lang w:val="zh-CN"/>
              </w:rPr>
              <w:t>-</w:t>
            </w:r>
            <w:r>
              <w:rPr>
                <w:rFonts w:hint="eastAsia"/>
                <w:color w:val="auto"/>
                <w:highlight w:val="none"/>
                <w:lang w:val="en-US" w:eastAsia="zh-CN"/>
              </w:rPr>
              <w:t>7</w:t>
            </w:r>
            <w:r>
              <w:rPr>
                <w:rFonts w:hint="eastAsia"/>
                <w:color w:val="auto"/>
                <w:highlight w:val="none"/>
                <w:lang w:val="zh-CN"/>
              </w:rPr>
              <w:t xml:space="preserve">  废水类别、污染物及污染治理设施信息表</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66"/>
              <w:gridCol w:w="3861"/>
              <w:gridCol w:w="3783"/>
              <w:gridCol w:w="884"/>
              <w:gridCol w:w="856"/>
              <w:gridCol w:w="1111"/>
              <w:gridCol w:w="1279"/>
              <w:gridCol w:w="1142"/>
            </w:tblGrid>
            <w:tr w14:paraId="496DD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381" w:type="pct"/>
                  <w:vAlign w:val="center"/>
                </w:tcPr>
                <w:p w14:paraId="61D1243A">
                  <w:pPr>
                    <w:pStyle w:val="13"/>
                    <w:rPr>
                      <w:b/>
                      <w:bCs/>
                      <w:color w:val="auto"/>
                      <w:highlight w:val="none"/>
                    </w:rPr>
                  </w:pPr>
                  <w:r>
                    <w:rPr>
                      <w:rFonts w:hint="eastAsia"/>
                      <w:b/>
                      <w:bCs/>
                      <w:color w:val="auto"/>
                      <w:highlight w:val="none"/>
                    </w:rPr>
                    <w:t>废水类别</w:t>
                  </w:r>
                </w:p>
              </w:tc>
              <w:tc>
                <w:tcPr>
                  <w:tcW w:w="1380" w:type="pct"/>
                  <w:vAlign w:val="center"/>
                </w:tcPr>
                <w:p w14:paraId="2F67BB9C">
                  <w:pPr>
                    <w:pStyle w:val="13"/>
                    <w:rPr>
                      <w:b/>
                      <w:bCs/>
                      <w:color w:val="auto"/>
                      <w:highlight w:val="none"/>
                    </w:rPr>
                  </w:pPr>
                  <w:r>
                    <w:rPr>
                      <w:rFonts w:hint="eastAsia"/>
                      <w:b/>
                      <w:bCs/>
                      <w:color w:val="auto"/>
                      <w:highlight w:val="none"/>
                    </w:rPr>
                    <w:t>污染物种类</w:t>
                  </w:r>
                </w:p>
              </w:tc>
              <w:tc>
                <w:tcPr>
                  <w:tcW w:w="1352" w:type="pct"/>
                  <w:vAlign w:val="center"/>
                </w:tcPr>
                <w:p w14:paraId="399510C9">
                  <w:pPr>
                    <w:pStyle w:val="13"/>
                    <w:rPr>
                      <w:b/>
                      <w:bCs/>
                      <w:color w:val="auto"/>
                      <w:highlight w:val="none"/>
                    </w:rPr>
                  </w:pPr>
                  <w:r>
                    <w:rPr>
                      <w:rFonts w:hint="eastAsia"/>
                      <w:b/>
                      <w:bCs/>
                      <w:color w:val="auto"/>
                      <w:highlight w:val="none"/>
                    </w:rPr>
                    <w:t>排放去向</w:t>
                  </w:r>
                </w:p>
              </w:tc>
              <w:tc>
                <w:tcPr>
                  <w:tcW w:w="316" w:type="pct"/>
                  <w:vAlign w:val="center"/>
                </w:tcPr>
                <w:p w14:paraId="26B1C2F1">
                  <w:pPr>
                    <w:pStyle w:val="13"/>
                    <w:rPr>
                      <w:b/>
                      <w:bCs/>
                      <w:color w:val="auto"/>
                      <w:highlight w:val="none"/>
                    </w:rPr>
                  </w:pPr>
                  <w:r>
                    <w:rPr>
                      <w:rFonts w:hint="eastAsia"/>
                      <w:b/>
                      <w:bCs/>
                      <w:color w:val="auto"/>
                      <w:highlight w:val="none"/>
                    </w:rPr>
                    <w:t>排放规律</w:t>
                  </w:r>
                </w:p>
              </w:tc>
              <w:tc>
                <w:tcPr>
                  <w:tcW w:w="306" w:type="pct"/>
                  <w:vAlign w:val="center"/>
                </w:tcPr>
                <w:p w14:paraId="0C905BD0">
                  <w:pPr>
                    <w:pStyle w:val="13"/>
                    <w:rPr>
                      <w:b/>
                      <w:bCs/>
                      <w:color w:val="auto"/>
                      <w:highlight w:val="none"/>
                    </w:rPr>
                  </w:pPr>
                  <w:r>
                    <w:rPr>
                      <w:rFonts w:hint="eastAsia"/>
                      <w:b/>
                      <w:bCs/>
                      <w:color w:val="auto"/>
                      <w:highlight w:val="none"/>
                    </w:rPr>
                    <w:t>治理措施</w:t>
                  </w:r>
                </w:p>
              </w:tc>
              <w:tc>
                <w:tcPr>
                  <w:tcW w:w="397" w:type="pct"/>
                  <w:vAlign w:val="center"/>
                </w:tcPr>
                <w:p w14:paraId="191F0040">
                  <w:pPr>
                    <w:pStyle w:val="13"/>
                    <w:rPr>
                      <w:b/>
                      <w:bCs/>
                      <w:color w:val="auto"/>
                      <w:highlight w:val="none"/>
                    </w:rPr>
                  </w:pPr>
                  <w:r>
                    <w:rPr>
                      <w:rFonts w:hint="eastAsia"/>
                      <w:b/>
                      <w:bCs/>
                      <w:color w:val="auto"/>
                      <w:highlight w:val="none"/>
                    </w:rPr>
                    <w:t>排放口编号</w:t>
                  </w:r>
                </w:p>
              </w:tc>
              <w:tc>
                <w:tcPr>
                  <w:tcW w:w="457" w:type="pct"/>
                  <w:vAlign w:val="center"/>
                </w:tcPr>
                <w:p w14:paraId="555947E1">
                  <w:pPr>
                    <w:pStyle w:val="13"/>
                    <w:rPr>
                      <w:b/>
                      <w:bCs/>
                      <w:color w:val="auto"/>
                      <w:highlight w:val="none"/>
                    </w:rPr>
                  </w:pPr>
                  <w:r>
                    <w:rPr>
                      <w:rFonts w:hint="eastAsia"/>
                      <w:b/>
                      <w:bCs/>
                      <w:color w:val="auto"/>
                      <w:highlight w:val="none"/>
                    </w:rPr>
                    <w:t>排放口符合性</w:t>
                  </w:r>
                </w:p>
              </w:tc>
              <w:tc>
                <w:tcPr>
                  <w:tcW w:w="408" w:type="pct"/>
                  <w:vAlign w:val="center"/>
                </w:tcPr>
                <w:p w14:paraId="5D275828">
                  <w:pPr>
                    <w:pStyle w:val="13"/>
                    <w:rPr>
                      <w:b/>
                      <w:bCs/>
                      <w:color w:val="auto"/>
                      <w:highlight w:val="none"/>
                    </w:rPr>
                  </w:pPr>
                  <w:r>
                    <w:rPr>
                      <w:rFonts w:hint="eastAsia"/>
                      <w:b/>
                      <w:bCs/>
                      <w:color w:val="auto"/>
                      <w:highlight w:val="none"/>
                    </w:rPr>
                    <w:t>排放口类型</w:t>
                  </w:r>
                </w:p>
              </w:tc>
            </w:tr>
            <w:tr w14:paraId="17F9A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4" w:hRule="atLeast"/>
                <w:jc w:val="center"/>
              </w:trPr>
              <w:tc>
                <w:tcPr>
                  <w:tcW w:w="381" w:type="pct"/>
                  <w:vAlign w:val="center"/>
                </w:tcPr>
                <w:p w14:paraId="15471988">
                  <w:pPr>
                    <w:pStyle w:val="13"/>
                    <w:rPr>
                      <w:color w:val="auto"/>
                      <w:highlight w:val="none"/>
                    </w:rPr>
                  </w:pPr>
                  <w:r>
                    <w:rPr>
                      <w:rFonts w:hint="eastAsia"/>
                      <w:color w:val="auto"/>
                      <w:highlight w:val="none"/>
                      <w:lang w:val="en-US" w:eastAsia="zh-CN"/>
                    </w:rPr>
                    <w:t>调质废水、</w:t>
                  </w:r>
                  <w:r>
                    <w:rPr>
                      <w:rFonts w:hint="eastAsia"/>
                      <w:color w:val="auto"/>
                      <w:highlight w:val="none"/>
                    </w:rPr>
                    <w:t>生活污水</w:t>
                  </w:r>
                </w:p>
              </w:tc>
              <w:tc>
                <w:tcPr>
                  <w:tcW w:w="1380" w:type="pct"/>
                  <w:vAlign w:val="center"/>
                </w:tcPr>
                <w:p w14:paraId="63AB2E87">
                  <w:pPr>
                    <w:pStyle w:val="13"/>
                    <w:rPr>
                      <w:color w:val="auto"/>
                      <w:highlight w:val="none"/>
                    </w:rPr>
                  </w:pPr>
                  <w:r>
                    <w:rPr>
                      <w:rFonts w:hint="eastAsia"/>
                      <w:color w:val="auto"/>
                      <w:highlight w:val="none"/>
                    </w:rPr>
                    <w:t>pH</w:t>
                  </w:r>
                  <w:r>
                    <w:rPr>
                      <w:rFonts w:hint="eastAsia"/>
                      <w:color w:val="auto"/>
                      <w:highlight w:val="none"/>
                      <w:lang w:eastAsia="zh-CN"/>
                    </w:rPr>
                    <w:t>、</w:t>
                  </w:r>
                  <w:r>
                    <w:rPr>
                      <w:rFonts w:hint="eastAsia"/>
                      <w:color w:val="auto"/>
                      <w:highlight w:val="none"/>
                    </w:rPr>
                    <w:t>色度</w:t>
                  </w:r>
                  <w:r>
                    <w:rPr>
                      <w:rFonts w:hint="eastAsia"/>
                      <w:color w:val="auto"/>
                      <w:highlight w:val="none"/>
                      <w:lang w:eastAsia="zh-CN"/>
                    </w:rPr>
                    <w:t>、</w:t>
                  </w:r>
                  <w:r>
                    <w:rPr>
                      <w:rFonts w:hint="eastAsia"/>
                      <w:color w:val="auto"/>
                      <w:highlight w:val="none"/>
                    </w:rPr>
                    <w:t>SS</w:t>
                  </w:r>
                  <w:r>
                    <w:rPr>
                      <w:rFonts w:hint="eastAsia"/>
                      <w:color w:val="auto"/>
                      <w:highlight w:val="none"/>
                      <w:lang w:eastAsia="zh-CN"/>
                    </w:rPr>
                    <w:t>、</w:t>
                  </w:r>
                  <w:r>
                    <w:rPr>
                      <w:rFonts w:hint="eastAsia"/>
                      <w:color w:val="auto"/>
                      <w:highlight w:val="none"/>
                    </w:rPr>
                    <w:t>BOD</w:t>
                  </w:r>
                  <w:r>
                    <w:rPr>
                      <w:rFonts w:hint="eastAsia"/>
                      <w:color w:val="auto"/>
                      <w:highlight w:val="none"/>
                      <w:vertAlign w:val="subscript"/>
                    </w:rPr>
                    <w:t>5</w:t>
                  </w:r>
                  <w:r>
                    <w:rPr>
                      <w:rFonts w:hint="eastAsia"/>
                      <w:color w:val="auto"/>
                      <w:highlight w:val="none"/>
                      <w:lang w:eastAsia="zh-CN"/>
                    </w:rPr>
                    <w:t>、</w:t>
                  </w:r>
                  <w:r>
                    <w:rPr>
                      <w:rFonts w:hint="eastAsia"/>
                      <w:color w:val="auto"/>
                      <w:highlight w:val="none"/>
                    </w:rPr>
                    <w:t>COD</w:t>
                  </w:r>
                  <w:r>
                    <w:rPr>
                      <w:rFonts w:hint="eastAsia"/>
                      <w:color w:val="auto"/>
                      <w:highlight w:val="none"/>
                      <w:lang w:eastAsia="zh-CN"/>
                    </w:rPr>
                    <w:t>、</w:t>
                  </w:r>
                  <w:r>
                    <w:rPr>
                      <w:rFonts w:hint="eastAsia"/>
                      <w:color w:val="auto"/>
                      <w:highlight w:val="none"/>
                    </w:rPr>
                    <w:t>NH</w:t>
                  </w:r>
                  <w:r>
                    <w:rPr>
                      <w:rFonts w:hint="eastAsia"/>
                      <w:color w:val="auto"/>
                      <w:highlight w:val="none"/>
                      <w:vertAlign w:val="subscript"/>
                    </w:rPr>
                    <w:t>3</w:t>
                  </w:r>
                  <w:r>
                    <w:rPr>
                      <w:rFonts w:hint="eastAsia"/>
                      <w:color w:val="auto"/>
                      <w:highlight w:val="none"/>
                    </w:rPr>
                    <w:t>-N</w:t>
                  </w:r>
                  <w:r>
                    <w:rPr>
                      <w:rFonts w:hint="eastAsia"/>
                      <w:color w:val="auto"/>
                      <w:highlight w:val="none"/>
                      <w:lang w:eastAsia="zh-CN"/>
                    </w:rPr>
                    <w:t>、</w:t>
                  </w:r>
                  <w:r>
                    <w:rPr>
                      <w:rFonts w:hint="eastAsia"/>
                      <w:color w:val="auto"/>
                      <w:highlight w:val="none"/>
                    </w:rPr>
                    <w:t>TN</w:t>
                  </w:r>
                  <w:r>
                    <w:rPr>
                      <w:rFonts w:hint="eastAsia"/>
                      <w:color w:val="auto"/>
                      <w:highlight w:val="none"/>
                      <w:lang w:eastAsia="zh-CN"/>
                    </w:rPr>
                    <w:t>、</w:t>
                  </w:r>
                  <w:r>
                    <w:rPr>
                      <w:rFonts w:hint="eastAsia"/>
                      <w:color w:val="auto"/>
                      <w:highlight w:val="none"/>
                    </w:rPr>
                    <w:t>TP</w:t>
                  </w:r>
                  <w:r>
                    <w:rPr>
                      <w:rFonts w:hint="eastAsia"/>
                      <w:color w:val="auto"/>
                      <w:highlight w:val="none"/>
                      <w:lang w:eastAsia="zh-CN"/>
                    </w:rPr>
                    <w:t>、</w:t>
                  </w:r>
                  <w:r>
                    <w:rPr>
                      <w:rFonts w:hint="eastAsia"/>
                      <w:color w:val="auto"/>
                      <w:highlight w:val="none"/>
                    </w:rPr>
                    <w:t>动植物油</w:t>
                  </w:r>
                </w:p>
              </w:tc>
              <w:tc>
                <w:tcPr>
                  <w:tcW w:w="1352" w:type="pct"/>
                  <w:vAlign w:val="center"/>
                </w:tcPr>
                <w:p w14:paraId="3924CCC2">
                  <w:pPr>
                    <w:pStyle w:val="13"/>
                    <w:rPr>
                      <w:color w:val="auto"/>
                      <w:highlight w:val="none"/>
                    </w:rPr>
                  </w:pPr>
                  <w:r>
                    <w:rPr>
                      <w:rFonts w:hint="eastAsia"/>
                      <w:color w:val="auto"/>
                      <w:highlight w:val="none"/>
                    </w:rPr>
                    <w:t>废水总排口-市政污水管网-酉华镇污水处理站-七星河</w:t>
                  </w:r>
                </w:p>
              </w:tc>
              <w:tc>
                <w:tcPr>
                  <w:tcW w:w="316" w:type="pct"/>
                  <w:vAlign w:val="center"/>
                </w:tcPr>
                <w:p w14:paraId="53CFEE8A">
                  <w:pPr>
                    <w:pStyle w:val="13"/>
                    <w:rPr>
                      <w:color w:val="auto"/>
                      <w:highlight w:val="none"/>
                    </w:rPr>
                  </w:pPr>
                  <w:r>
                    <w:rPr>
                      <w:rFonts w:hint="eastAsia"/>
                      <w:color w:val="auto"/>
                      <w:highlight w:val="none"/>
                    </w:rPr>
                    <w:t>间歇排放</w:t>
                  </w:r>
                </w:p>
              </w:tc>
              <w:tc>
                <w:tcPr>
                  <w:tcW w:w="306" w:type="pct"/>
                  <w:vAlign w:val="center"/>
                </w:tcPr>
                <w:p w14:paraId="6AFF0995">
                  <w:pPr>
                    <w:pStyle w:val="13"/>
                    <w:rPr>
                      <w:color w:val="auto"/>
                      <w:highlight w:val="none"/>
                    </w:rPr>
                  </w:pPr>
                  <w:r>
                    <w:rPr>
                      <w:rFonts w:hint="eastAsia"/>
                      <w:color w:val="auto"/>
                      <w:highlight w:val="none"/>
                    </w:rPr>
                    <w:t>/</w:t>
                  </w:r>
                </w:p>
              </w:tc>
              <w:tc>
                <w:tcPr>
                  <w:tcW w:w="397" w:type="pct"/>
                  <w:vAlign w:val="center"/>
                </w:tcPr>
                <w:p w14:paraId="551F9715">
                  <w:pPr>
                    <w:pStyle w:val="13"/>
                    <w:rPr>
                      <w:color w:val="auto"/>
                      <w:highlight w:val="none"/>
                    </w:rPr>
                  </w:pPr>
                  <w:r>
                    <w:rPr>
                      <w:rFonts w:hint="eastAsia"/>
                      <w:color w:val="auto"/>
                      <w:highlight w:val="none"/>
                    </w:rPr>
                    <w:t>DW001</w:t>
                  </w:r>
                </w:p>
              </w:tc>
              <w:tc>
                <w:tcPr>
                  <w:tcW w:w="457" w:type="pct"/>
                  <w:vAlign w:val="center"/>
                </w:tcPr>
                <w:p w14:paraId="37F3E782">
                  <w:pPr>
                    <w:pStyle w:val="13"/>
                    <w:rPr>
                      <w:color w:val="auto"/>
                      <w:highlight w:val="none"/>
                    </w:rPr>
                  </w:pPr>
                  <w:r>
                    <w:rPr>
                      <w:rFonts w:hint="eastAsia"/>
                      <w:color w:val="auto"/>
                      <w:highlight w:val="none"/>
                    </w:rPr>
                    <w:t>符合</w:t>
                  </w:r>
                </w:p>
              </w:tc>
              <w:tc>
                <w:tcPr>
                  <w:tcW w:w="408" w:type="pct"/>
                  <w:vAlign w:val="center"/>
                </w:tcPr>
                <w:p w14:paraId="230528C4">
                  <w:pPr>
                    <w:pStyle w:val="13"/>
                    <w:rPr>
                      <w:color w:val="auto"/>
                      <w:highlight w:val="none"/>
                    </w:rPr>
                  </w:pPr>
                  <w:r>
                    <w:rPr>
                      <w:rFonts w:hint="eastAsia"/>
                      <w:color w:val="auto"/>
                      <w:highlight w:val="none"/>
                    </w:rPr>
                    <w:t>企业总排</w:t>
                  </w:r>
                </w:p>
              </w:tc>
            </w:tr>
          </w:tbl>
          <w:p w14:paraId="2CE229D5">
            <w:pPr>
              <w:pStyle w:val="14"/>
              <w:spacing w:before="156"/>
              <w:rPr>
                <w:rFonts w:hint="eastAsia"/>
                <w:color w:val="auto"/>
                <w:highlight w:val="none"/>
              </w:rPr>
            </w:pPr>
          </w:p>
          <w:p w14:paraId="6CD86C1C">
            <w:pPr>
              <w:pStyle w:val="14"/>
              <w:spacing w:before="156"/>
              <w:rPr>
                <w:rFonts w:hint="eastAsia"/>
                <w:color w:val="auto"/>
                <w:highlight w:val="none"/>
              </w:rPr>
            </w:pPr>
          </w:p>
          <w:p w14:paraId="3D7F9C89">
            <w:pPr>
              <w:pStyle w:val="14"/>
              <w:spacing w:before="156"/>
              <w:rPr>
                <w:rFonts w:hint="eastAsia"/>
                <w:color w:val="auto"/>
                <w:highlight w:val="none"/>
              </w:rPr>
            </w:pPr>
          </w:p>
          <w:p w14:paraId="390777B7">
            <w:pPr>
              <w:pStyle w:val="14"/>
              <w:spacing w:before="156"/>
              <w:rPr>
                <w:rFonts w:hint="eastAsia"/>
                <w:color w:val="auto"/>
                <w:highlight w:val="none"/>
              </w:rPr>
            </w:pPr>
          </w:p>
          <w:p w14:paraId="5F64C339">
            <w:pPr>
              <w:pStyle w:val="14"/>
              <w:spacing w:before="156"/>
              <w:rPr>
                <w:rFonts w:hint="eastAsia"/>
                <w:color w:val="auto"/>
                <w:highlight w:val="none"/>
              </w:rPr>
            </w:pPr>
            <w:r>
              <w:rPr>
                <w:rFonts w:hint="eastAsia"/>
                <w:color w:val="auto"/>
                <w:highlight w:val="none"/>
              </w:rPr>
              <w:t>表4-</w:t>
            </w:r>
            <w:r>
              <w:rPr>
                <w:rFonts w:hint="eastAsia"/>
                <w:color w:val="auto"/>
                <w:highlight w:val="none"/>
                <w:lang w:val="en-US" w:eastAsia="zh-CN"/>
              </w:rPr>
              <w:t>8</w:t>
            </w:r>
            <w:r>
              <w:rPr>
                <w:rFonts w:hint="eastAsia"/>
                <w:color w:val="auto"/>
                <w:highlight w:val="none"/>
              </w:rPr>
              <w:t xml:space="preserve">  废水间接排放口基本情况表</w:t>
            </w:r>
          </w:p>
          <w:tbl>
            <w:tblPr>
              <w:tblStyle w:val="9"/>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434"/>
              <w:gridCol w:w="985"/>
              <w:gridCol w:w="1624"/>
              <w:gridCol w:w="1537"/>
              <w:gridCol w:w="1293"/>
              <w:gridCol w:w="658"/>
              <w:gridCol w:w="658"/>
              <w:gridCol w:w="851"/>
              <w:gridCol w:w="1262"/>
              <w:gridCol w:w="1293"/>
              <w:gridCol w:w="2827"/>
              <w:gridCol w:w="568"/>
            </w:tblGrid>
            <w:tr w14:paraId="3A8F578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5" w:type="pct"/>
                  <w:vMerge w:val="restart"/>
                  <w:vAlign w:val="center"/>
                </w:tcPr>
                <w:p w14:paraId="6759634B">
                  <w:pPr>
                    <w:pStyle w:val="13"/>
                    <w:rPr>
                      <w:b/>
                      <w:bCs/>
                      <w:color w:val="auto"/>
                      <w:highlight w:val="none"/>
                    </w:rPr>
                  </w:pPr>
                  <w:r>
                    <w:rPr>
                      <w:rFonts w:hint="eastAsia"/>
                      <w:b/>
                      <w:bCs/>
                      <w:color w:val="auto"/>
                      <w:highlight w:val="none"/>
                    </w:rPr>
                    <w:t>序号</w:t>
                  </w:r>
                </w:p>
              </w:tc>
              <w:tc>
                <w:tcPr>
                  <w:tcW w:w="352" w:type="pct"/>
                  <w:vMerge w:val="restart"/>
                  <w:vAlign w:val="center"/>
                </w:tcPr>
                <w:p w14:paraId="2484B979">
                  <w:pPr>
                    <w:pStyle w:val="13"/>
                    <w:rPr>
                      <w:b/>
                      <w:bCs/>
                      <w:color w:val="auto"/>
                      <w:highlight w:val="none"/>
                    </w:rPr>
                  </w:pPr>
                  <w:r>
                    <w:rPr>
                      <w:rFonts w:hint="eastAsia"/>
                      <w:b/>
                      <w:bCs/>
                      <w:color w:val="auto"/>
                      <w:highlight w:val="none"/>
                    </w:rPr>
                    <w:t>排放口编号</w:t>
                  </w:r>
                </w:p>
              </w:tc>
              <w:tc>
                <w:tcPr>
                  <w:tcW w:w="1129" w:type="pct"/>
                  <w:gridSpan w:val="2"/>
                  <w:vAlign w:val="center"/>
                </w:tcPr>
                <w:p w14:paraId="0F3E3CF3">
                  <w:pPr>
                    <w:pStyle w:val="13"/>
                    <w:rPr>
                      <w:b/>
                      <w:bCs/>
                      <w:color w:val="auto"/>
                      <w:highlight w:val="none"/>
                    </w:rPr>
                  </w:pPr>
                  <w:r>
                    <w:rPr>
                      <w:rFonts w:hint="eastAsia"/>
                      <w:b/>
                      <w:bCs/>
                      <w:color w:val="auto"/>
                      <w:highlight w:val="none"/>
                    </w:rPr>
                    <w:t>排放口地理坐标</w:t>
                  </w:r>
                </w:p>
              </w:tc>
              <w:tc>
                <w:tcPr>
                  <w:tcW w:w="462" w:type="pct"/>
                  <w:vMerge w:val="restart"/>
                  <w:vAlign w:val="center"/>
                </w:tcPr>
                <w:p w14:paraId="3A06AB7C">
                  <w:pPr>
                    <w:pStyle w:val="13"/>
                    <w:rPr>
                      <w:b/>
                      <w:bCs/>
                      <w:color w:val="auto"/>
                      <w:highlight w:val="none"/>
                    </w:rPr>
                  </w:pPr>
                  <w:r>
                    <w:rPr>
                      <w:rFonts w:hint="eastAsia"/>
                      <w:b/>
                      <w:bCs/>
                      <w:color w:val="auto"/>
                      <w:highlight w:val="none"/>
                    </w:rPr>
                    <w:t>废水排放量（t/a）</w:t>
                  </w:r>
                </w:p>
              </w:tc>
              <w:tc>
                <w:tcPr>
                  <w:tcW w:w="235" w:type="pct"/>
                  <w:vMerge w:val="restart"/>
                  <w:vAlign w:val="center"/>
                </w:tcPr>
                <w:p w14:paraId="2BEA269C">
                  <w:pPr>
                    <w:pStyle w:val="13"/>
                    <w:rPr>
                      <w:b/>
                      <w:bCs/>
                      <w:color w:val="auto"/>
                      <w:highlight w:val="none"/>
                    </w:rPr>
                  </w:pPr>
                  <w:r>
                    <w:rPr>
                      <w:rFonts w:hint="eastAsia"/>
                      <w:b/>
                      <w:bCs/>
                      <w:color w:val="auto"/>
                      <w:highlight w:val="none"/>
                    </w:rPr>
                    <w:t>排放去向</w:t>
                  </w:r>
                </w:p>
              </w:tc>
              <w:tc>
                <w:tcPr>
                  <w:tcW w:w="235" w:type="pct"/>
                  <w:vMerge w:val="restart"/>
                  <w:vAlign w:val="center"/>
                </w:tcPr>
                <w:p w14:paraId="3E006D3F">
                  <w:pPr>
                    <w:pStyle w:val="13"/>
                    <w:rPr>
                      <w:b/>
                      <w:bCs/>
                      <w:color w:val="auto"/>
                      <w:highlight w:val="none"/>
                    </w:rPr>
                  </w:pPr>
                  <w:r>
                    <w:rPr>
                      <w:rFonts w:hint="eastAsia"/>
                      <w:b/>
                      <w:bCs/>
                      <w:color w:val="auto"/>
                      <w:highlight w:val="none"/>
                    </w:rPr>
                    <w:t>排放规律</w:t>
                  </w:r>
                </w:p>
              </w:tc>
              <w:tc>
                <w:tcPr>
                  <w:tcW w:w="304" w:type="pct"/>
                  <w:vMerge w:val="restart"/>
                  <w:vAlign w:val="center"/>
                </w:tcPr>
                <w:p w14:paraId="41D45BB2">
                  <w:pPr>
                    <w:pStyle w:val="13"/>
                    <w:rPr>
                      <w:b/>
                      <w:bCs/>
                      <w:color w:val="auto"/>
                      <w:highlight w:val="none"/>
                    </w:rPr>
                  </w:pPr>
                  <w:r>
                    <w:rPr>
                      <w:rFonts w:hint="eastAsia"/>
                      <w:b/>
                      <w:bCs/>
                      <w:color w:val="auto"/>
                      <w:highlight w:val="none"/>
                    </w:rPr>
                    <w:t>间歇排放时段</w:t>
                  </w:r>
                </w:p>
              </w:tc>
              <w:tc>
                <w:tcPr>
                  <w:tcW w:w="1923" w:type="pct"/>
                  <w:gridSpan w:val="3"/>
                  <w:vAlign w:val="center"/>
                </w:tcPr>
                <w:p w14:paraId="5D25399E">
                  <w:pPr>
                    <w:pStyle w:val="13"/>
                    <w:rPr>
                      <w:b/>
                      <w:bCs/>
                      <w:color w:val="auto"/>
                      <w:highlight w:val="none"/>
                    </w:rPr>
                  </w:pPr>
                  <w:r>
                    <w:rPr>
                      <w:rFonts w:hint="eastAsia"/>
                      <w:b/>
                      <w:bCs/>
                      <w:color w:val="auto"/>
                      <w:highlight w:val="none"/>
                    </w:rPr>
                    <w:t>受纳污水处理站信息</w:t>
                  </w:r>
                </w:p>
              </w:tc>
              <w:tc>
                <w:tcPr>
                  <w:tcW w:w="203" w:type="pct"/>
                  <w:vMerge w:val="restart"/>
                  <w:vAlign w:val="center"/>
                </w:tcPr>
                <w:p w14:paraId="5C1260BB">
                  <w:pPr>
                    <w:pStyle w:val="13"/>
                    <w:rPr>
                      <w:b/>
                      <w:bCs/>
                      <w:color w:val="auto"/>
                      <w:highlight w:val="none"/>
                    </w:rPr>
                  </w:pPr>
                  <w:r>
                    <w:rPr>
                      <w:rFonts w:hint="eastAsia"/>
                      <w:b/>
                      <w:bCs/>
                      <w:color w:val="auto"/>
                      <w:highlight w:val="none"/>
                    </w:rPr>
                    <w:t>备注</w:t>
                  </w:r>
                </w:p>
              </w:tc>
            </w:tr>
            <w:tr w14:paraId="48F6679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5" w:type="pct"/>
                  <w:vMerge w:val="continue"/>
                  <w:vAlign w:val="center"/>
                </w:tcPr>
                <w:p w14:paraId="4EAC96DE">
                  <w:pPr>
                    <w:pStyle w:val="13"/>
                    <w:rPr>
                      <w:color w:val="auto"/>
                      <w:highlight w:val="none"/>
                    </w:rPr>
                  </w:pPr>
                </w:p>
              </w:tc>
              <w:tc>
                <w:tcPr>
                  <w:tcW w:w="352" w:type="pct"/>
                  <w:vMerge w:val="continue"/>
                  <w:vAlign w:val="center"/>
                </w:tcPr>
                <w:p w14:paraId="0BFFBC83">
                  <w:pPr>
                    <w:pStyle w:val="13"/>
                    <w:rPr>
                      <w:color w:val="auto"/>
                      <w:highlight w:val="none"/>
                    </w:rPr>
                  </w:pPr>
                </w:p>
              </w:tc>
              <w:tc>
                <w:tcPr>
                  <w:tcW w:w="580" w:type="pct"/>
                  <w:vAlign w:val="center"/>
                </w:tcPr>
                <w:p w14:paraId="6C45B465">
                  <w:pPr>
                    <w:pStyle w:val="13"/>
                    <w:rPr>
                      <w:b/>
                      <w:bCs/>
                      <w:color w:val="auto"/>
                      <w:highlight w:val="none"/>
                    </w:rPr>
                  </w:pPr>
                  <w:r>
                    <w:rPr>
                      <w:rFonts w:hint="eastAsia"/>
                      <w:b/>
                      <w:bCs/>
                      <w:color w:val="auto"/>
                      <w:highlight w:val="none"/>
                    </w:rPr>
                    <w:t>经度</w:t>
                  </w:r>
                </w:p>
              </w:tc>
              <w:tc>
                <w:tcPr>
                  <w:tcW w:w="549" w:type="pct"/>
                  <w:vAlign w:val="center"/>
                </w:tcPr>
                <w:p w14:paraId="79020E9B">
                  <w:pPr>
                    <w:pStyle w:val="13"/>
                    <w:rPr>
                      <w:b/>
                      <w:bCs/>
                      <w:color w:val="auto"/>
                      <w:highlight w:val="none"/>
                    </w:rPr>
                  </w:pPr>
                  <w:r>
                    <w:rPr>
                      <w:rFonts w:hint="eastAsia"/>
                      <w:b/>
                      <w:bCs/>
                      <w:color w:val="auto"/>
                      <w:highlight w:val="none"/>
                    </w:rPr>
                    <w:t>纬度</w:t>
                  </w:r>
                </w:p>
              </w:tc>
              <w:tc>
                <w:tcPr>
                  <w:tcW w:w="462" w:type="pct"/>
                  <w:vMerge w:val="continue"/>
                  <w:vAlign w:val="center"/>
                </w:tcPr>
                <w:p w14:paraId="30005971">
                  <w:pPr>
                    <w:pStyle w:val="13"/>
                    <w:rPr>
                      <w:color w:val="auto"/>
                      <w:highlight w:val="none"/>
                    </w:rPr>
                  </w:pPr>
                </w:p>
              </w:tc>
              <w:tc>
                <w:tcPr>
                  <w:tcW w:w="235" w:type="pct"/>
                  <w:vMerge w:val="continue"/>
                  <w:vAlign w:val="center"/>
                </w:tcPr>
                <w:p w14:paraId="2AA4A3B4">
                  <w:pPr>
                    <w:pStyle w:val="13"/>
                    <w:rPr>
                      <w:color w:val="auto"/>
                      <w:highlight w:val="none"/>
                    </w:rPr>
                  </w:pPr>
                </w:p>
              </w:tc>
              <w:tc>
                <w:tcPr>
                  <w:tcW w:w="235" w:type="pct"/>
                  <w:vMerge w:val="continue"/>
                  <w:vAlign w:val="center"/>
                </w:tcPr>
                <w:p w14:paraId="38DF4F40">
                  <w:pPr>
                    <w:pStyle w:val="13"/>
                    <w:rPr>
                      <w:color w:val="auto"/>
                      <w:highlight w:val="none"/>
                    </w:rPr>
                  </w:pPr>
                </w:p>
              </w:tc>
              <w:tc>
                <w:tcPr>
                  <w:tcW w:w="304" w:type="pct"/>
                  <w:vMerge w:val="continue"/>
                  <w:vAlign w:val="center"/>
                </w:tcPr>
                <w:p w14:paraId="7E666696">
                  <w:pPr>
                    <w:pStyle w:val="13"/>
                    <w:rPr>
                      <w:color w:val="auto"/>
                      <w:highlight w:val="none"/>
                    </w:rPr>
                  </w:pPr>
                </w:p>
              </w:tc>
              <w:tc>
                <w:tcPr>
                  <w:tcW w:w="451" w:type="pct"/>
                  <w:vAlign w:val="center"/>
                </w:tcPr>
                <w:p w14:paraId="727F8990">
                  <w:pPr>
                    <w:pStyle w:val="13"/>
                    <w:rPr>
                      <w:b/>
                      <w:bCs/>
                      <w:color w:val="auto"/>
                      <w:highlight w:val="none"/>
                    </w:rPr>
                  </w:pPr>
                  <w:r>
                    <w:rPr>
                      <w:rFonts w:hint="eastAsia"/>
                      <w:b/>
                      <w:bCs/>
                      <w:color w:val="auto"/>
                      <w:highlight w:val="none"/>
                    </w:rPr>
                    <w:t>名称</w:t>
                  </w:r>
                </w:p>
              </w:tc>
              <w:tc>
                <w:tcPr>
                  <w:tcW w:w="462" w:type="pct"/>
                  <w:vAlign w:val="center"/>
                </w:tcPr>
                <w:p w14:paraId="2661D648">
                  <w:pPr>
                    <w:pStyle w:val="13"/>
                    <w:rPr>
                      <w:b/>
                      <w:bCs/>
                      <w:color w:val="auto"/>
                      <w:highlight w:val="none"/>
                    </w:rPr>
                  </w:pPr>
                  <w:r>
                    <w:rPr>
                      <w:rFonts w:hint="eastAsia"/>
                      <w:b/>
                      <w:bCs/>
                      <w:color w:val="auto"/>
                      <w:highlight w:val="none"/>
                    </w:rPr>
                    <w:t>污染物种类</w:t>
                  </w:r>
                </w:p>
              </w:tc>
              <w:tc>
                <w:tcPr>
                  <w:tcW w:w="1010" w:type="pct"/>
                  <w:vAlign w:val="center"/>
                </w:tcPr>
                <w:p w14:paraId="372C7034">
                  <w:pPr>
                    <w:pStyle w:val="13"/>
                    <w:rPr>
                      <w:b/>
                      <w:bCs/>
                      <w:color w:val="auto"/>
                      <w:highlight w:val="none"/>
                    </w:rPr>
                  </w:pPr>
                  <w:r>
                    <w:rPr>
                      <w:rFonts w:hint="eastAsia"/>
                      <w:b/>
                      <w:bCs/>
                      <w:color w:val="auto"/>
                      <w:highlight w:val="none"/>
                    </w:rPr>
                    <w:t>国家或接管标准限值（mg/L）</w:t>
                  </w:r>
                </w:p>
              </w:tc>
              <w:tc>
                <w:tcPr>
                  <w:tcW w:w="203" w:type="pct"/>
                  <w:vMerge w:val="continue"/>
                  <w:vAlign w:val="center"/>
                </w:tcPr>
                <w:p w14:paraId="5E8706FC">
                  <w:pPr>
                    <w:pStyle w:val="13"/>
                    <w:rPr>
                      <w:color w:val="auto"/>
                      <w:highlight w:val="none"/>
                    </w:rPr>
                  </w:pPr>
                </w:p>
              </w:tc>
            </w:tr>
            <w:tr w14:paraId="18A7A52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5" w:type="pct"/>
                  <w:vMerge w:val="restart"/>
                  <w:vAlign w:val="center"/>
                </w:tcPr>
                <w:p w14:paraId="0A1D572B">
                  <w:pPr>
                    <w:pStyle w:val="13"/>
                    <w:rPr>
                      <w:color w:val="auto"/>
                      <w:highlight w:val="none"/>
                    </w:rPr>
                  </w:pPr>
                  <w:r>
                    <w:rPr>
                      <w:rFonts w:hint="eastAsia"/>
                      <w:color w:val="auto"/>
                      <w:highlight w:val="none"/>
                    </w:rPr>
                    <w:t>1</w:t>
                  </w:r>
                </w:p>
              </w:tc>
              <w:tc>
                <w:tcPr>
                  <w:tcW w:w="352" w:type="pct"/>
                  <w:vMerge w:val="restart"/>
                  <w:vAlign w:val="center"/>
                </w:tcPr>
                <w:p w14:paraId="779281C3">
                  <w:pPr>
                    <w:pStyle w:val="13"/>
                    <w:rPr>
                      <w:color w:val="auto"/>
                      <w:highlight w:val="none"/>
                    </w:rPr>
                  </w:pPr>
                  <w:r>
                    <w:rPr>
                      <w:rFonts w:hint="eastAsia"/>
                      <w:color w:val="auto"/>
                      <w:highlight w:val="none"/>
                    </w:rPr>
                    <w:t>DW001</w:t>
                  </w:r>
                </w:p>
              </w:tc>
              <w:tc>
                <w:tcPr>
                  <w:tcW w:w="580" w:type="pct"/>
                  <w:vMerge w:val="restart"/>
                  <w:vAlign w:val="center"/>
                </w:tcPr>
                <w:p w14:paraId="6E504901">
                  <w:pPr>
                    <w:pStyle w:val="13"/>
                    <w:rPr>
                      <w:rFonts w:hint="eastAsia" w:eastAsia="宋体"/>
                      <w:color w:val="auto"/>
                      <w:highlight w:val="none"/>
                      <w:lang w:eastAsia="zh-CN"/>
                    </w:rPr>
                  </w:pPr>
                  <w:r>
                    <w:rPr>
                      <w:rFonts w:hint="eastAsia" w:cs="Times New Roman"/>
                      <w:color w:val="auto"/>
                      <w:highlight w:val="none"/>
                    </w:rPr>
                    <w:t>118.03774</w:t>
                  </w:r>
                  <w:r>
                    <w:rPr>
                      <w:rFonts w:hint="eastAsia" w:cs="Times New Roman"/>
                      <w:color w:val="auto"/>
                      <w:highlight w:val="none"/>
                      <w:lang w:val="en-US" w:eastAsia="zh-CN"/>
                    </w:rPr>
                    <w:t>3</w:t>
                  </w:r>
                </w:p>
              </w:tc>
              <w:tc>
                <w:tcPr>
                  <w:tcW w:w="549" w:type="pct"/>
                  <w:vMerge w:val="restart"/>
                  <w:vAlign w:val="center"/>
                </w:tcPr>
                <w:p w14:paraId="5D7D82B0">
                  <w:pPr>
                    <w:pStyle w:val="13"/>
                    <w:rPr>
                      <w:rFonts w:hint="eastAsia" w:eastAsia="宋体"/>
                      <w:color w:val="auto"/>
                      <w:highlight w:val="none"/>
                      <w:lang w:eastAsia="zh-CN"/>
                    </w:rPr>
                  </w:pPr>
                  <w:r>
                    <w:rPr>
                      <w:rFonts w:hint="eastAsia"/>
                      <w:color w:val="auto"/>
                      <w:highlight w:val="none"/>
                    </w:rPr>
                    <w:t>30.68628</w:t>
                  </w:r>
                  <w:r>
                    <w:rPr>
                      <w:rFonts w:hint="eastAsia"/>
                      <w:color w:val="auto"/>
                      <w:highlight w:val="none"/>
                      <w:lang w:val="en-US" w:eastAsia="zh-CN"/>
                    </w:rPr>
                    <w:t>4</w:t>
                  </w:r>
                </w:p>
              </w:tc>
              <w:tc>
                <w:tcPr>
                  <w:tcW w:w="462" w:type="pct"/>
                  <w:vMerge w:val="restart"/>
                  <w:vAlign w:val="center"/>
                </w:tcPr>
                <w:p w14:paraId="53B27283">
                  <w:pPr>
                    <w:pStyle w:val="13"/>
                    <w:rPr>
                      <w:rFonts w:hint="default" w:eastAsia="宋体"/>
                      <w:color w:val="auto"/>
                      <w:highlight w:val="none"/>
                      <w:lang w:val="en-US" w:eastAsia="zh-CN"/>
                    </w:rPr>
                  </w:pPr>
                  <w:r>
                    <w:rPr>
                      <w:rFonts w:hint="eastAsia"/>
                      <w:color w:val="auto"/>
                      <w:highlight w:val="none"/>
                      <w:lang w:val="en-US" w:eastAsia="zh-CN"/>
                    </w:rPr>
                    <w:t>545.5</w:t>
                  </w:r>
                </w:p>
              </w:tc>
              <w:tc>
                <w:tcPr>
                  <w:tcW w:w="235" w:type="pct"/>
                  <w:vMerge w:val="restart"/>
                  <w:vAlign w:val="center"/>
                </w:tcPr>
                <w:p w14:paraId="6F8429F3">
                  <w:pPr>
                    <w:pStyle w:val="13"/>
                    <w:rPr>
                      <w:color w:val="auto"/>
                      <w:highlight w:val="none"/>
                    </w:rPr>
                  </w:pPr>
                  <w:r>
                    <w:rPr>
                      <w:rFonts w:hint="eastAsia"/>
                      <w:color w:val="auto"/>
                      <w:highlight w:val="none"/>
                    </w:rPr>
                    <w:t>污水管网</w:t>
                  </w:r>
                </w:p>
              </w:tc>
              <w:tc>
                <w:tcPr>
                  <w:tcW w:w="235" w:type="pct"/>
                  <w:vMerge w:val="restart"/>
                  <w:vAlign w:val="center"/>
                </w:tcPr>
                <w:p w14:paraId="0564035A">
                  <w:pPr>
                    <w:pStyle w:val="13"/>
                    <w:rPr>
                      <w:color w:val="auto"/>
                      <w:highlight w:val="none"/>
                    </w:rPr>
                  </w:pPr>
                  <w:r>
                    <w:rPr>
                      <w:rFonts w:hint="eastAsia"/>
                      <w:color w:val="auto"/>
                      <w:highlight w:val="none"/>
                    </w:rPr>
                    <w:t>连续排放</w:t>
                  </w:r>
                </w:p>
              </w:tc>
              <w:tc>
                <w:tcPr>
                  <w:tcW w:w="304" w:type="pct"/>
                  <w:vMerge w:val="restart"/>
                  <w:vAlign w:val="center"/>
                </w:tcPr>
                <w:p w14:paraId="422F158C">
                  <w:pPr>
                    <w:pStyle w:val="13"/>
                    <w:rPr>
                      <w:color w:val="auto"/>
                      <w:highlight w:val="none"/>
                    </w:rPr>
                  </w:pPr>
                  <w:r>
                    <w:rPr>
                      <w:rFonts w:hint="eastAsia"/>
                      <w:color w:val="auto"/>
                      <w:highlight w:val="none"/>
                    </w:rPr>
                    <w:t>/</w:t>
                  </w:r>
                </w:p>
              </w:tc>
              <w:tc>
                <w:tcPr>
                  <w:tcW w:w="451" w:type="pct"/>
                  <w:vMerge w:val="restart"/>
                  <w:vAlign w:val="center"/>
                </w:tcPr>
                <w:p w14:paraId="79185D77">
                  <w:pPr>
                    <w:pStyle w:val="13"/>
                    <w:rPr>
                      <w:color w:val="auto"/>
                      <w:highlight w:val="none"/>
                    </w:rPr>
                  </w:pPr>
                  <w:r>
                    <w:rPr>
                      <w:rFonts w:hint="eastAsia"/>
                      <w:color w:val="auto"/>
                      <w:highlight w:val="none"/>
                    </w:rPr>
                    <w:t>酉华镇污水处理站</w:t>
                  </w:r>
                </w:p>
              </w:tc>
              <w:tc>
                <w:tcPr>
                  <w:tcW w:w="462" w:type="pct"/>
                  <w:vAlign w:val="center"/>
                </w:tcPr>
                <w:p w14:paraId="62FA30BA">
                  <w:pPr>
                    <w:pStyle w:val="13"/>
                    <w:bidi w:val="0"/>
                    <w:rPr>
                      <w:color w:val="auto"/>
                      <w:highlight w:val="none"/>
                    </w:rPr>
                  </w:pPr>
                  <w:r>
                    <w:rPr>
                      <w:rFonts w:hint="eastAsia"/>
                      <w:color w:val="auto"/>
                      <w:highlight w:val="none"/>
                    </w:rPr>
                    <w:t>pH</w:t>
                  </w:r>
                </w:p>
              </w:tc>
              <w:tc>
                <w:tcPr>
                  <w:tcW w:w="1010" w:type="pct"/>
                  <w:vAlign w:val="center"/>
                </w:tcPr>
                <w:p w14:paraId="1FEB2582">
                  <w:pPr>
                    <w:pStyle w:val="13"/>
                    <w:rPr>
                      <w:color w:val="auto"/>
                      <w:highlight w:val="none"/>
                    </w:rPr>
                  </w:pPr>
                  <w:r>
                    <w:rPr>
                      <w:rFonts w:hint="eastAsia"/>
                      <w:color w:val="auto"/>
                      <w:highlight w:val="none"/>
                    </w:rPr>
                    <w:t>6-9</w:t>
                  </w:r>
                </w:p>
              </w:tc>
              <w:tc>
                <w:tcPr>
                  <w:tcW w:w="203" w:type="pct"/>
                  <w:vMerge w:val="restart"/>
                  <w:vAlign w:val="center"/>
                </w:tcPr>
                <w:p w14:paraId="7B449D7F">
                  <w:pPr>
                    <w:pStyle w:val="13"/>
                    <w:rPr>
                      <w:color w:val="auto"/>
                      <w:highlight w:val="none"/>
                    </w:rPr>
                  </w:pPr>
                  <w:r>
                    <w:rPr>
                      <w:rFonts w:hint="eastAsia"/>
                      <w:color w:val="auto"/>
                      <w:highlight w:val="none"/>
                    </w:rPr>
                    <w:t>排至七星河</w:t>
                  </w:r>
                </w:p>
              </w:tc>
            </w:tr>
            <w:tr w14:paraId="53D2EE2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5" w:type="pct"/>
                  <w:vMerge w:val="continue"/>
                  <w:vAlign w:val="center"/>
                </w:tcPr>
                <w:p w14:paraId="3CEC3C7E">
                  <w:pPr>
                    <w:pStyle w:val="13"/>
                    <w:rPr>
                      <w:color w:val="auto"/>
                      <w:highlight w:val="none"/>
                    </w:rPr>
                  </w:pPr>
                </w:p>
              </w:tc>
              <w:tc>
                <w:tcPr>
                  <w:tcW w:w="352" w:type="pct"/>
                  <w:vMerge w:val="continue"/>
                  <w:vAlign w:val="center"/>
                </w:tcPr>
                <w:p w14:paraId="1AC2A645">
                  <w:pPr>
                    <w:pStyle w:val="13"/>
                    <w:rPr>
                      <w:color w:val="auto"/>
                      <w:highlight w:val="none"/>
                    </w:rPr>
                  </w:pPr>
                </w:p>
              </w:tc>
              <w:tc>
                <w:tcPr>
                  <w:tcW w:w="580" w:type="pct"/>
                  <w:vMerge w:val="continue"/>
                  <w:vAlign w:val="center"/>
                </w:tcPr>
                <w:p w14:paraId="05BA4286">
                  <w:pPr>
                    <w:pStyle w:val="13"/>
                    <w:rPr>
                      <w:color w:val="auto"/>
                      <w:highlight w:val="none"/>
                    </w:rPr>
                  </w:pPr>
                </w:p>
              </w:tc>
              <w:tc>
                <w:tcPr>
                  <w:tcW w:w="549" w:type="pct"/>
                  <w:vMerge w:val="continue"/>
                  <w:vAlign w:val="center"/>
                </w:tcPr>
                <w:p w14:paraId="38DE40C0">
                  <w:pPr>
                    <w:pStyle w:val="13"/>
                    <w:rPr>
                      <w:color w:val="auto"/>
                      <w:highlight w:val="none"/>
                    </w:rPr>
                  </w:pPr>
                </w:p>
              </w:tc>
              <w:tc>
                <w:tcPr>
                  <w:tcW w:w="462" w:type="pct"/>
                  <w:vMerge w:val="continue"/>
                  <w:vAlign w:val="center"/>
                </w:tcPr>
                <w:p w14:paraId="2D5AD14A">
                  <w:pPr>
                    <w:pStyle w:val="13"/>
                    <w:rPr>
                      <w:color w:val="auto"/>
                      <w:highlight w:val="none"/>
                    </w:rPr>
                  </w:pPr>
                </w:p>
              </w:tc>
              <w:tc>
                <w:tcPr>
                  <w:tcW w:w="235" w:type="pct"/>
                  <w:vMerge w:val="continue"/>
                  <w:vAlign w:val="center"/>
                </w:tcPr>
                <w:p w14:paraId="35209F9E">
                  <w:pPr>
                    <w:pStyle w:val="13"/>
                    <w:rPr>
                      <w:color w:val="auto"/>
                      <w:highlight w:val="none"/>
                    </w:rPr>
                  </w:pPr>
                </w:p>
              </w:tc>
              <w:tc>
                <w:tcPr>
                  <w:tcW w:w="235" w:type="pct"/>
                  <w:vMerge w:val="continue"/>
                  <w:vAlign w:val="center"/>
                </w:tcPr>
                <w:p w14:paraId="23134B05">
                  <w:pPr>
                    <w:pStyle w:val="13"/>
                    <w:rPr>
                      <w:color w:val="auto"/>
                      <w:highlight w:val="none"/>
                    </w:rPr>
                  </w:pPr>
                </w:p>
              </w:tc>
              <w:tc>
                <w:tcPr>
                  <w:tcW w:w="304" w:type="pct"/>
                  <w:vMerge w:val="continue"/>
                  <w:vAlign w:val="center"/>
                </w:tcPr>
                <w:p w14:paraId="6ED4B5F3">
                  <w:pPr>
                    <w:pStyle w:val="13"/>
                    <w:rPr>
                      <w:color w:val="auto"/>
                      <w:highlight w:val="none"/>
                    </w:rPr>
                  </w:pPr>
                </w:p>
              </w:tc>
              <w:tc>
                <w:tcPr>
                  <w:tcW w:w="451" w:type="pct"/>
                  <w:vMerge w:val="continue"/>
                  <w:vAlign w:val="center"/>
                </w:tcPr>
                <w:p w14:paraId="298C3A0A">
                  <w:pPr>
                    <w:pStyle w:val="13"/>
                    <w:rPr>
                      <w:color w:val="auto"/>
                      <w:highlight w:val="none"/>
                    </w:rPr>
                  </w:pPr>
                </w:p>
              </w:tc>
              <w:tc>
                <w:tcPr>
                  <w:tcW w:w="462" w:type="pct"/>
                  <w:vAlign w:val="center"/>
                </w:tcPr>
                <w:p w14:paraId="102AB13B">
                  <w:pPr>
                    <w:pStyle w:val="13"/>
                    <w:bidi w:val="0"/>
                    <w:rPr>
                      <w:color w:val="auto"/>
                      <w:highlight w:val="none"/>
                    </w:rPr>
                  </w:pPr>
                  <w:r>
                    <w:rPr>
                      <w:rFonts w:hint="eastAsia"/>
                      <w:color w:val="auto"/>
                      <w:highlight w:val="none"/>
                      <w:lang w:val="en-US" w:eastAsia="zh-CN"/>
                    </w:rPr>
                    <w:t>色度</w:t>
                  </w:r>
                </w:p>
              </w:tc>
              <w:tc>
                <w:tcPr>
                  <w:tcW w:w="1010" w:type="pct"/>
                  <w:vAlign w:val="center"/>
                </w:tcPr>
                <w:p w14:paraId="49531B1A">
                  <w:pPr>
                    <w:pStyle w:val="13"/>
                    <w:rPr>
                      <w:color w:val="auto"/>
                      <w:highlight w:val="none"/>
                    </w:rPr>
                  </w:pPr>
                  <w:r>
                    <w:rPr>
                      <w:rFonts w:hint="eastAsia"/>
                      <w:color w:val="auto"/>
                      <w:highlight w:val="none"/>
                      <w:lang w:val="en-US" w:eastAsia="zh-CN"/>
                    </w:rPr>
                    <w:t>1</w:t>
                  </w:r>
                  <w:r>
                    <w:rPr>
                      <w:rFonts w:hint="eastAsia"/>
                      <w:color w:val="auto"/>
                      <w:highlight w:val="none"/>
                    </w:rPr>
                    <w:t>00</w:t>
                  </w:r>
                </w:p>
              </w:tc>
              <w:tc>
                <w:tcPr>
                  <w:tcW w:w="203" w:type="pct"/>
                  <w:vMerge w:val="continue"/>
                  <w:vAlign w:val="center"/>
                </w:tcPr>
                <w:p w14:paraId="798DC47D">
                  <w:pPr>
                    <w:pStyle w:val="13"/>
                    <w:rPr>
                      <w:color w:val="auto"/>
                      <w:highlight w:val="none"/>
                    </w:rPr>
                  </w:pPr>
                </w:p>
              </w:tc>
            </w:tr>
            <w:tr w14:paraId="164B486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5" w:type="pct"/>
                  <w:vMerge w:val="continue"/>
                  <w:vAlign w:val="center"/>
                </w:tcPr>
                <w:p w14:paraId="6F5BC863">
                  <w:pPr>
                    <w:pStyle w:val="13"/>
                    <w:rPr>
                      <w:color w:val="auto"/>
                      <w:highlight w:val="none"/>
                    </w:rPr>
                  </w:pPr>
                </w:p>
              </w:tc>
              <w:tc>
                <w:tcPr>
                  <w:tcW w:w="352" w:type="pct"/>
                  <w:vMerge w:val="continue"/>
                  <w:vAlign w:val="center"/>
                </w:tcPr>
                <w:p w14:paraId="4307DD20">
                  <w:pPr>
                    <w:pStyle w:val="13"/>
                    <w:rPr>
                      <w:color w:val="auto"/>
                      <w:highlight w:val="none"/>
                    </w:rPr>
                  </w:pPr>
                </w:p>
              </w:tc>
              <w:tc>
                <w:tcPr>
                  <w:tcW w:w="580" w:type="pct"/>
                  <w:vMerge w:val="continue"/>
                  <w:vAlign w:val="center"/>
                </w:tcPr>
                <w:p w14:paraId="55860A28">
                  <w:pPr>
                    <w:pStyle w:val="13"/>
                    <w:rPr>
                      <w:color w:val="auto"/>
                      <w:highlight w:val="none"/>
                    </w:rPr>
                  </w:pPr>
                </w:p>
              </w:tc>
              <w:tc>
                <w:tcPr>
                  <w:tcW w:w="549" w:type="pct"/>
                  <w:vMerge w:val="continue"/>
                  <w:vAlign w:val="center"/>
                </w:tcPr>
                <w:p w14:paraId="43BDD024">
                  <w:pPr>
                    <w:pStyle w:val="13"/>
                    <w:rPr>
                      <w:color w:val="auto"/>
                      <w:highlight w:val="none"/>
                    </w:rPr>
                  </w:pPr>
                </w:p>
              </w:tc>
              <w:tc>
                <w:tcPr>
                  <w:tcW w:w="462" w:type="pct"/>
                  <w:vMerge w:val="continue"/>
                  <w:vAlign w:val="center"/>
                </w:tcPr>
                <w:p w14:paraId="088E63E2">
                  <w:pPr>
                    <w:pStyle w:val="13"/>
                    <w:rPr>
                      <w:color w:val="auto"/>
                      <w:highlight w:val="none"/>
                    </w:rPr>
                  </w:pPr>
                </w:p>
              </w:tc>
              <w:tc>
                <w:tcPr>
                  <w:tcW w:w="235" w:type="pct"/>
                  <w:vMerge w:val="continue"/>
                  <w:vAlign w:val="center"/>
                </w:tcPr>
                <w:p w14:paraId="74FC79C5">
                  <w:pPr>
                    <w:pStyle w:val="13"/>
                    <w:rPr>
                      <w:color w:val="auto"/>
                      <w:highlight w:val="none"/>
                    </w:rPr>
                  </w:pPr>
                </w:p>
              </w:tc>
              <w:tc>
                <w:tcPr>
                  <w:tcW w:w="235" w:type="pct"/>
                  <w:vMerge w:val="continue"/>
                  <w:vAlign w:val="center"/>
                </w:tcPr>
                <w:p w14:paraId="6AFCEB83">
                  <w:pPr>
                    <w:pStyle w:val="13"/>
                    <w:rPr>
                      <w:color w:val="auto"/>
                      <w:highlight w:val="none"/>
                    </w:rPr>
                  </w:pPr>
                </w:p>
              </w:tc>
              <w:tc>
                <w:tcPr>
                  <w:tcW w:w="304" w:type="pct"/>
                  <w:vMerge w:val="continue"/>
                  <w:vAlign w:val="center"/>
                </w:tcPr>
                <w:p w14:paraId="3935CD1D">
                  <w:pPr>
                    <w:pStyle w:val="13"/>
                    <w:rPr>
                      <w:color w:val="auto"/>
                      <w:highlight w:val="none"/>
                    </w:rPr>
                  </w:pPr>
                </w:p>
              </w:tc>
              <w:tc>
                <w:tcPr>
                  <w:tcW w:w="451" w:type="pct"/>
                  <w:vMerge w:val="continue"/>
                  <w:vAlign w:val="center"/>
                </w:tcPr>
                <w:p w14:paraId="6ADBAECC">
                  <w:pPr>
                    <w:pStyle w:val="13"/>
                    <w:rPr>
                      <w:color w:val="auto"/>
                      <w:highlight w:val="none"/>
                    </w:rPr>
                  </w:pPr>
                </w:p>
              </w:tc>
              <w:tc>
                <w:tcPr>
                  <w:tcW w:w="462" w:type="pct"/>
                  <w:vAlign w:val="center"/>
                </w:tcPr>
                <w:p w14:paraId="053E280E">
                  <w:pPr>
                    <w:pStyle w:val="13"/>
                    <w:bidi w:val="0"/>
                    <w:rPr>
                      <w:color w:val="auto"/>
                      <w:highlight w:val="none"/>
                    </w:rPr>
                  </w:pPr>
                  <w:r>
                    <w:rPr>
                      <w:color w:val="auto"/>
                      <w:highlight w:val="none"/>
                    </w:rPr>
                    <w:t>SS</w:t>
                  </w:r>
                </w:p>
              </w:tc>
              <w:tc>
                <w:tcPr>
                  <w:tcW w:w="1010" w:type="pct"/>
                  <w:vAlign w:val="center"/>
                </w:tcPr>
                <w:p w14:paraId="3E04721F">
                  <w:pPr>
                    <w:pStyle w:val="13"/>
                    <w:rPr>
                      <w:color w:val="auto"/>
                      <w:highlight w:val="none"/>
                    </w:rPr>
                  </w:pPr>
                  <w:r>
                    <w:rPr>
                      <w:rFonts w:hint="eastAsia"/>
                      <w:color w:val="auto"/>
                      <w:highlight w:val="none"/>
                      <w:lang w:val="en-US" w:eastAsia="zh-CN"/>
                    </w:rPr>
                    <w:t>4</w:t>
                  </w:r>
                  <w:r>
                    <w:rPr>
                      <w:rFonts w:hint="eastAsia"/>
                      <w:color w:val="auto"/>
                      <w:highlight w:val="none"/>
                    </w:rPr>
                    <w:t>00</w:t>
                  </w:r>
                </w:p>
              </w:tc>
              <w:tc>
                <w:tcPr>
                  <w:tcW w:w="203" w:type="pct"/>
                  <w:vMerge w:val="continue"/>
                  <w:vAlign w:val="center"/>
                </w:tcPr>
                <w:p w14:paraId="017CA97F">
                  <w:pPr>
                    <w:pStyle w:val="13"/>
                    <w:rPr>
                      <w:color w:val="auto"/>
                      <w:highlight w:val="none"/>
                    </w:rPr>
                  </w:pPr>
                </w:p>
              </w:tc>
            </w:tr>
            <w:tr w14:paraId="76BD9AE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5" w:type="pct"/>
                  <w:vMerge w:val="continue"/>
                  <w:vAlign w:val="center"/>
                </w:tcPr>
                <w:p w14:paraId="2AE1AAAB">
                  <w:pPr>
                    <w:pStyle w:val="13"/>
                    <w:rPr>
                      <w:color w:val="auto"/>
                      <w:highlight w:val="none"/>
                    </w:rPr>
                  </w:pPr>
                </w:p>
              </w:tc>
              <w:tc>
                <w:tcPr>
                  <w:tcW w:w="352" w:type="pct"/>
                  <w:vMerge w:val="continue"/>
                  <w:vAlign w:val="center"/>
                </w:tcPr>
                <w:p w14:paraId="6A1F0F3F">
                  <w:pPr>
                    <w:pStyle w:val="13"/>
                    <w:rPr>
                      <w:color w:val="auto"/>
                      <w:highlight w:val="none"/>
                    </w:rPr>
                  </w:pPr>
                </w:p>
              </w:tc>
              <w:tc>
                <w:tcPr>
                  <w:tcW w:w="580" w:type="pct"/>
                  <w:vMerge w:val="continue"/>
                  <w:vAlign w:val="center"/>
                </w:tcPr>
                <w:p w14:paraId="445A3016">
                  <w:pPr>
                    <w:pStyle w:val="13"/>
                    <w:rPr>
                      <w:color w:val="auto"/>
                      <w:highlight w:val="none"/>
                    </w:rPr>
                  </w:pPr>
                </w:p>
              </w:tc>
              <w:tc>
                <w:tcPr>
                  <w:tcW w:w="549" w:type="pct"/>
                  <w:vMerge w:val="continue"/>
                  <w:vAlign w:val="center"/>
                </w:tcPr>
                <w:p w14:paraId="157B17CA">
                  <w:pPr>
                    <w:pStyle w:val="13"/>
                    <w:rPr>
                      <w:color w:val="auto"/>
                      <w:highlight w:val="none"/>
                    </w:rPr>
                  </w:pPr>
                </w:p>
              </w:tc>
              <w:tc>
                <w:tcPr>
                  <w:tcW w:w="462" w:type="pct"/>
                  <w:vMerge w:val="continue"/>
                  <w:vAlign w:val="center"/>
                </w:tcPr>
                <w:p w14:paraId="1D047116">
                  <w:pPr>
                    <w:pStyle w:val="13"/>
                    <w:rPr>
                      <w:color w:val="auto"/>
                      <w:highlight w:val="none"/>
                    </w:rPr>
                  </w:pPr>
                </w:p>
              </w:tc>
              <w:tc>
                <w:tcPr>
                  <w:tcW w:w="235" w:type="pct"/>
                  <w:vMerge w:val="continue"/>
                  <w:vAlign w:val="center"/>
                </w:tcPr>
                <w:p w14:paraId="311C26AD">
                  <w:pPr>
                    <w:pStyle w:val="13"/>
                    <w:rPr>
                      <w:color w:val="auto"/>
                      <w:highlight w:val="none"/>
                    </w:rPr>
                  </w:pPr>
                </w:p>
              </w:tc>
              <w:tc>
                <w:tcPr>
                  <w:tcW w:w="235" w:type="pct"/>
                  <w:vMerge w:val="continue"/>
                  <w:vAlign w:val="center"/>
                </w:tcPr>
                <w:p w14:paraId="7E4A36C2">
                  <w:pPr>
                    <w:pStyle w:val="13"/>
                    <w:rPr>
                      <w:color w:val="auto"/>
                      <w:highlight w:val="none"/>
                    </w:rPr>
                  </w:pPr>
                </w:p>
              </w:tc>
              <w:tc>
                <w:tcPr>
                  <w:tcW w:w="304" w:type="pct"/>
                  <w:vMerge w:val="continue"/>
                  <w:vAlign w:val="center"/>
                </w:tcPr>
                <w:p w14:paraId="66ACF8A5">
                  <w:pPr>
                    <w:pStyle w:val="13"/>
                    <w:rPr>
                      <w:color w:val="auto"/>
                      <w:highlight w:val="none"/>
                    </w:rPr>
                  </w:pPr>
                </w:p>
              </w:tc>
              <w:tc>
                <w:tcPr>
                  <w:tcW w:w="451" w:type="pct"/>
                  <w:vMerge w:val="continue"/>
                  <w:vAlign w:val="center"/>
                </w:tcPr>
                <w:p w14:paraId="06F43BB2">
                  <w:pPr>
                    <w:pStyle w:val="13"/>
                    <w:rPr>
                      <w:color w:val="auto"/>
                      <w:highlight w:val="none"/>
                    </w:rPr>
                  </w:pPr>
                </w:p>
              </w:tc>
              <w:tc>
                <w:tcPr>
                  <w:tcW w:w="462" w:type="pct"/>
                  <w:vAlign w:val="center"/>
                </w:tcPr>
                <w:p w14:paraId="7BCD4B5B">
                  <w:pPr>
                    <w:pStyle w:val="13"/>
                    <w:bidi w:val="0"/>
                    <w:rPr>
                      <w:color w:val="auto"/>
                      <w:highlight w:val="none"/>
                    </w:rPr>
                  </w:pPr>
                  <w:r>
                    <w:rPr>
                      <w:color w:val="auto"/>
                      <w:highlight w:val="none"/>
                    </w:rPr>
                    <w:t>BOD</w:t>
                  </w:r>
                  <w:r>
                    <w:rPr>
                      <w:rFonts w:hint="eastAsia"/>
                      <w:color w:val="auto"/>
                      <w:highlight w:val="none"/>
                      <w:vertAlign w:val="subscript"/>
                    </w:rPr>
                    <w:t>5</w:t>
                  </w:r>
                </w:p>
              </w:tc>
              <w:tc>
                <w:tcPr>
                  <w:tcW w:w="1010" w:type="pct"/>
                  <w:vAlign w:val="center"/>
                </w:tcPr>
                <w:p w14:paraId="088DD0AC">
                  <w:pPr>
                    <w:pStyle w:val="13"/>
                    <w:rPr>
                      <w:color w:val="auto"/>
                      <w:highlight w:val="none"/>
                    </w:rPr>
                  </w:pPr>
                  <w:r>
                    <w:rPr>
                      <w:rFonts w:hint="eastAsia"/>
                      <w:color w:val="auto"/>
                      <w:highlight w:val="none"/>
                      <w:lang w:val="en-US" w:eastAsia="zh-CN"/>
                    </w:rPr>
                    <w:t>30</w:t>
                  </w:r>
                  <w:r>
                    <w:rPr>
                      <w:rFonts w:hint="eastAsia"/>
                      <w:color w:val="auto"/>
                      <w:highlight w:val="none"/>
                    </w:rPr>
                    <w:t>0</w:t>
                  </w:r>
                </w:p>
              </w:tc>
              <w:tc>
                <w:tcPr>
                  <w:tcW w:w="203" w:type="pct"/>
                  <w:vMerge w:val="continue"/>
                  <w:vAlign w:val="center"/>
                </w:tcPr>
                <w:p w14:paraId="6C1BB218">
                  <w:pPr>
                    <w:pStyle w:val="13"/>
                    <w:rPr>
                      <w:color w:val="auto"/>
                      <w:highlight w:val="none"/>
                    </w:rPr>
                  </w:pPr>
                </w:p>
              </w:tc>
            </w:tr>
            <w:tr w14:paraId="346BF5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5" w:type="pct"/>
                  <w:vMerge w:val="continue"/>
                  <w:vAlign w:val="center"/>
                </w:tcPr>
                <w:p w14:paraId="441324C2">
                  <w:pPr>
                    <w:pStyle w:val="13"/>
                    <w:rPr>
                      <w:color w:val="auto"/>
                      <w:highlight w:val="none"/>
                    </w:rPr>
                  </w:pPr>
                </w:p>
              </w:tc>
              <w:tc>
                <w:tcPr>
                  <w:tcW w:w="352" w:type="pct"/>
                  <w:vMerge w:val="continue"/>
                  <w:vAlign w:val="center"/>
                </w:tcPr>
                <w:p w14:paraId="2A6CE527">
                  <w:pPr>
                    <w:pStyle w:val="13"/>
                    <w:rPr>
                      <w:color w:val="auto"/>
                      <w:highlight w:val="none"/>
                    </w:rPr>
                  </w:pPr>
                </w:p>
              </w:tc>
              <w:tc>
                <w:tcPr>
                  <w:tcW w:w="580" w:type="pct"/>
                  <w:vMerge w:val="continue"/>
                  <w:vAlign w:val="center"/>
                </w:tcPr>
                <w:p w14:paraId="7B873638">
                  <w:pPr>
                    <w:pStyle w:val="13"/>
                    <w:rPr>
                      <w:color w:val="auto"/>
                      <w:highlight w:val="none"/>
                    </w:rPr>
                  </w:pPr>
                </w:p>
              </w:tc>
              <w:tc>
                <w:tcPr>
                  <w:tcW w:w="549" w:type="pct"/>
                  <w:vMerge w:val="continue"/>
                  <w:vAlign w:val="center"/>
                </w:tcPr>
                <w:p w14:paraId="3719F0C4">
                  <w:pPr>
                    <w:pStyle w:val="13"/>
                    <w:rPr>
                      <w:color w:val="auto"/>
                      <w:highlight w:val="none"/>
                    </w:rPr>
                  </w:pPr>
                </w:p>
              </w:tc>
              <w:tc>
                <w:tcPr>
                  <w:tcW w:w="462" w:type="pct"/>
                  <w:vMerge w:val="continue"/>
                  <w:vAlign w:val="center"/>
                </w:tcPr>
                <w:p w14:paraId="3BABCDE9">
                  <w:pPr>
                    <w:pStyle w:val="13"/>
                    <w:rPr>
                      <w:color w:val="auto"/>
                      <w:highlight w:val="none"/>
                    </w:rPr>
                  </w:pPr>
                </w:p>
              </w:tc>
              <w:tc>
                <w:tcPr>
                  <w:tcW w:w="235" w:type="pct"/>
                  <w:vMerge w:val="continue"/>
                  <w:vAlign w:val="center"/>
                </w:tcPr>
                <w:p w14:paraId="62983220">
                  <w:pPr>
                    <w:pStyle w:val="13"/>
                    <w:rPr>
                      <w:color w:val="auto"/>
                      <w:highlight w:val="none"/>
                    </w:rPr>
                  </w:pPr>
                </w:p>
              </w:tc>
              <w:tc>
                <w:tcPr>
                  <w:tcW w:w="235" w:type="pct"/>
                  <w:vMerge w:val="continue"/>
                  <w:vAlign w:val="center"/>
                </w:tcPr>
                <w:p w14:paraId="00DA53DF">
                  <w:pPr>
                    <w:pStyle w:val="13"/>
                    <w:rPr>
                      <w:color w:val="auto"/>
                      <w:highlight w:val="none"/>
                    </w:rPr>
                  </w:pPr>
                </w:p>
              </w:tc>
              <w:tc>
                <w:tcPr>
                  <w:tcW w:w="304" w:type="pct"/>
                  <w:vMerge w:val="continue"/>
                  <w:vAlign w:val="center"/>
                </w:tcPr>
                <w:p w14:paraId="6B2145EE">
                  <w:pPr>
                    <w:pStyle w:val="13"/>
                    <w:rPr>
                      <w:color w:val="auto"/>
                      <w:highlight w:val="none"/>
                    </w:rPr>
                  </w:pPr>
                </w:p>
              </w:tc>
              <w:tc>
                <w:tcPr>
                  <w:tcW w:w="451" w:type="pct"/>
                  <w:vMerge w:val="continue"/>
                  <w:vAlign w:val="center"/>
                </w:tcPr>
                <w:p w14:paraId="1258F4B2">
                  <w:pPr>
                    <w:pStyle w:val="13"/>
                    <w:rPr>
                      <w:color w:val="auto"/>
                      <w:highlight w:val="none"/>
                    </w:rPr>
                  </w:pPr>
                </w:p>
              </w:tc>
              <w:tc>
                <w:tcPr>
                  <w:tcW w:w="462" w:type="pct"/>
                  <w:vAlign w:val="center"/>
                </w:tcPr>
                <w:p w14:paraId="142AD798">
                  <w:pPr>
                    <w:pStyle w:val="13"/>
                    <w:bidi w:val="0"/>
                    <w:rPr>
                      <w:color w:val="auto"/>
                      <w:highlight w:val="none"/>
                    </w:rPr>
                  </w:pPr>
                  <w:r>
                    <w:rPr>
                      <w:color w:val="auto"/>
                      <w:highlight w:val="none"/>
                    </w:rPr>
                    <w:t>COD</w:t>
                  </w:r>
                </w:p>
              </w:tc>
              <w:tc>
                <w:tcPr>
                  <w:tcW w:w="1010" w:type="pct"/>
                  <w:vAlign w:val="center"/>
                </w:tcPr>
                <w:p w14:paraId="4518A743">
                  <w:pPr>
                    <w:pStyle w:val="13"/>
                    <w:rPr>
                      <w:rFonts w:hint="default" w:eastAsia="宋体"/>
                      <w:color w:val="auto"/>
                      <w:highlight w:val="none"/>
                      <w:lang w:val="en-US" w:eastAsia="zh-CN"/>
                    </w:rPr>
                  </w:pPr>
                  <w:r>
                    <w:rPr>
                      <w:rFonts w:hint="eastAsia"/>
                      <w:color w:val="auto"/>
                      <w:highlight w:val="none"/>
                      <w:lang w:val="en-US" w:eastAsia="zh-CN"/>
                    </w:rPr>
                    <w:t>500</w:t>
                  </w:r>
                </w:p>
              </w:tc>
              <w:tc>
                <w:tcPr>
                  <w:tcW w:w="203" w:type="pct"/>
                  <w:vMerge w:val="continue"/>
                  <w:vAlign w:val="center"/>
                </w:tcPr>
                <w:p w14:paraId="7587BEE6">
                  <w:pPr>
                    <w:pStyle w:val="13"/>
                    <w:rPr>
                      <w:color w:val="auto"/>
                      <w:highlight w:val="none"/>
                    </w:rPr>
                  </w:pPr>
                </w:p>
              </w:tc>
            </w:tr>
            <w:tr w14:paraId="0FD129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5" w:type="pct"/>
                  <w:vMerge w:val="continue"/>
                  <w:vAlign w:val="center"/>
                </w:tcPr>
                <w:p w14:paraId="68AE3DEB">
                  <w:pPr>
                    <w:pStyle w:val="13"/>
                    <w:rPr>
                      <w:color w:val="auto"/>
                      <w:highlight w:val="none"/>
                    </w:rPr>
                  </w:pPr>
                </w:p>
              </w:tc>
              <w:tc>
                <w:tcPr>
                  <w:tcW w:w="352" w:type="pct"/>
                  <w:vMerge w:val="continue"/>
                  <w:vAlign w:val="center"/>
                </w:tcPr>
                <w:p w14:paraId="4FB57FA3">
                  <w:pPr>
                    <w:pStyle w:val="13"/>
                    <w:rPr>
                      <w:color w:val="auto"/>
                      <w:highlight w:val="none"/>
                    </w:rPr>
                  </w:pPr>
                </w:p>
              </w:tc>
              <w:tc>
                <w:tcPr>
                  <w:tcW w:w="580" w:type="pct"/>
                  <w:vMerge w:val="continue"/>
                  <w:vAlign w:val="center"/>
                </w:tcPr>
                <w:p w14:paraId="3F433126">
                  <w:pPr>
                    <w:pStyle w:val="13"/>
                    <w:rPr>
                      <w:color w:val="auto"/>
                      <w:highlight w:val="none"/>
                    </w:rPr>
                  </w:pPr>
                </w:p>
              </w:tc>
              <w:tc>
                <w:tcPr>
                  <w:tcW w:w="549" w:type="pct"/>
                  <w:vMerge w:val="continue"/>
                  <w:vAlign w:val="center"/>
                </w:tcPr>
                <w:p w14:paraId="1C184F40">
                  <w:pPr>
                    <w:pStyle w:val="13"/>
                    <w:rPr>
                      <w:color w:val="auto"/>
                      <w:highlight w:val="none"/>
                    </w:rPr>
                  </w:pPr>
                </w:p>
              </w:tc>
              <w:tc>
                <w:tcPr>
                  <w:tcW w:w="462" w:type="pct"/>
                  <w:vMerge w:val="continue"/>
                  <w:vAlign w:val="center"/>
                </w:tcPr>
                <w:p w14:paraId="2B26647C">
                  <w:pPr>
                    <w:pStyle w:val="13"/>
                    <w:rPr>
                      <w:color w:val="auto"/>
                      <w:highlight w:val="none"/>
                    </w:rPr>
                  </w:pPr>
                </w:p>
              </w:tc>
              <w:tc>
                <w:tcPr>
                  <w:tcW w:w="235" w:type="pct"/>
                  <w:vMerge w:val="continue"/>
                  <w:vAlign w:val="center"/>
                </w:tcPr>
                <w:p w14:paraId="5B7E36FD">
                  <w:pPr>
                    <w:pStyle w:val="13"/>
                    <w:rPr>
                      <w:color w:val="auto"/>
                      <w:highlight w:val="none"/>
                    </w:rPr>
                  </w:pPr>
                </w:p>
              </w:tc>
              <w:tc>
                <w:tcPr>
                  <w:tcW w:w="235" w:type="pct"/>
                  <w:vMerge w:val="continue"/>
                  <w:vAlign w:val="center"/>
                </w:tcPr>
                <w:p w14:paraId="4C09EF14">
                  <w:pPr>
                    <w:pStyle w:val="13"/>
                    <w:rPr>
                      <w:color w:val="auto"/>
                      <w:highlight w:val="none"/>
                    </w:rPr>
                  </w:pPr>
                </w:p>
              </w:tc>
              <w:tc>
                <w:tcPr>
                  <w:tcW w:w="304" w:type="pct"/>
                  <w:vMerge w:val="continue"/>
                  <w:vAlign w:val="center"/>
                </w:tcPr>
                <w:p w14:paraId="28B695E2">
                  <w:pPr>
                    <w:pStyle w:val="13"/>
                    <w:rPr>
                      <w:color w:val="auto"/>
                      <w:highlight w:val="none"/>
                    </w:rPr>
                  </w:pPr>
                </w:p>
              </w:tc>
              <w:tc>
                <w:tcPr>
                  <w:tcW w:w="451" w:type="pct"/>
                  <w:vMerge w:val="continue"/>
                  <w:vAlign w:val="center"/>
                </w:tcPr>
                <w:p w14:paraId="45A8A3A1">
                  <w:pPr>
                    <w:pStyle w:val="13"/>
                    <w:rPr>
                      <w:color w:val="auto"/>
                      <w:highlight w:val="none"/>
                    </w:rPr>
                  </w:pPr>
                </w:p>
              </w:tc>
              <w:tc>
                <w:tcPr>
                  <w:tcW w:w="462" w:type="pct"/>
                  <w:vAlign w:val="center"/>
                </w:tcPr>
                <w:p w14:paraId="04680940">
                  <w:pPr>
                    <w:pStyle w:val="13"/>
                    <w:bidi w:val="0"/>
                    <w:rPr>
                      <w:color w:val="auto"/>
                      <w:highlight w:val="none"/>
                    </w:rPr>
                  </w:pPr>
                  <w:r>
                    <w:rPr>
                      <w:color w:val="auto"/>
                      <w:highlight w:val="none"/>
                    </w:rPr>
                    <w:t>NH</w:t>
                  </w:r>
                  <w:r>
                    <w:rPr>
                      <w:rFonts w:hint="eastAsia"/>
                      <w:color w:val="auto"/>
                      <w:highlight w:val="none"/>
                      <w:vertAlign w:val="subscript"/>
                    </w:rPr>
                    <w:t>3</w:t>
                  </w:r>
                  <w:r>
                    <w:rPr>
                      <w:color w:val="auto"/>
                      <w:highlight w:val="none"/>
                    </w:rPr>
                    <w:t>-N</w:t>
                  </w:r>
                </w:p>
              </w:tc>
              <w:tc>
                <w:tcPr>
                  <w:tcW w:w="1010" w:type="pct"/>
                  <w:vAlign w:val="center"/>
                </w:tcPr>
                <w:p w14:paraId="354C61BC">
                  <w:pPr>
                    <w:pStyle w:val="13"/>
                    <w:rPr>
                      <w:rFonts w:hint="default" w:eastAsia="宋体"/>
                      <w:color w:val="auto"/>
                      <w:highlight w:val="none"/>
                      <w:lang w:val="en-US" w:eastAsia="zh-CN"/>
                    </w:rPr>
                  </w:pPr>
                  <w:r>
                    <w:rPr>
                      <w:rFonts w:hint="eastAsia"/>
                      <w:color w:val="auto"/>
                      <w:highlight w:val="none"/>
                      <w:lang w:val="en-US" w:eastAsia="zh-CN"/>
                    </w:rPr>
                    <w:t>45</w:t>
                  </w:r>
                </w:p>
              </w:tc>
              <w:tc>
                <w:tcPr>
                  <w:tcW w:w="203" w:type="pct"/>
                  <w:vMerge w:val="continue"/>
                  <w:vAlign w:val="center"/>
                </w:tcPr>
                <w:p w14:paraId="4C188AAF">
                  <w:pPr>
                    <w:pStyle w:val="13"/>
                    <w:rPr>
                      <w:color w:val="auto"/>
                      <w:highlight w:val="none"/>
                    </w:rPr>
                  </w:pPr>
                </w:p>
              </w:tc>
            </w:tr>
            <w:tr w14:paraId="78FE826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5" w:type="pct"/>
                  <w:vMerge w:val="continue"/>
                  <w:vAlign w:val="center"/>
                </w:tcPr>
                <w:p w14:paraId="556F5ECF">
                  <w:pPr>
                    <w:pStyle w:val="13"/>
                    <w:rPr>
                      <w:color w:val="auto"/>
                      <w:highlight w:val="none"/>
                    </w:rPr>
                  </w:pPr>
                </w:p>
              </w:tc>
              <w:tc>
                <w:tcPr>
                  <w:tcW w:w="352" w:type="pct"/>
                  <w:vMerge w:val="continue"/>
                  <w:vAlign w:val="center"/>
                </w:tcPr>
                <w:p w14:paraId="54010AF0">
                  <w:pPr>
                    <w:pStyle w:val="13"/>
                    <w:rPr>
                      <w:color w:val="auto"/>
                      <w:highlight w:val="none"/>
                    </w:rPr>
                  </w:pPr>
                </w:p>
              </w:tc>
              <w:tc>
                <w:tcPr>
                  <w:tcW w:w="580" w:type="pct"/>
                  <w:vMerge w:val="continue"/>
                  <w:vAlign w:val="center"/>
                </w:tcPr>
                <w:p w14:paraId="51BED7A1">
                  <w:pPr>
                    <w:pStyle w:val="13"/>
                    <w:rPr>
                      <w:color w:val="auto"/>
                      <w:highlight w:val="none"/>
                    </w:rPr>
                  </w:pPr>
                </w:p>
              </w:tc>
              <w:tc>
                <w:tcPr>
                  <w:tcW w:w="549" w:type="pct"/>
                  <w:vMerge w:val="continue"/>
                  <w:vAlign w:val="center"/>
                </w:tcPr>
                <w:p w14:paraId="5E64D5F1">
                  <w:pPr>
                    <w:pStyle w:val="13"/>
                    <w:rPr>
                      <w:color w:val="auto"/>
                      <w:highlight w:val="none"/>
                    </w:rPr>
                  </w:pPr>
                </w:p>
              </w:tc>
              <w:tc>
                <w:tcPr>
                  <w:tcW w:w="462" w:type="pct"/>
                  <w:vMerge w:val="continue"/>
                  <w:vAlign w:val="center"/>
                </w:tcPr>
                <w:p w14:paraId="7A4E1703">
                  <w:pPr>
                    <w:pStyle w:val="13"/>
                    <w:rPr>
                      <w:color w:val="auto"/>
                      <w:highlight w:val="none"/>
                    </w:rPr>
                  </w:pPr>
                </w:p>
              </w:tc>
              <w:tc>
                <w:tcPr>
                  <w:tcW w:w="235" w:type="pct"/>
                  <w:vMerge w:val="continue"/>
                  <w:vAlign w:val="center"/>
                </w:tcPr>
                <w:p w14:paraId="08F3F9D0">
                  <w:pPr>
                    <w:pStyle w:val="13"/>
                    <w:rPr>
                      <w:color w:val="auto"/>
                      <w:highlight w:val="none"/>
                    </w:rPr>
                  </w:pPr>
                </w:p>
              </w:tc>
              <w:tc>
                <w:tcPr>
                  <w:tcW w:w="235" w:type="pct"/>
                  <w:vMerge w:val="continue"/>
                  <w:vAlign w:val="center"/>
                </w:tcPr>
                <w:p w14:paraId="67651312">
                  <w:pPr>
                    <w:pStyle w:val="13"/>
                    <w:rPr>
                      <w:color w:val="auto"/>
                      <w:highlight w:val="none"/>
                    </w:rPr>
                  </w:pPr>
                </w:p>
              </w:tc>
              <w:tc>
                <w:tcPr>
                  <w:tcW w:w="304" w:type="pct"/>
                  <w:vMerge w:val="continue"/>
                  <w:vAlign w:val="center"/>
                </w:tcPr>
                <w:p w14:paraId="39A8F42F">
                  <w:pPr>
                    <w:pStyle w:val="13"/>
                    <w:rPr>
                      <w:color w:val="auto"/>
                      <w:highlight w:val="none"/>
                    </w:rPr>
                  </w:pPr>
                </w:p>
              </w:tc>
              <w:tc>
                <w:tcPr>
                  <w:tcW w:w="451" w:type="pct"/>
                  <w:vMerge w:val="continue"/>
                  <w:vAlign w:val="center"/>
                </w:tcPr>
                <w:p w14:paraId="3FE907C7">
                  <w:pPr>
                    <w:pStyle w:val="13"/>
                    <w:rPr>
                      <w:color w:val="auto"/>
                      <w:highlight w:val="none"/>
                    </w:rPr>
                  </w:pPr>
                </w:p>
              </w:tc>
              <w:tc>
                <w:tcPr>
                  <w:tcW w:w="462" w:type="pct"/>
                  <w:vAlign w:val="center"/>
                </w:tcPr>
                <w:p w14:paraId="6FC1DB38">
                  <w:pPr>
                    <w:pStyle w:val="13"/>
                    <w:bidi w:val="0"/>
                    <w:rPr>
                      <w:color w:val="auto"/>
                      <w:highlight w:val="none"/>
                    </w:rPr>
                  </w:pPr>
                  <w:r>
                    <w:rPr>
                      <w:rFonts w:hint="eastAsia"/>
                      <w:color w:val="auto"/>
                      <w:highlight w:val="none"/>
                      <w:lang w:val="en-US" w:eastAsia="zh-CN"/>
                    </w:rPr>
                    <w:t>TN</w:t>
                  </w:r>
                </w:p>
              </w:tc>
              <w:tc>
                <w:tcPr>
                  <w:tcW w:w="1010" w:type="pct"/>
                  <w:vAlign w:val="center"/>
                </w:tcPr>
                <w:p w14:paraId="3AA3B4C6">
                  <w:pPr>
                    <w:pStyle w:val="13"/>
                    <w:rPr>
                      <w:rFonts w:hint="default" w:eastAsia="宋体"/>
                      <w:color w:val="auto"/>
                      <w:highlight w:val="none"/>
                      <w:lang w:val="en-US" w:eastAsia="zh-CN"/>
                    </w:rPr>
                  </w:pPr>
                  <w:r>
                    <w:rPr>
                      <w:rFonts w:hint="eastAsia"/>
                      <w:color w:val="auto"/>
                      <w:highlight w:val="none"/>
                      <w:lang w:val="en-US" w:eastAsia="zh-CN"/>
                    </w:rPr>
                    <w:t>70</w:t>
                  </w:r>
                </w:p>
              </w:tc>
              <w:tc>
                <w:tcPr>
                  <w:tcW w:w="203" w:type="pct"/>
                  <w:vMerge w:val="continue"/>
                  <w:vAlign w:val="center"/>
                </w:tcPr>
                <w:p w14:paraId="72ADE59B">
                  <w:pPr>
                    <w:pStyle w:val="13"/>
                    <w:rPr>
                      <w:color w:val="auto"/>
                      <w:highlight w:val="none"/>
                    </w:rPr>
                  </w:pPr>
                </w:p>
              </w:tc>
            </w:tr>
            <w:tr w14:paraId="539EE3F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5" w:type="pct"/>
                  <w:vMerge w:val="continue"/>
                  <w:vAlign w:val="center"/>
                </w:tcPr>
                <w:p w14:paraId="735B7EA4">
                  <w:pPr>
                    <w:pStyle w:val="13"/>
                    <w:rPr>
                      <w:color w:val="auto"/>
                      <w:highlight w:val="none"/>
                    </w:rPr>
                  </w:pPr>
                </w:p>
              </w:tc>
              <w:tc>
                <w:tcPr>
                  <w:tcW w:w="352" w:type="pct"/>
                  <w:vMerge w:val="continue"/>
                  <w:vAlign w:val="center"/>
                </w:tcPr>
                <w:p w14:paraId="12A7F381">
                  <w:pPr>
                    <w:pStyle w:val="13"/>
                    <w:rPr>
                      <w:color w:val="auto"/>
                      <w:highlight w:val="none"/>
                    </w:rPr>
                  </w:pPr>
                </w:p>
              </w:tc>
              <w:tc>
                <w:tcPr>
                  <w:tcW w:w="580" w:type="pct"/>
                  <w:vMerge w:val="continue"/>
                  <w:vAlign w:val="center"/>
                </w:tcPr>
                <w:p w14:paraId="0AAA8B59">
                  <w:pPr>
                    <w:pStyle w:val="13"/>
                    <w:rPr>
                      <w:color w:val="auto"/>
                      <w:highlight w:val="none"/>
                    </w:rPr>
                  </w:pPr>
                </w:p>
              </w:tc>
              <w:tc>
                <w:tcPr>
                  <w:tcW w:w="549" w:type="pct"/>
                  <w:vMerge w:val="continue"/>
                  <w:vAlign w:val="center"/>
                </w:tcPr>
                <w:p w14:paraId="4003C23F">
                  <w:pPr>
                    <w:pStyle w:val="13"/>
                    <w:rPr>
                      <w:color w:val="auto"/>
                      <w:highlight w:val="none"/>
                    </w:rPr>
                  </w:pPr>
                </w:p>
              </w:tc>
              <w:tc>
                <w:tcPr>
                  <w:tcW w:w="462" w:type="pct"/>
                  <w:vMerge w:val="continue"/>
                  <w:vAlign w:val="center"/>
                </w:tcPr>
                <w:p w14:paraId="45270301">
                  <w:pPr>
                    <w:pStyle w:val="13"/>
                    <w:rPr>
                      <w:color w:val="auto"/>
                      <w:highlight w:val="none"/>
                    </w:rPr>
                  </w:pPr>
                </w:p>
              </w:tc>
              <w:tc>
                <w:tcPr>
                  <w:tcW w:w="235" w:type="pct"/>
                  <w:vMerge w:val="continue"/>
                  <w:vAlign w:val="center"/>
                </w:tcPr>
                <w:p w14:paraId="19989B1E">
                  <w:pPr>
                    <w:pStyle w:val="13"/>
                    <w:rPr>
                      <w:color w:val="auto"/>
                      <w:highlight w:val="none"/>
                    </w:rPr>
                  </w:pPr>
                </w:p>
              </w:tc>
              <w:tc>
                <w:tcPr>
                  <w:tcW w:w="235" w:type="pct"/>
                  <w:vMerge w:val="continue"/>
                  <w:vAlign w:val="center"/>
                </w:tcPr>
                <w:p w14:paraId="66015192">
                  <w:pPr>
                    <w:pStyle w:val="13"/>
                    <w:rPr>
                      <w:color w:val="auto"/>
                      <w:highlight w:val="none"/>
                    </w:rPr>
                  </w:pPr>
                </w:p>
              </w:tc>
              <w:tc>
                <w:tcPr>
                  <w:tcW w:w="304" w:type="pct"/>
                  <w:vMerge w:val="continue"/>
                  <w:vAlign w:val="center"/>
                </w:tcPr>
                <w:p w14:paraId="30B54059">
                  <w:pPr>
                    <w:pStyle w:val="13"/>
                    <w:rPr>
                      <w:color w:val="auto"/>
                      <w:highlight w:val="none"/>
                    </w:rPr>
                  </w:pPr>
                </w:p>
              </w:tc>
              <w:tc>
                <w:tcPr>
                  <w:tcW w:w="451" w:type="pct"/>
                  <w:vMerge w:val="continue"/>
                  <w:vAlign w:val="center"/>
                </w:tcPr>
                <w:p w14:paraId="70B9D154">
                  <w:pPr>
                    <w:pStyle w:val="13"/>
                    <w:rPr>
                      <w:color w:val="auto"/>
                      <w:highlight w:val="none"/>
                    </w:rPr>
                  </w:pPr>
                </w:p>
              </w:tc>
              <w:tc>
                <w:tcPr>
                  <w:tcW w:w="462" w:type="pct"/>
                  <w:vAlign w:val="center"/>
                </w:tcPr>
                <w:p w14:paraId="711F917E">
                  <w:pPr>
                    <w:pStyle w:val="13"/>
                    <w:bidi w:val="0"/>
                    <w:rPr>
                      <w:color w:val="auto"/>
                      <w:highlight w:val="none"/>
                    </w:rPr>
                  </w:pPr>
                  <w:r>
                    <w:rPr>
                      <w:rFonts w:hint="eastAsia"/>
                      <w:color w:val="auto"/>
                      <w:highlight w:val="none"/>
                      <w:lang w:val="en-US" w:eastAsia="zh-CN"/>
                    </w:rPr>
                    <w:t>TP</w:t>
                  </w:r>
                </w:p>
              </w:tc>
              <w:tc>
                <w:tcPr>
                  <w:tcW w:w="1010" w:type="pct"/>
                  <w:vAlign w:val="center"/>
                </w:tcPr>
                <w:p w14:paraId="6098F2F8">
                  <w:pPr>
                    <w:pStyle w:val="13"/>
                    <w:rPr>
                      <w:rFonts w:hint="default" w:eastAsia="宋体"/>
                      <w:color w:val="auto"/>
                      <w:highlight w:val="none"/>
                      <w:lang w:val="en-US" w:eastAsia="zh-CN"/>
                    </w:rPr>
                  </w:pPr>
                  <w:r>
                    <w:rPr>
                      <w:rFonts w:hint="eastAsia"/>
                      <w:color w:val="auto"/>
                      <w:highlight w:val="none"/>
                      <w:lang w:val="en-US" w:eastAsia="zh-CN"/>
                    </w:rPr>
                    <w:t>8.0</w:t>
                  </w:r>
                </w:p>
              </w:tc>
              <w:tc>
                <w:tcPr>
                  <w:tcW w:w="203" w:type="pct"/>
                  <w:vMerge w:val="continue"/>
                  <w:vAlign w:val="center"/>
                </w:tcPr>
                <w:p w14:paraId="5134615D">
                  <w:pPr>
                    <w:pStyle w:val="13"/>
                    <w:rPr>
                      <w:color w:val="auto"/>
                      <w:highlight w:val="none"/>
                    </w:rPr>
                  </w:pPr>
                </w:p>
              </w:tc>
            </w:tr>
            <w:tr w14:paraId="558ED58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5" w:type="pct"/>
                  <w:vMerge w:val="continue"/>
                  <w:vAlign w:val="center"/>
                </w:tcPr>
                <w:p w14:paraId="115DE58B">
                  <w:pPr>
                    <w:pStyle w:val="13"/>
                    <w:rPr>
                      <w:color w:val="auto"/>
                      <w:highlight w:val="none"/>
                    </w:rPr>
                  </w:pPr>
                </w:p>
              </w:tc>
              <w:tc>
                <w:tcPr>
                  <w:tcW w:w="352" w:type="pct"/>
                  <w:vMerge w:val="continue"/>
                  <w:vAlign w:val="center"/>
                </w:tcPr>
                <w:p w14:paraId="22A9AE0A">
                  <w:pPr>
                    <w:pStyle w:val="13"/>
                    <w:rPr>
                      <w:color w:val="auto"/>
                      <w:highlight w:val="none"/>
                    </w:rPr>
                  </w:pPr>
                </w:p>
              </w:tc>
              <w:tc>
                <w:tcPr>
                  <w:tcW w:w="580" w:type="pct"/>
                  <w:vMerge w:val="continue"/>
                  <w:vAlign w:val="center"/>
                </w:tcPr>
                <w:p w14:paraId="0B733B8F">
                  <w:pPr>
                    <w:pStyle w:val="13"/>
                    <w:rPr>
                      <w:color w:val="auto"/>
                      <w:highlight w:val="none"/>
                    </w:rPr>
                  </w:pPr>
                </w:p>
              </w:tc>
              <w:tc>
                <w:tcPr>
                  <w:tcW w:w="549" w:type="pct"/>
                  <w:vMerge w:val="continue"/>
                  <w:vAlign w:val="center"/>
                </w:tcPr>
                <w:p w14:paraId="07136C71">
                  <w:pPr>
                    <w:pStyle w:val="13"/>
                    <w:rPr>
                      <w:color w:val="auto"/>
                      <w:highlight w:val="none"/>
                    </w:rPr>
                  </w:pPr>
                </w:p>
              </w:tc>
              <w:tc>
                <w:tcPr>
                  <w:tcW w:w="462" w:type="pct"/>
                  <w:vMerge w:val="continue"/>
                  <w:vAlign w:val="center"/>
                </w:tcPr>
                <w:p w14:paraId="38C766F4">
                  <w:pPr>
                    <w:pStyle w:val="13"/>
                    <w:rPr>
                      <w:color w:val="auto"/>
                      <w:highlight w:val="none"/>
                    </w:rPr>
                  </w:pPr>
                </w:p>
              </w:tc>
              <w:tc>
                <w:tcPr>
                  <w:tcW w:w="235" w:type="pct"/>
                  <w:vMerge w:val="continue"/>
                  <w:vAlign w:val="center"/>
                </w:tcPr>
                <w:p w14:paraId="50523EF1">
                  <w:pPr>
                    <w:pStyle w:val="13"/>
                    <w:rPr>
                      <w:color w:val="auto"/>
                      <w:highlight w:val="none"/>
                    </w:rPr>
                  </w:pPr>
                </w:p>
              </w:tc>
              <w:tc>
                <w:tcPr>
                  <w:tcW w:w="235" w:type="pct"/>
                  <w:vMerge w:val="continue"/>
                  <w:vAlign w:val="center"/>
                </w:tcPr>
                <w:p w14:paraId="32C81440">
                  <w:pPr>
                    <w:pStyle w:val="13"/>
                    <w:rPr>
                      <w:color w:val="auto"/>
                      <w:highlight w:val="none"/>
                    </w:rPr>
                  </w:pPr>
                </w:p>
              </w:tc>
              <w:tc>
                <w:tcPr>
                  <w:tcW w:w="304" w:type="pct"/>
                  <w:vMerge w:val="continue"/>
                  <w:vAlign w:val="center"/>
                </w:tcPr>
                <w:p w14:paraId="0AC0E7E8">
                  <w:pPr>
                    <w:pStyle w:val="13"/>
                    <w:rPr>
                      <w:color w:val="auto"/>
                      <w:highlight w:val="none"/>
                    </w:rPr>
                  </w:pPr>
                </w:p>
              </w:tc>
              <w:tc>
                <w:tcPr>
                  <w:tcW w:w="451" w:type="pct"/>
                  <w:vMerge w:val="continue"/>
                  <w:vAlign w:val="center"/>
                </w:tcPr>
                <w:p w14:paraId="0937DD4B">
                  <w:pPr>
                    <w:pStyle w:val="13"/>
                    <w:rPr>
                      <w:color w:val="auto"/>
                      <w:highlight w:val="none"/>
                    </w:rPr>
                  </w:pPr>
                </w:p>
              </w:tc>
              <w:tc>
                <w:tcPr>
                  <w:tcW w:w="462" w:type="pct"/>
                  <w:vAlign w:val="center"/>
                </w:tcPr>
                <w:p w14:paraId="5F964CC8">
                  <w:pPr>
                    <w:pStyle w:val="13"/>
                    <w:bidi w:val="0"/>
                    <w:rPr>
                      <w:color w:val="auto"/>
                      <w:highlight w:val="none"/>
                    </w:rPr>
                  </w:pPr>
                  <w:r>
                    <w:rPr>
                      <w:rFonts w:hint="eastAsia"/>
                      <w:color w:val="auto"/>
                      <w:highlight w:val="none"/>
                    </w:rPr>
                    <w:t>动植物油</w:t>
                  </w:r>
                </w:p>
              </w:tc>
              <w:tc>
                <w:tcPr>
                  <w:tcW w:w="1010" w:type="pct"/>
                  <w:vAlign w:val="center"/>
                </w:tcPr>
                <w:p w14:paraId="3C5B3664">
                  <w:pPr>
                    <w:pStyle w:val="13"/>
                    <w:rPr>
                      <w:rFonts w:hint="default" w:eastAsia="宋体"/>
                      <w:color w:val="auto"/>
                      <w:highlight w:val="none"/>
                      <w:lang w:val="en-US" w:eastAsia="zh-CN"/>
                    </w:rPr>
                  </w:pPr>
                  <w:r>
                    <w:rPr>
                      <w:rFonts w:hint="eastAsia"/>
                      <w:color w:val="auto"/>
                      <w:highlight w:val="none"/>
                      <w:lang w:val="en-US" w:eastAsia="zh-CN"/>
                    </w:rPr>
                    <w:t>100</w:t>
                  </w:r>
                </w:p>
              </w:tc>
              <w:tc>
                <w:tcPr>
                  <w:tcW w:w="203" w:type="pct"/>
                  <w:vMerge w:val="continue"/>
                  <w:vAlign w:val="center"/>
                </w:tcPr>
                <w:p w14:paraId="45A8C389">
                  <w:pPr>
                    <w:pStyle w:val="13"/>
                    <w:rPr>
                      <w:color w:val="auto"/>
                      <w:highlight w:val="none"/>
                    </w:rPr>
                  </w:pPr>
                </w:p>
              </w:tc>
            </w:tr>
          </w:tbl>
          <w:p w14:paraId="21718ED6">
            <w:pPr>
              <w:rPr>
                <w:rFonts w:hint="eastAsia"/>
                <w:color w:val="auto"/>
                <w:highlight w:val="none"/>
              </w:rPr>
            </w:pPr>
          </w:p>
          <w:p w14:paraId="3613FCED">
            <w:pPr>
              <w:rPr>
                <w:rFonts w:hint="eastAsia"/>
                <w:color w:val="auto"/>
                <w:highlight w:val="none"/>
              </w:rPr>
            </w:pPr>
          </w:p>
          <w:p w14:paraId="60809FEB">
            <w:pPr>
              <w:rPr>
                <w:rFonts w:hint="eastAsia"/>
                <w:color w:val="auto"/>
                <w:highlight w:val="none"/>
              </w:rPr>
            </w:pPr>
          </w:p>
          <w:p w14:paraId="4A6CB7D8">
            <w:pPr>
              <w:rPr>
                <w:rFonts w:hint="eastAsia"/>
                <w:color w:val="auto"/>
                <w:highlight w:val="none"/>
              </w:rPr>
            </w:pPr>
          </w:p>
          <w:p w14:paraId="318C9206">
            <w:pPr>
              <w:rPr>
                <w:rFonts w:hint="eastAsia"/>
                <w:color w:val="auto"/>
                <w:highlight w:val="none"/>
              </w:rPr>
            </w:pPr>
          </w:p>
          <w:p w14:paraId="32C76EA0">
            <w:pPr>
              <w:rPr>
                <w:rFonts w:hint="eastAsia"/>
                <w:color w:val="auto"/>
                <w:highlight w:val="none"/>
              </w:rPr>
            </w:pPr>
          </w:p>
          <w:p w14:paraId="26A814D6">
            <w:pPr>
              <w:rPr>
                <w:rFonts w:hint="eastAsia"/>
                <w:color w:val="auto"/>
                <w:highlight w:val="none"/>
              </w:rPr>
            </w:pPr>
          </w:p>
          <w:p w14:paraId="0E921AFF">
            <w:pPr>
              <w:ind w:firstLine="480"/>
              <w:rPr>
                <w:color w:val="auto"/>
                <w:highlight w:val="none"/>
              </w:rPr>
            </w:pPr>
          </w:p>
        </w:tc>
      </w:tr>
    </w:tbl>
    <w:p w14:paraId="12B1E9F7">
      <w:pPr>
        <w:ind w:firstLine="480"/>
        <w:rPr>
          <w:color w:val="auto"/>
          <w:highlight w:val="none"/>
        </w:rPr>
        <w:sectPr>
          <w:pgSz w:w="16838" w:h="11906" w:orient="landscape"/>
          <w:pgMar w:top="1134" w:right="1134" w:bottom="1247" w:left="1247" w:header="851" w:footer="850" w:gutter="0"/>
          <w:cols w:space="425" w:num="1"/>
          <w:docGrid w:type="lines" w:linePitch="312" w:charSpace="0"/>
        </w:sectPr>
      </w:pP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9285"/>
      </w:tblGrid>
      <w:tr w14:paraId="7A74D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 w:type="pct"/>
          </w:tcPr>
          <w:p w14:paraId="4E697395">
            <w:pPr>
              <w:ind w:firstLine="0" w:firstLineChars="0"/>
              <w:rPr>
                <w:color w:val="auto"/>
                <w:highlight w:val="none"/>
              </w:rPr>
            </w:pPr>
            <w:r>
              <w:rPr>
                <w:rFonts w:hint="eastAsia"/>
                <w:b/>
                <w:bCs/>
                <w:color w:val="auto"/>
                <w:highlight w:val="none"/>
              </w:rPr>
              <w:t>运营期环境影响和保护措施</w:t>
            </w:r>
          </w:p>
        </w:tc>
        <w:tc>
          <w:tcPr>
            <w:tcW w:w="4765" w:type="pct"/>
          </w:tcPr>
          <w:p w14:paraId="3E840694">
            <w:pPr>
              <w:pStyle w:val="3"/>
              <w:ind w:firstLine="482"/>
              <w:rPr>
                <w:color w:val="auto"/>
                <w:highlight w:val="none"/>
              </w:rPr>
            </w:pPr>
            <w:r>
              <w:rPr>
                <w:rFonts w:hint="eastAsia"/>
                <w:color w:val="auto"/>
                <w:highlight w:val="none"/>
              </w:rPr>
              <w:t>（2）</w:t>
            </w:r>
            <w:r>
              <w:rPr>
                <w:color w:val="auto"/>
                <w:highlight w:val="none"/>
              </w:rPr>
              <w:t>废水产生情况分析</w:t>
            </w:r>
          </w:p>
          <w:p w14:paraId="656E4304">
            <w:pPr>
              <w:ind w:firstLine="480"/>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调质废水</w:t>
            </w:r>
          </w:p>
          <w:p w14:paraId="50882B3A">
            <w:pPr>
              <w:bidi w:val="0"/>
              <w:rPr>
                <w:rFonts w:hint="default"/>
                <w:color w:val="auto"/>
                <w:highlight w:val="none"/>
                <w:lang w:val="en-US" w:eastAsia="zh-CN"/>
              </w:rPr>
            </w:pPr>
            <w:r>
              <w:rPr>
                <w:rFonts w:hint="eastAsia"/>
                <w:color w:val="auto"/>
                <w:highlight w:val="none"/>
                <w:lang w:val="en-US" w:eastAsia="zh-CN"/>
              </w:rPr>
              <w:t>项目调质废水为软水机制备软水时产生的废水，产生量为5%，则调质废水产生量为17.5t/a。</w:t>
            </w:r>
          </w:p>
          <w:p w14:paraId="52F36EE9">
            <w:pPr>
              <w:ind w:firstLine="480"/>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生活污水</w:t>
            </w:r>
          </w:p>
          <w:p w14:paraId="69FD215F">
            <w:pPr>
              <w:ind w:firstLine="480"/>
              <w:rPr>
                <w:rFonts w:hint="eastAsia"/>
                <w:color w:val="auto"/>
                <w:highlight w:val="none"/>
              </w:rPr>
            </w:pPr>
            <w:r>
              <w:rPr>
                <w:rFonts w:hint="eastAsia" w:ascii="宋体" w:hAnsi="宋体" w:cs="宋体"/>
                <w:color w:val="auto"/>
                <w:highlight w:val="none"/>
              </w:rPr>
              <w:t>本项目</w:t>
            </w:r>
            <w:r>
              <w:rPr>
                <w:rFonts w:hint="eastAsia"/>
                <w:color w:val="auto"/>
                <w:highlight w:val="none"/>
              </w:rPr>
              <w:t>劳动定员20人，年工作时间300天。根据《安徽省行业用水定额》（DB34/T 679-2025），职工办公有食堂的生活用水按110L/人·d计，生活污水产生系数按0.8计，则项目生活污水量为1.</w:t>
            </w:r>
            <w:r>
              <w:rPr>
                <w:rFonts w:hint="eastAsia"/>
                <w:color w:val="auto"/>
                <w:highlight w:val="none"/>
                <w:lang w:val="en-US" w:eastAsia="zh-CN"/>
              </w:rPr>
              <w:t>76</w:t>
            </w:r>
            <w:r>
              <w:rPr>
                <w:rFonts w:hint="eastAsia"/>
                <w:color w:val="auto"/>
                <w:highlight w:val="none"/>
              </w:rPr>
              <w:t>t/d（528t/a）。</w:t>
            </w:r>
          </w:p>
          <w:p w14:paraId="23D55624">
            <w:pPr>
              <w:ind w:firstLine="480"/>
              <w:rPr>
                <w:rFonts w:hint="default" w:eastAsia="宋体"/>
                <w:color w:val="auto"/>
                <w:highlight w:val="none"/>
                <w:lang w:val="en-US" w:eastAsia="zh-CN"/>
              </w:rPr>
            </w:pPr>
            <w:r>
              <w:rPr>
                <w:rFonts w:hint="eastAsia"/>
                <w:color w:val="auto"/>
                <w:highlight w:val="none"/>
                <w:lang w:val="en-US" w:eastAsia="zh-CN"/>
              </w:rPr>
              <w:t>项目废水产生量为</w:t>
            </w:r>
            <w:r>
              <w:rPr>
                <w:rFonts w:hint="eastAsia"/>
                <w:color w:val="auto"/>
                <w:highlight w:val="none"/>
              </w:rPr>
              <w:t>1.</w:t>
            </w:r>
            <w:r>
              <w:rPr>
                <w:rFonts w:hint="eastAsia"/>
                <w:color w:val="auto"/>
                <w:highlight w:val="none"/>
                <w:lang w:val="en-US" w:eastAsia="zh-CN"/>
              </w:rPr>
              <w:t>82</w:t>
            </w:r>
            <w:r>
              <w:rPr>
                <w:rFonts w:hint="eastAsia"/>
                <w:color w:val="auto"/>
                <w:highlight w:val="none"/>
              </w:rPr>
              <w:t>t/d</w:t>
            </w:r>
            <w:r>
              <w:rPr>
                <w:rFonts w:hint="eastAsia"/>
                <w:color w:val="auto"/>
                <w:highlight w:val="none"/>
                <w:lang w:eastAsia="zh-CN"/>
              </w:rPr>
              <w:t>（</w:t>
            </w:r>
            <w:r>
              <w:rPr>
                <w:rFonts w:hint="eastAsia"/>
                <w:color w:val="auto"/>
                <w:highlight w:val="none"/>
                <w:lang w:val="en-US" w:eastAsia="zh-CN"/>
              </w:rPr>
              <w:t>545.5t/a</w:t>
            </w:r>
            <w:r>
              <w:rPr>
                <w:rFonts w:hint="eastAsia"/>
                <w:color w:val="auto"/>
                <w:highlight w:val="none"/>
                <w:lang w:eastAsia="zh-CN"/>
              </w:rPr>
              <w:t>）</w:t>
            </w:r>
            <w:r>
              <w:rPr>
                <w:rFonts w:hint="eastAsia"/>
                <w:color w:val="auto"/>
                <w:highlight w:val="none"/>
                <w:lang w:val="en-US" w:eastAsia="zh-CN"/>
              </w:rPr>
              <w:t>。</w:t>
            </w:r>
          </w:p>
          <w:p w14:paraId="2EF62FE6">
            <w:pPr>
              <w:pStyle w:val="3"/>
              <w:ind w:firstLine="482"/>
              <w:rPr>
                <w:color w:val="auto"/>
                <w:highlight w:val="none"/>
              </w:rPr>
            </w:pPr>
            <w:r>
              <w:rPr>
                <w:rFonts w:hint="eastAsia"/>
                <w:color w:val="auto"/>
                <w:highlight w:val="none"/>
              </w:rPr>
              <w:t>（3）</w:t>
            </w:r>
            <w:r>
              <w:rPr>
                <w:color w:val="auto"/>
                <w:highlight w:val="none"/>
              </w:rPr>
              <w:t>水环境影响及保护措施</w:t>
            </w:r>
          </w:p>
          <w:p w14:paraId="35986418">
            <w:pPr>
              <w:ind w:firstLine="480"/>
              <w:rPr>
                <w:color w:val="auto"/>
                <w:highlight w:val="none"/>
              </w:rPr>
            </w:pPr>
            <w:r>
              <w:rPr>
                <w:rFonts w:hint="eastAsia"/>
                <w:color w:val="auto"/>
                <w:highlight w:val="none"/>
              </w:rPr>
              <w:t>项目采用雨污分流制，雨水经收集后，排入市政雨水管网；</w:t>
            </w:r>
            <w:r>
              <w:rPr>
                <w:rFonts w:hint="eastAsia"/>
                <w:color w:val="auto"/>
                <w:highlight w:val="none"/>
                <w:lang w:eastAsia="zh-CN"/>
              </w:rPr>
              <w:t>生活污水经隔油池、化粪池处理达酉华镇污水处理站接管标准后，与调质废水一起纳管排入酉华镇污水处理站处理，达到《城镇污水处理站污染物排放标准》（GB 18918-2002）一级A标准后排入七星河</w:t>
            </w:r>
            <w:r>
              <w:rPr>
                <w:rFonts w:hint="eastAsia"/>
                <w:color w:val="auto"/>
                <w:highlight w:val="none"/>
              </w:rPr>
              <w:t>。</w:t>
            </w:r>
          </w:p>
          <w:p w14:paraId="3244C8E2">
            <w:pPr>
              <w:pStyle w:val="3"/>
              <w:ind w:firstLine="482"/>
              <w:rPr>
                <w:color w:val="auto"/>
                <w:highlight w:val="none"/>
              </w:rPr>
            </w:pPr>
            <w:r>
              <w:rPr>
                <w:rFonts w:hint="eastAsia"/>
                <w:color w:val="auto"/>
                <w:highlight w:val="none"/>
              </w:rPr>
              <w:t>（4）酉华镇污水处理站</w:t>
            </w:r>
            <w:r>
              <w:rPr>
                <w:color w:val="auto"/>
                <w:highlight w:val="none"/>
              </w:rPr>
              <w:t>依托可行性</w:t>
            </w:r>
          </w:p>
          <w:p w14:paraId="13DB499D">
            <w:pPr>
              <w:ind w:firstLine="480"/>
              <w:rPr>
                <w:color w:val="auto"/>
                <w:highlight w:val="none"/>
              </w:rPr>
            </w:pPr>
            <w:r>
              <w:rPr>
                <w:rFonts w:hint="eastAsia"/>
                <w:color w:val="auto"/>
                <w:highlight w:val="none"/>
              </w:rPr>
              <w:t>酉华镇污水排入酉华镇污水处理站处理，酉华镇污水处理站按《城镇污水处理站污染物排放标准》（GB</w:t>
            </w:r>
            <w:r>
              <w:rPr>
                <w:rFonts w:hint="eastAsia"/>
                <w:color w:val="auto"/>
                <w:highlight w:val="none"/>
                <w:lang w:val="en-US" w:eastAsia="zh-CN"/>
              </w:rPr>
              <w:t xml:space="preserve"> </w:t>
            </w:r>
            <w:r>
              <w:rPr>
                <w:rFonts w:hint="eastAsia"/>
                <w:color w:val="auto"/>
                <w:highlight w:val="none"/>
              </w:rPr>
              <w:t>18918-2002）一级A标准建设，日处理能力300t/d。</w:t>
            </w:r>
          </w:p>
          <w:p w14:paraId="5EA3D8C3">
            <w:pPr>
              <w:ind w:firstLine="480"/>
              <w:rPr>
                <w:color w:val="auto"/>
                <w:highlight w:val="none"/>
              </w:rPr>
            </w:pPr>
            <w:r>
              <w:rPr>
                <w:rFonts w:hint="eastAsia"/>
                <w:color w:val="auto"/>
                <w:highlight w:val="none"/>
              </w:rPr>
              <w:t>本项目所在位置属于酉华镇污水处理站接管范围内，废水排放量1.</w:t>
            </w:r>
            <w:r>
              <w:rPr>
                <w:rFonts w:hint="eastAsia"/>
                <w:color w:val="auto"/>
                <w:highlight w:val="none"/>
                <w:lang w:val="en-US" w:eastAsia="zh-CN"/>
              </w:rPr>
              <w:t>82</w:t>
            </w:r>
            <w:r>
              <w:rPr>
                <w:rFonts w:hint="eastAsia"/>
                <w:color w:val="auto"/>
                <w:highlight w:val="none"/>
              </w:rPr>
              <w:t>t/d，酉华镇污水处理站处理规模为300t/d（现状余量约</w:t>
            </w:r>
            <w:r>
              <w:rPr>
                <w:rFonts w:hint="eastAsia"/>
                <w:color w:val="auto"/>
                <w:highlight w:val="none"/>
                <w:lang w:val="en-US" w:eastAsia="zh-CN"/>
              </w:rPr>
              <w:t>15</w:t>
            </w:r>
            <w:r>
              <w:rPr>
                <w:rFonts w:hint="eastAsia"/>
                <w:color w:val="auto"/>
                <w:highlight w:val="none"/>
              </w:rPr>
              <w:t>0t/d），从废水水量来说，本项目废水仅占处理余量的1.</w:t>
            </w:r>
            <w:r>
              <w:rPr>
                <w:rFonts w:hint="eastAsia"/>
                <w:color w:val="auto"/>
                <w:highlight w:val="none"/>
                <w:lang w:val="en-US" w:eastAsia="zh-CN"/>
              </w:rPr>
              <w:t>21</w:t>
            </w:r>
            <w:r>
              <w:rPr>
                <w:rFonts w:hint="eastAsia"/>
                <w:color w:val="auto"/>
                <w:highlight w:val="none"/>
              </w:rPr>
              <w:t>%，废水水量接管是可行的。项目</w:t>
            </w:r>
            <w:r>
              <w:rPr>
                <w:rFonts w:hint="eastAsia"/>
                <w:color w:val="auto"/>
                <w:highlight w:val="none"/>
                <w:lang w:val="en-US" w:eastAsia="zh-CN"/>
              </w:rPr>
              <w:t>调质废水为软水制备废水，</w:t>
            </w:r>
            <w:r>
              <w:rPr>
                <w:rFonts w:hint="eastAsia"/>
                <w:color w:val="auto"/>
                <w:highlight w:val="none"/>
              </w:rPr>
              <w:t>生活污水经化粪池处理后水质简单，能够达到酉华镇污水处理站接管标准，经污水管网接入酉华镇污水处理站，不会对污水处理站的正常运行产生冲击负荷，不影响其水质稳定达标处理排放。因此，从水质上说废水接管是可行的。</w:t>
            </w:r>
          </w:p>
          <w:p w14:paraId="4EBF8AAE">
            <w:pPr>
              <w:ind w:firstLine="480"/>
              <w:rPr>
                <w:color w:val="auto"/>
                <w:highlight w:val="none"/>
              </w:rPr>
            </w:pPr>
            <w:r>
              <w:rPr>
                <w:rFonts w:hint="eastAsia"/>
                <w:color w:val="auto"/>
                <w:highlight w:val="none"/>
              </w:rPr>
              <w:t>综上所述，本项目所在区域在酉华镇污水处理站服务范围内，外排废水水质能达到污水处理站的进水水质要求，不会对污水处理站正常运行造成影响。因此，本项目运营期污水依托酉华镇污水处理站处理可行的。</w:t>
            </w:r>
          </w:p>
          <w:p w14:paraId="253806E2">
            <w:pPr>
              <w:pStyle w:val="3"/>
              <w:ind w:firstLine="482"/>
              <w:rPr>
                <w:color w:val="auto"/>
                <w:highlight w:val="none"/>
              </w:rPr>
            </w:pPr>
            <w:r>
              <w:rPr>
                <w:color w:val="auto"/>
                <w:highlight w:val="none"/>
              </w:rPr>
              <w:t>（</w:t>
            </w:r>
            <w:r>
              <w:rPr>
                <w:rFonts w:hint="eastAsia"/>
                <w:color w:val="auto"/>
                <w:highlight w:val="none"/>
              </w:rPr>
              <w:t>5</w:t>
            </w:r>
            <w:r>
              <w:rPr>
                <w:color w:val="auto"/>
                <w:highlight w:val="none"/>
              </w:rPr>
              <w:t>）监测计划</w:t>
            </w:r>
          </w:p>
          <w:p w14:paraId="716CE57D">
            <w:pPr>
              <w:ind w:firstLine="480"/>
              <w:rPr>
                <w:color w:val="auto"/>
                <w:highlight w:val="none"/>
              </w:rPr>
            </w:pPr>
            <w:r>
              <w:rPr>
                <w:color w:val="auto"/>
                <w:highlight w:val="none"/>
              </w:rPr>
              <w:t>根据</w:t>
            </w:r>
            <w:r>
              <w:rPr>
                <w:rFonts w:hint="eastAsia"/>
                <w:color w:val="auto"/>
                <w:highlight w:val="none"/>
              </w:rPr>
              <w:t>《排污单位自行监测技术指南 农副食品加工业》（HJ 986-2018）、《排污许可证申请与核发技术规范 农副食品加工工业-饲料加工、植物油加工工业》（HJ 1110-2020）、《排污许可证申请与核发技术规范 总则》（HJ 942-2018）</w:t>
            </w:r>
            <w:r>
              <w:rPr>
                <w:color w:val="auto"/>
                <w:highlight w:val="none"/>
              </w:rPr>
              <w:t>和《排污单位自行监测技术指南</w:t>
            </w:r>
            <w:r>
              <w:rPr>
                <w:rFonts w:hint="eastAsia"/>
                <w:color w:val="auto"/>
                <w:highlight w:val="none"/>
              </w:rPr>
              <w:t xml:space="preserve"> </w:t>
            </w:r>
            <w:r>
              <w:rPr>
                <w:color w:val="auto"/>
                <w:highlight w:val="none"/>
              </w:rPr>
              <w:t>总则》（HJ 819-2017），项目水环境监测点位设置、监测频次及最低监测频次按</w:t>
            </w:r>
            <w:r>
              <w:rPr>
                <w:rFonts w:hint="eastAsia"/>
                <w:color w:val="auto"/>
                <w:highlight w:val="none"/>
              </w:rPr>
              <w:t>下表</w:t>
            </w:r>
            <w:r>
              <w:rPr>
                <w:color w:val="auto"/>
                <w:highlight w:val="none"/>
              </w:rPr>
              <w:t>执行。</w:t>
            </w:r>
          </w:p>
          <w:p w14:paraId="79ACE0FF">
            <w:pPr>
              <w:pStyle w:val="14"/>
              <w:spacing w:before="156"/>
              <w:rPr>
                <w:color w:val="auto"/>
                <w:highlight w:val="none"/>
              </w:rPr>
            </w:pPr>
            <w:r>
              <w:rPr>
                <w:color w:val="auto"/>
                <w:highlight w:val="none"/>
              </w:rPr>
              <w:t>表4-</w:t>
            </w:r>
            <w:r>
              <w:rPr>
                <w:rFonts w:hint="eastAsia"/>
                <w:color w:val="auto"/>
                <w:highlight w:val="none"/>
                <w:lang w:val="en-US" w:eastAsia="zh-CN"/>
              </w:rPr>
              <w:t>9</w:t>
            </w:r>
            <w:r>
              <w:rPr>
                <w:color w:val="auto"/>
                <w:highlight w:val="none"/>
              </w:rPr>
              <w:t xml:space="preserve">  </w:t>
            </w:r>
            <w:r>
              <w:rPr>
                <w:rFonts w:hint="eastAsia"/>
                <w:color w:val="auto"/>
                <w:highlight w:val="none"/>
              </w:rPr>
              <w:t>水</w:t>
            </w:r>
            <w:r>
              <w:rPr>
                <w:color w:val="auto"/>
                <w:highlight w:val="none"/>
              </w:rPr>
              <w:t>环境监测计划一览表</w:t>
            </w:r>
          </w:p>
          <w:tbl>
            <w:tblPr>
              <w:tblStyle w:val="9"/>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681"/>
              <w:gridCol w:w="689"/>
              <w:gridCol w:w="1095"/>
              <w:gridCol w:w="914"/>
              <w:gridCol w:w="1720"/>
              <w:gridCol w:w="2879"/>
              <w:gridCol w:w="1071"/>
            </w:tblGrid>
            <w:tr w14:paraId="662721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376" w:type="pct"/>
                  <w:tcBorders>
                    <w:tl2br w:val="nil"/>
                    <w:tr2bl w:val="nil"/>
                  </w:tcBorders>
                  <w:vAlign w:val="center"/>
                </w:tcPr>
                <w:p w14:paraId="0280D46D">
                  <w:pPr>
                    <w:pStyle w:val="13"/>
                    <w:rPr>
                      <w:b/>
                      <w:bCs/>
                      <w:color w:val="auto"/>
                      <w:highlight w:val="none"/>
                    </w:rPr>
                  </w:pPr>
                  <w:r>
                    <w:rPr>
                      <w:b/>
                      <w:bCs/>
                      <w:color w:val="auto"/>
                      <w:highlight w:val="none"/>
                    </w:rPr>
                    <w:t>序号</w:t>
                  </w:r>
                </w:p>
              </w:tc>
              <w:tc>
                <w:tcPr>
                  <w:tcW w:w="380" w:type="pct"/>
                  <w:tcBorders>
                    <w:tl2br w:val="nil"/>
                    <w:tr2bl w:val="nil"/>
                  </w:tcBorders>
                  <w:vAlign w:val="center"/>
                </w:tcPr>
                <w:p w14:paraId="5A77C6F9">
                  <w:pPr>
                    <w:pStyle w:val="13"/>
                    <w:rPr>
                      <w:b/>
                      <w:bCs/>
                      <w:color w:val="auto"/>
                      <w:highlight w:val="none"/>
                    </w:rPr>
                  </w:pPr>
                  <w:r>
                    <w:rPr>
                      <w:b/>
                      <w:bCs/>
                      <w:color w:val="auto"/>
                      <w:highlight w:val="none"/>
                    </w:rPr>
                    <w:t>监测点位</w:t>
                  </w:r>
                </w:p>
              </w:tc>
              <w:tc>
                <w:tcPr>
                  <w:tcW w:w="605" w:type="pct"/>
                  <w:tcBorders>
                    <w:tl2br w:val="nil"/>
                    <w:tr2bl w:val="nil"/>
                  </w:tcBorders>
                  <w:vAlign w:val="center"/>
                </w:tcPr>
                <w:p w14:paraId="7952B3AB">
                  <w:pPr>
                    <w:pStyle w:val="13"/>
                    <w:rPr>
                      <w:b/>
                      <w:bCs/>
                      <w:color w:val="auto"/>
                      <w:highlight w:val="none"/>
                    </w:rPr>
                  </w:pPr>
                  <w:r>
                    <w:rPr>
                      <w:b/>
                      <w:bCs/>
                      <w:color w:val="auto"/>
                      <w:highlight w:val="none"/>
                    </w:rPr>
                    <w:t>监测项目</w:t>
                  </w:r>
                </w:p>
              </w:tc>
              <w:tc>
                <w:tcPr>
                  <w:tcW w:w="505" w:type="pct"/>
                  <w:tcBorders>
                    <w:tl2br w:val="nil"/>
                    <w:tr2bl w:val="nil"/>
                  </w:tcBorders>
                  <w:vAlign w:val="center"/>
                </w:tcPr>
                <w:p w14:paraId="16FC6DFC">
                  <w:pPr>
                    <w:pStyle w:val="13"/>
                    <w:rPr>
                      <w:b/>
                      <w:bCs/>
                      <w:color w:val="auto"/>
                      <w:highlight w:val="none"/>
                    </w:rPr>
                  </w:pPr>
                  <w:r>
                    <w:rPr>
                      <w:b/>
                      <w:bCs/>
                      <w:color w:val="auto"/>
                      <w:highlight w:val="none"/>
                    </w:rPr>
                    <w:t>频率</w:t>
                  </w:r>
                </w:p>
              </w:tc>
              <w:tc>
                <w:tcPr>
                  <w:tcW w:w="950" w:type="pct"/>
                  <w:tcBorders>
                    <w:tl2br w:val="nil"/>
                    <w:tr2bl w:val="nil"/>
                  </w:tcBorders>
                  <w:vAlign w:val="center"/>
                </w:tcPr>
                <w:p w14:paraId="00667BA5">
                  <w:pPr>
                    <w:pStyle w:val="13"/>
                    <w:rPr>
                      <w:b/>
                      <w:bCs/>
                      <w:color w:val="auto"/>
                      <w:highlight w:val="none"/>
                    </w:rPr>
                  </w:pPr>
                  <w:r>
                    <w:rPr>
                      <w:b/>
                      <w:bCs/>
                      <w:color w:val="auto"/>
                      <w:highlight w:val="none"/>
                    </w:rPr>
                    <w:t>实施单位</w:t>
                  </w:r>
                </w:p>
              </w:tc>
              <w:tc>
                <w:tcPr>
                  <w:tcW w:w="1590" w:type="pct"/>
                  <w:tcBorders>
                    <w:tl2br w:val="nil"/>
                    <w:tr2bl w:val="nil"/>
                  </w:tcBorders>
                  <w:vAlign w:val="center"/>
                </w:tcPr>
                <w:p w14:paraId="7E5F0D9D">
                  <w:pPr>
                    <w:pStyle w:val="13"/>
                    <w:rPr>
                      <w:b/>
                      <w:bCs/>
                      <w:color w:val="auto"/>
                      <w:highlight w:val="none"/>
                    </w:rPr>
                  </w:pPr>
                  <w:r>
                    <w:rPr>
                      <w:b/>
                      <w:bCs/>
                      <w:color w:val="auto"/>
                      <w:highlight w:val="none"/>
                    </w:rPr>
                    <w:t>执行标准</w:t>
                  </w:r>
                </w:p>
              </w:tc>
              <w:tc>
                <w:tcPr>
                  <w:tcW w:w="591" w:type="pct"/>
                  <w:tcBorders>
                    <w:tl2br w:val="nil"/>
                    <w:tr2bl w:val="nil"/>
                  </w:tcBorders>
                  <w:vAlign w:val="center"/>
                </w:tcPr>
                <w:p w14:paraId="2C7D00A3">
                  <w:pPr>
                    <w:pStyle w:val="13"/>
                    <w:rPr>
                      <w:b/>
                      <w:bCs/>
                      <w:color w:val="auto"/>
                      <w:highlight w:val="none"/>
                    </w:rPr>
                  </w:pPr>
                  <w:r>
                    <w:rPr>
                      <w:rFonts w:hint="eastAsia"/>
                      <w:b/>
                      <w:bCs/>
                      <w:color w:val="auto"/>
                      <w:highlight w:val="none"/>
                    </w:rPr>
                    <w:t>监测频次</w:t>
                  </w:r>
                </w:p>
              </w:tc>
            </w:tr>
            <w:tr w14:paraId="5A20806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376" w:type="pct"/>
                  <w:tcBorders>
                    <w:tl2br w:val="nil"/>
                    <w:tr2bl w:val="nil"/>
                  </w:tcBorders>
                  <w:vAlign w:val="center"/>
                </w:tcPr>
                <w:p w14:paraId="02888894">
                  <w:pPr>
                    <w:pStyle w:val="13"/>
                    <w:rPr>
                      <w:color w:val="auto"/>
                      <w:highlight w:val="none"/>
                    </w:rPr>
                  </w:pPr>
                  <w:r>
                    <w:rPr>
                      <w:rFonts w:hint="eastAsia"/>
                      <w:color w:val="auto"/>
                      <w:highlight w:val="none"/>
                    </w:rPr>
                    <w:t>1</w:t>
                  </w:r>
                </w:p>
              </w:tc>
              <w:tc>
                <w:tcPr>
                  <w:tcW w:w="380" w:type="pct"/>
                  <w:tcBorders>
                    <w:tl2br w:val="nil"/>
                    <w:tr2bl w:val="nil"/>
                  </w:tcBorders>
                  <w:vAlign w:val="center"/>
                </w:tcPr>
                <w:p w14:paraId="2AE66A48">
                  <w:pPr>
                    <w:pStyle w:val="13"/>
                    <w:rPr>
                      <w:color w:val="auto"/>
                      <w:highlight w:val="none"/>
                    </w:rPr>
                  </w:pPr>
                  <w:r>
                    <w:rPr>
                      <w:rFonts w:hint="eastAsia"/>
                      <w:color w:val="auto"/>
                      <w:highlight w:val="none"/>
                    </w:rPr>
                    <w:t>废水</w:t>
                  </w:r>
                </w:p>
              </w:tc>
              <w:tc>
                <w:tcPr>
                  <w:tcW w:w="605" w:type="pct"/>
                  <w:tcBorders>
                    <w:tl2br w:val="nil"/>
                    <w:tr2bl w:val="nil"/>
                  </w:tcBorders>
                  <w:vAlign w:val="center"/>
                </w:tcPr>
                <w:p w14:paraId="7E1CE41C">
                  <w:pPr>
                    <w:pStyle w:val="13"/>
                    <w:rPr>
                      <w:color w:val="auto"/>
                      <w:highlight w:val="none"/>
                    </w:rPr>
                  </w:pPr>
                  <w:r>
                    <w:rPr>
                      <w:rFonts w:hint="eastAsia"/>
                      <w:color w:val="auto"/>
                      <w:highlight w:val="none"/>
                    </w:rPr>
                    <w:t>DW001</w:t>
                  </w:r>
                </w:p>
              </w:tc>
              <w:tc>
                <w:tcPr>
                  <w:tcW w:w="505" w:type="pct"/>
                  <w:tcBorders>
                    <w:tl2br w:val="nil"/>
                    <w:tr2bl w:val="nil"/>
                  </w:tcBorders>
                  <w:vAlign w:val="center"/>
                </w:tcPr>
                <w:p w14:paraId="3773411B">
                  <w:pPr>
                    <w:pStyle w:val="13"/>
                    <w:rPr>
                      <w:color w:val="auto"/>
                      <w:highlight w:val="none"/>
                    </w:rPr>
                  </w:pPr>
                  <w:r>
                    <w:rPr>
                      <w:rFonts w:hint="eastAsia"/>
                      <w:color w:val="auto"/>
                      <w:highlight w:val="none"/>
                    </w:rPr>
                    <w:t>废水总排口</w:t>
                  </w:r>
                </w:p>
              </w:tc>
              <w:tc>
                <w:tcPr>
                  <w:tcW w:w="950" w:type="pct"/>
                  <w:tcBorders>
                    <w:tl2br w:val="nil"/>
                    <w:tr2bl w:val="nil"/>
                  </w:tcBorders>
                  <w:vAlign w:val="center"/>
                </w:tcPr>
                <w:p w14:paraId="4116B3B4">
                  <w:pPr>
                    <w:pStyle w:val="13"/>
                    <w:rPr>
                      <w:color w:val="auto"/>
                      <w:highlight w:val="none"/>
                    </w:rPr>
                  </w:pPr>
                  <w:r>
                    <w:rPr>
                      <w:rFonts w:hint="eastAsia"/>
                      <w:color w:val="auto"/>
                      <w:highlight w:val="none"/>
                    </w:rPr>
                    <w:t>pH</w:t>
                  </w:r>
                  <w:r>
                    <w:rPr>
                      <w:rFonts w:hint="eastAsia"/>
                      <w:color w:val="auto"/>
                      <w:highlight w:val="none"/>
                      <w:lang w:eastAsia="zh-CN"/>
                    </w:rPr>
                    <w:t>、</w:t>
                  </w:r>
                  <w:r>
                    <w:rPr>
                      <w:rFonts w:hint="eastAsia"/>
                      <w:color w:val="auto"/>
                      <w:highlight w:val="none"/>
                    </w:rPr>
                    <w:t>色度</w:t>
                  </w:r>
                  <w:r>
                    <w:rPr>
                      <w:rFonts w:hint="eastAsia"/>
                      <w:color w:val="auto"/>
                      <w:highlight w:val="none"/>
                      <w:lang w:eastAsia="zh-CN"/>
                    </w:rPr>
                    <w:t>、</w:t>
                  </w:r>
                  <w:r>
                    <w:rPr>
                      <w:rFonts w:hint="eastAsia"/>
                      <w:color w:val="auto"/>
                      <w:highlight w:val="none"/>
                    </w:rPr>
                    <w:t>SS</w:t>
                  </w:r>
                  <w:r>
                    <w:rPr>
                      <w:rFonts w:hint="eastAsia"/>
                      <w:color w:val="auto"/>
                      <w:highlight w:val="none"/>
                      <w:lang w:eastAsia="zh-CN"/>
                    </w:rPr>
                    <w:t>、</w:t>
                  </w:r>
                  <w:r>
                    <w:rPr>
                      <w:rFonts w:hint="eastAsia"/>
                      <w:color w:val="auto"/>
                      <w:highlight w:val="none"/>
                    </w:rPr>
                    <w:t>BOD</w:t>
                  </w:r>
                  <w:r>
                    <w:rPr>
                      <w:rFonts w:hint="eastAsia"/>
                      <w:color w:val="auto"/>
                      <w:highlight w:val="none"/>
                      <w:vertAlign w:val="subscript"/>
                    </w:rPr>
                    <w:t>5</w:t>
                  </w:r>
                  <w:r>
                    <w:rPr>
                      <w:rFonts w:hint="eastAsia"/>
                      <w:color w:val="auto"/>
                      <w:highlight w:val="none"/>
                      <w:lang w:eastAsia="zh-CN"/>
                    </w:rPr>
                    <w:t>、</w:t>
                  </w:r>
                  <w:r>
                    <w:rPr>
                      <w:rFonts w:hint="eastAsia"/>
                      <w:color w:val="auto"/>
                      <w:highlight w:val="none"/>
                    </w:rPr>
                    <w:t>COD</w:t>
                  </w:r>
                  <w:r>
                    <w:rPr>
                      <w:rFonts w:hint="eastAsia"/>
                      <w:color w:val="auto"/>
                      <w:highlight w:val="none"/>
                      <w:lang w:eastAsia="zh-CN"/>
                    </w:rPr>
                    <w:t>、</w:t>
                  </w:r>
                  <w:r>
                    <w:rPr>
                      <w:rFonts w:hint="eastAsia"/>
                      <w:color w:val="auto"/>
                      <w:highlight w:val="none"/>
                    </w:rPr>
                    <w:t>NH</w:t>
                  </w:r>
                  <w:r>
                    <w:rPr>
                      <w:rFonts w:hint="eastAsia"/>
                      <w:color w:val="auto"/>
                      <w:highlight w:val="none"/>
                      <w:vertAlign w:val="subscript"/>
                    </w:rPr>
                    <w:t>3</w:t>
                  </w:r>
                  <w:r>
                    <w:rPr>
                      <w:rFonts w:hint="eastAsia"/>
                      <w:color w:val="auto"/>
                      <w:highlight w:val="none"/>
                    </w:rPr>
                    <w:t>-N</w:t>
                  </w:r>
                  <w:r>
                    <w:rPr>
                      <w:rFonts w:hint="eastAsia"/>
                      <w:color w:val="auto"/>
                      <w:highlight w:val="none"/>
                      <w:lang w:eastAsia="zh-CN"/>
                    </w:rPr>
                    <w:t>、</w:t>
                  </w:r>
                  <w:r>
                    <w:rPr>
                      <w:rFonts w:hint="eastAsia"/>
                      <w:color w:val="auto"/>
                      <w:highlight w:val="none"/>
                    </w:rPr>
                    <w:t>TN</w:t>
                  </w:r>
                  <w:r>
                    <w:rPr>
                      <w:rFonts w:hint="eastAsia"/>
                      <w:color w:val="auto"/>
                      <w:highlight w:val="none"/>
                      <w:lang w:eastAsia="zh-CN"/>
                    </w:rPr>
                    <w:t>、</w:t>
                  </w:r>
                  <w:r>
                    <w:rPr>
                      <w:rFonts w:hint="eastAsia"/>
                      <w:color w:val="auto"/>
                      <w:highlight w:val="none"/>
                    </w:rPr>
                    <w:t>TP</w:t>
                  </w:r>
                  <w:r>
                    <w:rPr>
                      <w:rFonts w:hint="eastAsia"/>
                      <w:color w:val="auto"/>
                      <w:highlight w:val="none"/>
                      <w:lang w:eastAsia="zh-CN"/>
                    </w:rPr>
                    <w:t>、</w:t>
                  </w:r>
                  <w:r>
                    <w:rPr>
                      <w:rFonts w:hint="eastAsia"/>
                      <w:color w:val="auto"/>
                      <w:highlight w:val="none"/>
                    </w:rPr>
                    <w:t>动植物油</w:t>
                  </w:r>
                </w:p>
              </w:tc>
              <w:tc>
                <w:tcPr>
                  <w:tcW w:w="1590" w:type="pct"/>
                  <w:tcBorders>
                    <w:tl2br w:val="nil"/>
                    <w:tr2bl w:val="nil"/>
                  </w:tcBorders>
                  <w:vAlign w:val="center"/>
                </w:tcPr>
                <w:p w14:paraId="5A3C3A26">
                  <w:pPr>
                    <w:pStyle w:val="13"/>
                    <w:rPr>
                      <w:color w:val="auto"/>
                      <w:highlight w:val="none"/>
                    </w:rPr>
                  </w:pPr>
                  <w:r>
                    <w:rPr>
                      <w:rFonts w:hint="eastAsia"/>
                      <w:color w:val="auto"/>
                      <w:highlight w:val="none"/>
                    </w:rPr>
                    <w:t>酉华镇污水处理站接管标准及《污水综合排放标准》（GB 8978-1996）中的三级标准</w:t>
                  </w:r>
                </w:p>
              </w:tc>
              <w:tc>
                <w:tcPr>
                  <w:tcW w:w="591" w:type="pct"/>
                  <w:tcBorders>
                    <w:tl2br w:val="nil"/>
                    <w:tr2bl w:val="nil"/>
                  </w:tcBorders>
                  <w:vAlign w:val="center"/>
                </w:tcPr>
                <w:p w14:paraId="67A1F987">
                  <w:pPr>
                    <w:pStyle w:val="13"/>
                    <w:rPr>
                      <w:color w:val="auto"/>
                      <w:highlight w:val="none"/>
                    </w:rPr>
                  </w:pPr>
                  <w:r>
                    <w:rPr>
                      <w:rFonts w:hint="eastAsia"/>
                      <w:color w:val="auto"/>
                      <w:highlight w:val="none"/>
                    </w:rPr>
                    <w:t>1次/年</w:t>
                  </w:r>
                </w:p>
              </w:tc>
            </w:tr>
          </w:tbl>
          <w:p w14:paraId="50758EFE">
            <w:pPr>
              <w:ind w:firstLine="480"/>
              <w:rPr>
                <w:color w:val="auto"/>
                <w:highlight w:val="none"/>
              </w:rPr>
            </w:pPr>
          </w:p>
          <w:p w14:paraId="4E8DF7E7">
            <w:pPr>
              <w:ind w:firstLine="480"/>
              <w:rPr>
                <w:color w:val="auto"/>
                <w:highlight w:val="none"/>
              </w:rPr>
            </w:pPr>
          </w:p>
          <w:p w14:paraId="2AD236E6">
            <w:pPr>
              <w:ind w:firstLine="480"/>
              <w:rPr>
                <w:color w:val="auto"/>
                <w:highlight w:val="none"/>
              </w:rPr>
            </w:pPr>
          </w:p>
          <w:p w14:paraId="249DE59C">
            <w:pPr>
              <w:ind w:firstLine="480"/>
              <w:rPr>
                <w:color w:val="auto"/>
                <w:highlight w:val="none"/>
              </w:rPr>
            </w:pPr>
          </w:p>
          <w:p w14:paraId="30C506F6">
            <w:pPr>
              <w:ind w:firstLine="480"/>
              <w:rPr>
                <w:color w:val="auto"/>
                <w:highlight w:val="none"/>
              </w:rPr>
            </w:pPr>
          </w:p>
          <w:p w14:paraId="7DA406A0">
            <w:pPr>
              <w:ind w:firstLine="480"/>
              <w:rPr>
                <w:color w:val="auto"/>
                <w:highlight w:val="none"/>
              </w:rPr>
            </w:pPr>
          </w:p>
          <w:p w14:paraId="415F6C8E">
            <w:pPr>
              <w:ind w:firstLine="480"/>
              <w:rPr>
                <w:color w:val="auto"/>
                <w:highlight w:val="none"/>
              </w:rPr>
            </w:pPr>
          </w:p>
          <w:p w14:paraId="1672F270">
            <w:pPr>
              <w:ind w:firstLine="480"/>
              <w:rPr>
                <w:color w:val="auto"/>
                <w:highlight w:val="none"/>
              </w:rPr>
            </w:pPr>
          </w:p>
          <w:p w14:paraId="56D9DBA3">
            <w:pPr>
              <w:ind w:firstLine="480"/>
              <w:rPr>
                <w:color w:val="auto"/>
                <w:highlight w:val="none"/>
              </w:rPr>
            </w:pPr>
          </w:p>
          <w:p w14:paraId="359E9E37">
            <w:pPr>
              <w:ind w:firstLine="480"/>
              <w:rPr>
                <w:color w:val="auto"/>
                <w:highlight w:val="none"/>
              </w:rPr>
            </w:pPr>
          </w:p>
          <w:p w14:paraId="764575A4">
            <w:pPr>
              <w:ind w:firstLine="480"/>
              <w:rPr>
                <w:color w:val="auto"/>
                <w:highlight w:val="none"/>
              </w:rPr>
            </w:pPr>
          </w:p>
          <w:p w14:paraId="1A558A45">
            <w:pPr>
              <w:ind w:firstLine="480"/>
              <w:rPr>
                <w:color w:val="auto"/>
                <w:highlight w:val="none"/>
              </w:rPr>
            </w:pPr>
          </w:p>
          <w:p w14:paraId="56A8C3D4">
            <w:pPr>
              <w:ind w:firstLine="480"/>
              <w:rPr>
                <w:color w:val="auto"/>
                <w:highlight w:val="none"/>
              </w:rPr>
            </w:pPr>
          </w:p>
          <w:p w14:paraId="069F2DFD">
            <w:pPr>
              <w:ind w:firstLine="480"/>
              <w:rPr>
                <w:color w:val="auto"/>
                <w:highlight w:val="none"/>
              </w:rPr>
            </w:pPr>
          </w:p>
          <w:p w14:paraId="48CDF282">
            <w:pPr>
              <w:ind w:firstLine="480"/>
              <w:rPr>
                <w:color w:val="auto"/>
                <w:highlight w:val="none"/>
              </w:rPr>
            </w:pPr>
          </w:p>
          <w:p w14:paraId="0972590C">
            <w:pPr>
              <w:ind w:firstLine="480"/>
              <w:rPr>
                <w:color w:val="auto"/>
                <w:highlight w:val="none"/>
              </w:rPr>
            </w:pPr>
          </w:p>
          <w:p w14:paraId="63E455DF">
            <w:pPr>
              <w:ind w:firstLine="480"/>
              <w:rPr>
                <w:color w:val="auto"/>
                <w:highlight w:val="none"/>
              </w:rPr>
            </w:pPr>
          </w:p>
          <w:p w14:paraId="1977CCD1">
            <w:pPr>
              <w:ind w:firstLine="480"/>
              <w:rPr>
                <w:color w:val="auto"/>
                <w:highlight w:val="none"/>
              </w:rPr>
            </w:pPr>
          </w:p>
          <w:p w14:paraId="2F0A3C85">
            <w:pPr>
              <w:ind w:firstLine="480"/>
              <w:rPr>
                <w:color w:val="auto"/>
                <w:highlight w:val="none"/>
              </w:rPr>
            </w:pPr>
          </w:p>
          <w:p w14:paraId="37964EDB">
            <w:pPr>
              <w:ind w:firstLine="480"/>
              <w:rPr>
                <w:color w:val="auto"/>
                <w:highlight w:val="none"/>
              </w:rPr>
            </w:pPr>
          </w:p>
          <w:p w14:paraId="57A85508">
            <w:pPr>
              <w:ind w:firstLine="480"/>
              <w:rPr>
                <w:color w:val="auto"/>
                <w:highlight w:val="none"/>
              </w:rPr>
            </w:pPr>
          </w:p>
          <w:p w14:paraId="578994E2">
            <w:pPr>
              <w:ind w:firstLine="480"/>
              <w:rPr>
                <w:color w:val="auto"/>
                <w:highlight w:val="none"/>
              </w:rPr>
            </w:pPr>
          </w:p>
          <w:p w14:paraId="08AE0EB4">
            <w:pPr>
              <w:ind w:firstLine="480"/>
              <w:rPr>
                <w:color w:val="auto"/>
                <w:highlight w:val="none"/>
              </w:rPr>
            </w:pPr>
          </w:p>
        </w:tc>
      </w:tr>
    </w:tbl>
    <w:p w14:paraId="6FCF52C7">
      <w:pPr>
        <w:ind w:firstLine="480"/>
        <w:rPr>
          <w:color w:val="auto"/>
          <w:highlight w:val="none"/>
        </w:rPr>
        <w:sectPr>
          <w:pgSz w:w="11906" w:h="16838"/>
          <w:pgMar w:top="1134" w:right="1247" w:bottom="1247" w:left="1134" w:header="851" w:footer="850" w:gutter="0"/>
          <w:cols w:space="425" w:num="1"/>
          <w:docGrid w:type="lines" w:linePitch="312" w:charSpace="0"/>
        </w:sectPr>
      </w:pP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
        <w:gridCol w:w="14212"/>
      </w:tblGrid>
      <w:tr w14:paraId="6DDF1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 w:type="pct"/>
          </w:tcPr>
          <w:p w14:paraId="7FA79E97">
            <w:pPr>
              <w:ind w:firstLine="0" w:firstLineChars="0"/>
              <w:rPr>
                <w:color w:val="auto"/>
                <w:highlight w:val="none"/>
              </w:rPr>
            </w:pPr>
            <w:r>
              <w:rPr>
                <w:rFonts w:hint="eastAsia"/>
                <w:b/>
                <w:bCs/>
                <w:color w:val="auto"/>
                <w:highlight w:val="none"/>
              </w:rPr>
              <w:t>运营期环境影响和保护措施</w:t>
            </w:r>
          </w:p>
        </w:tc>
        <w:tc>
          <w:tcPr>
            <w:tcW w:w="4842" w:type="pct"/>
          </w:tcPr>
          <w:p w14:paraId="5C7C0243">
            <w:pPr>
              <w:pStyle w:val="2"/>
              <w:ind w:firstLine="482"/>
              <w:rPr>
                <w:color w:val="auto"/>
                <w:highlight w:val="none"/>
              </w:rPr>
            </w:pPr>
            <w:r>
              <w:rPr>
                <w:rFonts w:hint="eastAsia"/>
                <w:color w:val="auto"/>
                <w:highlight w:val="none"/>
              </w:rPr>
              <w:t>3</w:t>
            </w:r>
            <w:r>
              <w:rPr>
                <w:color w:val="auto"/>
                <w:highlight w:val="none"/>
              </w:rPr>
              <w:t>、声环境影响及保护措施</w:t>
            </w:r>
          </w:p>
          <w:p w14:paraId="1C6FA47A">
            <w:pPr>
              <w:pStyle w:val="3"/>
              <w:ind w:firstLine="482"/>
              <w:rPr>
                <w:color w:val="auto"/>
                <w:highlight w:val="none"/>
              </w:rPr>
            </w:pPr>
            <w:r>
              <w:rPr>
                <w:color w:val="auto"/>
                <w:highlight w:val="none"/>
              </w:rPr>
              <w:t>（1）主要噪声源强</w:t>
            </w:r>
          </w:p>
          <w:p w14:paraId="02059186">
            <w:pPr>
              <w:ind w:firstLine="480"/>
              <w:rPr>
                <w:color w:val="auto"/>
                <w:highlight w:val="none"/>
              </w:rPr>
            </w:pPr>
            <w:r>
              <w:rPr>
                <w:color w:val="auto"/>
                <w:highlight w:val="none"/>
              </w:rPr>
              <w:t>项目主要是</w:t>
            </w:r>
            <w:r>
              <w:rPr>
                <w:rFonts w:hint="eastAsia"/>
                <w:color w:val="auto"/>
                <w:highlight w:val="none"/>
              </w:rPr>
              <w:t>加工车间内</w:t>
            </w:r>
            <w:r>
              <w:rPr>
                <w:color w:val="auto"/>
                <w:highlight w:val="none"/>
              </w:rPr>
              <w:t>机械设备运行时产生的噪声</w:t>
            </w:r>
            <w:r>
              <w:rPr>
                <w:rFonts w:hint="eastAsia"/>
                <w:color w:val="auto"/>
                <w:highlight w:val="none"/>
              </w:rPr>
              <w:t>，</w:t>
            </w:r>
            <w:r>
              <w:rPr>
                <w:color w:val="auto"/>
                <w:highlight w:val="none"/>
              </w:rPr>
              <w:t>噪声值在</w:t>
            </w:r>
            <w:r>
              <w:rPr>
                <w:rFonts w:hint="eastAsia"/>
                <w:color w:val="auto"/>
                <w:highlight w:val="none"/>
              </w:rPr>
              <w:t>65-100</w:t>
            </w:r>
            <w:r>
              <w:rPr>
                <w:color w:val="auto"/>
                <w:highlight w:val="none"/>
              </w:rPr>
              <w:t>dB（A）之间，本次评价以</w:t>
            </w:r>
            <w:r>
              <w:rPr>
                <w:rFonts w:hint="eastAsia"/>
                <w:color w:val="auto"/>
                <w:highlight w:val="none"/>
              </w:rPr>
              <w:t>厂区东南角</w:t>
            </w:r>
            <w:r>
              <w:rPr>
                <w:color w:val="auto"/>
                <w:highlight w:val="none"/>
              </w:rPr>
              <w:t>为坐标原点，</w:t>
            </w:r>
            <w:r>
              <w:rPr>
                <w:rFonts w:hint="eastAsia"/>
                <w:color w:val="auto"/>
                <w:highlight w:val="none"/>
              </w:rPr>
              <w:t>西北</w:t>
            </w:r>
            <w:r>
              <w:rPr>
                <w:color w:val="auto"/>
                <w:highlight w:val="none"/>
              </w:rPr>
              <w:t>方向为Y轴，</w:t>
            </w:r>
            <w:r>
              <w:rPr>
                <w:rFonts w:hint="eastAsia"/>
                <w:color w:val="auto"/>
                <w:highlight w:val="none"/>
              </w:rPr>
              <w:t>西南</w:t>
            </w:r>
            <w:r>
              <w:rPr>
                <w:color w:val="auto"/>
                <w:highlight w:val="none"/>
              </w:rPr>
              <w:t>方向为X轴，列出主要设备坐标。</w:t>
            </w:r>
            <w:r>
              <w:rPr>
                <w:rFonts w:hint="eastAsia"/>
                <w:color w:val="auto"/>
                <w:highlight w:val="none"/>
              </w:rPr>
              <w:t>项目</w:t>
            </w:r>
            <w:r>
              <w:rPr>
                <w:color w:val="auto"/>
                <w:highlight w:val="none"/>
              </w:rPr>
              <w:t>噪声以连续性噪声为主，间歇性噪声为辅，噪声污染源强调查清单如下表。</w:t>
            </w:r>
          </w:p>
          <w:p w14:paraId="2AAC73CF">
            <w:pPr>
              <w:pStyle w:val="14"/>
              <w:spacing w:before="0" w:beforeLines="0"/>
              <w:rPr>
                <w:color w:val="auto"/>
                <w:highlight w:val="none"/>
              </w:rPr>
            </w:pPr>
            <w:r>
              <w:rPr>
                <w:color w:val="auto"/>
                <w:highlight w:val="none"/>
              </w:rPr>
              <w:t>表4-</w:t>
            </w:r>
            <w:r>
              <w:rPr>
                <w:rFonts w:hint="eastAsia"/>
                <w:color w:val="auto"/>
                <w:highlight w:val="none"/>
                <w:lang w:val="en-US" w:eastAsia="zh-CN"/>
              </w:rPr>
              <w:t>10</w:t>
            </w:r>
            <w:r>
              <w:rPr>
                <w:rFonts w:hint="eastAsia"/>
                <w:color w:val="auto"/>
                <w:highlight w:val="none"/>
              </w:rPr>
              <w:t xml:space="preserve"> </w:t>
            </w:r>
            <w:r>
              <w:rPr>
                <w:color w:val="auto"/>
                <w:highlight w:val="none"/>
              </w:rPr>
              <w:t xml:space="preserve"> 工业企业噪声源强调查清单（室内声源）</w:t>
            </w:r>
            <w:r>
              <w:rPr>
                <w:rFonts w:hint="eastAsia"/>
                <w:color w:val="auto"/>
                <w:highlight w:val="none"/>
              </w:rPr>
              <w:t xml:space="preserve">  单位</w:t>
            </w:r>
            <w:r>
              <w:rPr>
                <w:rFonts w:hint="eastAsia"/>
                <w:bCs/>
                <w:color w:val="auto"/>
                <w:highlight w:val="none"/>
              </w:rPr>
              <w:t>dB（A）</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722"/>
              <w:gridCol w:w="1664"/>
              <w:gridCol w:w="1594"/>
              <w:gridCol w:w="1139"/>
              <w:gridCol w:w="1533"/>
              <w:gridCol w:w="644"/>
              <w:gridCol w:w="644"/>
              <w:gridCol w:w="591"/>
              <w:gridCol w:w="1125"/>
              <w:gridCol w:w="893"/>
              <w:gridCol w:w="1127"/>
              <w:gridCol w:w="895"/>
              <w:gridCol w:w="797"/>
            </w:tblGrid>
            <w:tr w14:paraId="2DB54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Merge w:val="restart"/>
                  <w:vAlign w:val="center"/>
                </w:tcPr>
                <w:p w14:paraId="34E39389">
                  <w:pPr>
                    <w:pStyle w:val="13"/>
                    <w:rPr>
                      <w:b/>
                      <w:bCs/>
                      <w:color w:val="auto"/>
                      <w:highlight w:val="none"/>
                    </w:rPr>
                  </w:pPr>
                  <w:r>
                    <w:rPr>
                      <w:rFonts w:hint="eastAsia"/>
                      <w:b/>
                      <w:bCs/>
                      <w:color w:val="auto"/>
                      <w:highlight w:val="none"/>
                    </w:rPr>
                    <w:t>序号</w:t>
                  </w:r>
                </w:p>
              </w:tc>
              <w:tc>
                <w:tcPr>
                  <w:tcW w:w="258" w:type="pct"/>
                  <w:vMerge w:val="restart"/>
                  <w:vAlign w:val="center"/>
                </w:tcPr>
                <w:p w14:paraId="199FB641">
                  <w:pPr>
                    <w:pStyle w:val="13"/>
                    <w:rPr>
                      <w:b/>
                      <w:bCs/>
                      <w:color w:val="auto"/>
                      <w:highlight w:val="none"/>
                    </w:rPr>
                  </w:pPr>
                  <w:r>
                    <w:rPr>
                      <w:rFonts w:hint="eastAsia"/>
                      <w:b/>
                      <w:bCs/>
                      <w:color w:val="auto"/>
                      <w:highlight w:val="none"/>
                    </w:rPr>
                    <w:t>建筑名称</w:t>
                  </w:r>
                </w:p>
              </w:tc>
              <w:tc>
                <w:tcPr>
                  <w:tcW w:w="595" w:type="pct"/>
                  <w:vMerge w:val="restart"/>
                  <w:vAlign w:val="center"/>
                </w:tcPr>
                <w:p w14:paraId="1F1F9A08">
                  <w:pPr>
                    <w:pStyle w:val="13"/>
                    <w:rPr>
                      <w:b/>
                      <w:bCs/>
                      <w:color w:val="auto"/>
                      <w:highlight w:val="none"/>
                    </w:rPr>
                  </w:pPr>
                  <w:r>
                    <w:rPr>
                      <w:rFonts w:hint="eastAsia"/>
                      <w:b/>
                      <w:bCs/>
                      <w:color w:val="auto"/>
                      <w:highlight w:val="none"/>
                    </w:rPr>
                    <w:t>声源名称</w:t>
                  </w:r>
                </w:p>
              </w:tc>
              <w:tc>
                <w:tcPr>
                  <w:tcW w:w="570" w:type="pct"/>
                  <w:vMerge w:val="restart"/>
                  <w:vAlign w:val="center"/>
                </w:tcPr>
                <w:p w14:paraId="1A64E426">
                  <w:pPr>
                    <w:pStyle w:val="13"/>
                    <w:rPr>
                      <w:b/>
                      <w:bCs/>
                      <w:color w:val="auto"/>
                      <w:highlight w:val="none"/>
                    </w:rPr>
                  </w:pPr>
                  <w:r>
                    <w:rPr>
                      <w:rFonts w:hint="eastAsia"/>
                      <w:b/>
                      <w:bCs/>
                      <w:color w:val="auto"/>
                      <w:highlight w:val="none"/>
                    </w:rPr>
                    <w:t>型号</w:t>
                  </w:r>
                </w:p>
              </w:tc>
              <w:tc>
                <w:tcPr>
                  <w:tcW w:w="407" w:type="pct"/>
                  <w:vMerge w:val="restart"/>
                  <w:vAlign w:val="center"/>
                </w:tcPr>
                <w:p w14:paraId="2B9144F9">
                  <w:pPr>
                    <w:pStyle w:val="13"/>
                    <w:rPr>
                      <w:b/>
                      <w:bCs/>
                      <w:color w:val="auto"/>
                      <w:highlight w:val="none"/>
                    </w:rPr>
                  </w:pPr>
                  <w:r>
                    <w:rPr>
                      <w:rFonts w:hint="eastAsia"/>
                      <w:b/>
                      <w:bCs/>
                      <w:color w:val="auto"/>
                      <w:highlight w:val="none"/>
                    </w:rPr>
                    <w:t>声源源强/dB（A）</w:t>
                  </w:r>
                </w:p>
              </w:tc>
              <w:tc>
                <w:tcPr>
                  <w:tcW w:w="548" w:type="pct"/>
                  <w:vMerge w:val="restart"/>
                  <w:vAlign w:val="center"/>
                </w:tcPr>
                <w:p w14:paraId="7F0FBCA6">
                  <w:pPr>
                    <w:pStyle w:val="13"/>
                    <w:rPr>
                      <w:b/>
                      <w:bCs/>
                      <w:color w:val="auto"/>
                      <w:highlight w:val="none"/>
                    </w:rPr>
                  </w:pPr>
                  <w:r>
                    <w:rPr>
                      <w:rFonts w:hint="eastAsia"/>
                      <w:b/>
                      <w:bCs/>
                      <w:color w:val="auto"/>
                      <w:highlight w:val="none"/>
                    </w:rPr>
                    <w:t>声源控制措施</w:t>
                  </w:r>
                </w:p>
              </w:tc>
              <w:tc>
                <w:tcPr>
                  <w:tcW w:w="671" w:type="pct"/>
                  <w:gridSpan w:val="3"/>
                  <w:vAlign w:val="center"/>
                </w:tcPr>
                <w:p w14:paraId="19C5355A">
                  <w:pPr>
                    <w:pStyle w:val="13"/>
                    <w:rPr>
                      <w:b/>
                      <w:bCs/>
                      <w:color w:val="auto"/>
                      <w:highlight w:val="none"/>
                    </w:rPr>
                  </w:pPr>
                  <w:r>
                    <w:rPr>
                      <w:rFonts w:hint="eastAsia"/>
                      <w:b/>
                      <w:bCs/>
                      <w:color w:val="auto"/>
                      <w:highlight w:val="none"/>
                    </w:rPr>
                    <w:t>空间相对位置/m</w:t>
                  </w:r>
                </w:p>
              </w:tc>
              <w:tc>
                <w:tcPr>
                  <w:tcW w:w="402" w:type="pct"/>
                  <w:vMerge w:val="restart"/>
                  <w:vAlign w:val="center"/>
                </w:tcPr>
                <w:p w14:paraId="3D9C79B7">
                  <w:pPr>
                    <w:pStyle w:val="13"/>
                    <w:rPr>
                      <w:b/>
                      <w:bCs/>
                      <w:color w:val="auto"/>
                      <w:highlight w:val="none"/>
                    </w:rPr>
                  </w:pPr>
                  <w:r>
                    <w:rPr>
                      <w:rFonts w:hint="eastAsia"/>
                      <w:b/>
                      <w:bCs/>
                      <w:color w:val="auto"/>
                      <w:highlight w:val="none"/>
                    </w:rPr>
                    <w:t>室内边界距离m</w:t>
                  </w:r>
                </w:p>
              </w:tc>
              <w:tc>
                <w:tcPr>
                  <w:tcW w:w="319" w:type="pct"/>
                  <w:vMerge w:val="restart"/>
                  <w:vAlign w:val="center"/>
                </w:tcPr>
                <w:p w14:paraId="36F627EA">
                  <w:pPr>
                    <w:pStyle w:val="13"/>
                    <w:rPr>
                      <w:b/>
                      <w:bCs/>
                      <w:color w:val="auto"/>
                      <w:highlight w:val="none"/>
                    </w:rPr>
                  </w:pPr>
                  <w:r>
                    <w:rPr>
                      <w:rFonts w:hint="eastAsia"/>
                      <w:b/>
                      <w:bCs/>
                      <w:color w:val="auto"/>
                      <w:highlight w:val="none"/>
                    </w:rPr>
                    <w:t>室内边界声级</w:t>
                  </w:r>
                </w:p>
              </w:tc>
              <w:tc>
                <w:tcPr>
                  <w:tcW w:w="403" w:type="pct"/>
                  <w:vMerge w:val="restart"/>
                  <w:vAlign w:val="center"/>
                </w:tcPr>
                <w:p w14:paraId="1C660BF5">
                  <w:pPr>
                    <w:pStyle w:val="13"/>
                    <w:rPr>
                      <w:b/>
                      <w:bCs/>
                      <w:color w:val="auto"/>
                      <w:highlight w:val="none"/>
                    </w:rPr>
                  </w:pPr>
                  <w:r>
                    <w:rPr>
                      <w:rFonts w:hint="eastAsia"/>
                      <w:b/>
                      <w:bCs/>
                      <w:color w:val="auto"/>
                      <w:highlight w:val="none"/>
                    </w:rPr>
                    <w:t>建筑物插入损失</w:t>
                  </w:r>
                </w:p>
              </w:tc>
              <w:tc>
                <w:tcPr>
                  <w:tcW w:w="605" w:type="pct"/>
                  <w:gridSpan w:val="2"/>
                  <w:vAlign w:val="center"/>
                </w:tcPr>
                <w:p w14:paraId="11E58894">
                  <w:pPr>
                    <w:pStyle w:val="13"/>
                    <w:rPr>
                      <w:b/>
                      <w:bCs/>
                      <w:color w:val="auto"/>
                      <w:highlight w:val="none"/>
                    </w:rPr>
                  </w:pPr>
                  <w:r>
                    <w:rPr>
                      <w:rFonts w:hint="eastAsia"/>
                      <w:b/>
                      <w:bCs/>
                      <w:color w:val="auto"/>
                      <w:highlight w:val="none"/>
                    </w:rPr>
                    <w:t>建筑物外噪声</w:t>
                  </w:r>
                </w:p>
              </w:tc>
            </w:tr>
            <w:tr w14:paraId="47235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Merge w:val="continue"/>
                  <w:vAlign w:val="center"/>
                </w:tcPr>
                <w:p w14:paraId="1FBED613">
                  <w:pPr>
                    <w:pStyle w:val="13"/>
                    <w:rPr>
                      <w:b/>
                      <w:bCs/>
                      <w:color w:val="auto"/>
                      <w:highlight w:val="none"/>
                    </w:rPr>
                  </w:pPr>
                </w:p>
              </w:tc>
              <w:tc>
                <w:tcPr>
                  <w:tcW w:w="258" w:type="pct"/>
                  <w:vMerge w:val="continue"/>
                  <w:vAlign w:val="center"/>
                </w:tcPr>
                <w:p w14:paraId="77276726">
                  <w:pPr>
                    <w:pStyle w:val="13"/>
                    <w:rPr>
                      <w:b/>
                      <w:bCs/>
                      <w:color w:val="auto"/>
                      <w:highlight w:val="none"/>
                    </w:rPr>
                  </w:pPr>
                </w:p>
              </w:tc>
              <w:tc>
                <w:tcPr>
                  <w:tcW w:w="595" w:type="pct"/>
                  <w:vMerge w:val="continue"/>
                  <w:vAlign w:val="center"/>
                </w:tcPr>
                <w:p w14:paraId="3DAD0B40">
                  <w:pPr>
                    <w:pStyle w:val="13"/>
                    <w:rPr>
                      <w:b/>
                      <w:bCs/>
                      <w:color w:val="auto"/>
                      <w:highlight w:val="none"/>
                    </w:rPr>
                  </w:pPr>
                </w:p>
              </w:tc>
              <w:tc>
                <w:tcPr>
                  <w:tcW w:w="570" w:type="pct"/>
                  <w:vMerge w:val="continue"/>
                  <w:vAlign w:val="center"/>
                </w:tcPr>
                <w:p w14:paraId="32956633">
                  <w:pPr>
                    <w:pStyle w:val="13"/>
                    <w:rPr>
                      <w:b/>
                      <w:bCs/>
                      <w:color w:val="auto"/>
                      <w:highlight w:val="none"/>
                    </w:rPr>
                  </w:pPr>
                </w:p>
              </w:tc>
              <w:tc>
                <w:tcPr>
                  <w:tcW w:w="407" w:type="pct"/>
                  <w:vMerge w:val="continue"/>
                  <w:vAlign w:val="center"/>
                </w:tcPr>
                <w:p w14:paraId="287E851A">
                  <w:pPr>
                    <w:pStyle w:val="13"/>
                    <w:rPr>
                      <w:b/>
                      <w:bCs/>
                      <w:color w:val="auto"/>
                      <w:highlight w:val="none"/>
                    </w:rPr>
                  </w:pPr>
                </w:p>
              </w:tc>
              <w:tc>
                <w:tcPr>
                  <w:tcW w:w="548" w:type="pct"/>
                  <w:vMerge w:val="continue"/>
                  <w:vAlign w:val="center"/>
                </w:tcPr>
                <w:p w14:paraId="18C4F05E">
                  <w:pPr>
                    <w:pStyle w:val="13"/>
                    <w:rPr>
                      <w:b/>
                      <w:bCs/>
                      <w:color w:val="auto"/>
                      <w:highlight w:val="none"/>
                    </w:rPr>
                  </w:pPr>
                </w:p>
              </w:tc>
              <w:tc>
                <w:tcPr>
                  <w:tcW w:w="230" w:type="pct"/>
                  <w:vAlign w:val="center"/>
                </w:tcPr>
                <w:p w14:paraId="56460948">
                  <w:pPr>
                    <w:pStyle w:val="13"/>
                    <w:rPr>
                      <w:b/>
                      <w:bCs/>
                      <w:color w:val="auto"/>
                      <w:highlight w:val="none"/>
                    </w:rPr>
                  </w:pPr>
                  <w:r>
                    <w:rPr>
                      <w:rFonts w:hint="eastAsia"/>
                      <w:b/>
                      <w:bCs/>
                      <w:color w:val="auto"/>
                      <w:highlight w:val="none"/>
                    </w:rPr>
                    <w:t>X</w:t>
                  </w:r>
                </w:p>
              </w:tc>
              <w:tc>
                <w:tcPr>
                  <w:tcW w:w="230" w:type="pct"/>
                  <w:vAlign w:val="center"/>
                </w:tcPr>
                <w:p w14:paraId="57DF05C4">
                  <w:pPr>
                    <w:pStyle w:val="13"/>
                    <w:rPr>
                      <w:b/>
                      <w:bCs/>
                      <w:color w:val="auto"/>
                      <w:highlight w:val="none"/>
                    </w:rPr>
                  </w:pPr>
                  <w:r>
                    <w:rPr>
                      <w:rFonts w:hint="eastAsia"/>
                      <w:b/>
                      <w:bCs/>
                      <w:color w:val="auto"/>
                      <w:highlight w:val="none"/>
                    </w:rPr>
                    <w:t>Y</w:t>
                  </w:r>
                </w:p>
              </w:tc>
              <w:tc>
                <w:tcPr>
                  <w:tcW w:w="211" w:type="pct"/>
                  <w:vAlign w:val="center"/>
                </w:tcPr>
                <w:p w14:paraId="21ED1EA6">
                  <w:pPr>
                    <w:pStyle w:val="13"/>
                    <w:rPr>
                      <w:b/>
                      <w:bCs/>
                      <w:color w:val="auto"/>
                      <w:highlight w:val="none"/>
                    </w:rPr>
                  </w:pPr>
                  <w:r>
                    <w:rPr>
                      <w:rFonts w:hint="eastAsia"/>
                      <w:b/>
                      <w:bCs/>
                      <w:color w:val="auto"/>
                      <w:highlight w:val="none"/>
                    </w:rPr>
                    <w:t>Z</w:t>
                  </w:r>
                </w:p>
              </w:tc>
              <w:tc>
                <w:tcPr>
                  <w:tcW w:w="402" w:type="pct"/>
                  <w:vMerge w:val="continue"/>
                  <w:vAlign w:val="center"/>
                </w:tcPr>
                <w:p w14:paraId="20BD961B">
                  <w:pPr>
                    <w:pStyle w:val="13"/>
                    <w:rPr>
                      <w:b/>
                      <w:bCs/>
                      <w:color w:val="auto"/>
                      <w:highlight w:val="none"/>
                    </w:rPr>
                  </w:pPr>
                </w:p>
              </w:tc>
              <w:tc>
                <w:tcPr>
                  <w:tcW w:w="319" w:type="pct"/>
                  <w:vMerge w:val="continue"/>
                  <w:vAlign w:val="center"/>
                </w:tcPr>
                <w:p w14:paraId="24344E72">
                  <w:pPr>
                    <w:pStyle w:val="13"/>
                    <w:rPr>
                      <w:b/>
                      <w:bCs/>
                      <w:color w:val="auto"/>
                      <w:highlight w:val="none"/>
                    </w:rPr>
                  </w:pPr>
                </w:p>
              </w:tc>
              <w:tc>
                <w:tcPr>
                  <w:tcW w:w="403" w:type="pct"/>
                  <w:vMerge w:val="continue"/>
                  <w:vAlign w:val="center"/>
                </w:tcPr>
                <w:p w14:paraId="05B22D94">
                  <w:pPr>
                    <w:pStyle w:val="13"/>
                    <w:rPr>
                      <w:b/>
                      <w:bCs/>
                      <w:color w:val="auto"/>
                      <w:highlight w:val="none"/>
                    </w:rPr>
                  </w:pPr>
                </w:p>
              </w:tc>
              <w:tc>
                <w:tcPr>
                  <w:tcW w:w="320" w:type="pct"/>
                  <w:vAlign w:val="center"/>
                </w:tcPr>
                <w:p w14:paraId="1F8B4928">
                  <w:pPr>
                    <w:pStyle w:val="13"/>
                    <w:rPr>
                      <w:b/>
                      <w:bCs/>
                      <w:color w:val="auto"/>
                      <w:highlight w:val="none"/>
                    </w:rPr>
                  </w:pPr>
                  <w:r>
                    <w:rPr>
                      <w:rFonts w:hint="eastAsia"/>
                      <w:b/>
                      <w:bCs/>
                      <w:color w:val="auto"/>
                      <w:highlight w:val="none"/>
                    </w:rPr>
                    <w:t>声压级</w:t>
                  </w:r>
                </w:p>
              </w:tc>
              <w:tc>
                <w:tcPr>
                  <w:tcW w:w="285" w:type="pct"/>
                  <w:vAlign w:val="center"/>
                </w:tcPr>
                <w:p w14:paraId="3D823476">
                  <w:pPr>
                    <w:pStyle w:val="13"/>
                    <w:rPr>
                      <w:b/>
                      <w:bCs/>
                      <w:color w:val="auto"/>
                      <w:highlight w:val="none"/>
                    </w:rPr>
                  </w:pPr>
                  <w:r>
                    <w:rPr>
                      <w:rFonts w:hint="eastAsia"/>
                      <w:b/>
                      <w:bCs/>
                      <w:color w:val="auto"/>
                      <w:highlight w:val="none"/>
                    </w:rPr>
                    <w:t>距离</w:t>
                  </w:r>
                </w:p>
              </w:tc>
            </w:tr>
            <w:tr w14:paraId="15E9E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Align w:val="center"/>
                </w:tcPr>
                <w:p w14:paraId="32D2272A">
                  <w:pPr>
                    <w:pStyle w:val="13"/>
                    <w:rPr>
                      <w:color w:val="auto"/>
                      <w:highlight w:val="none"/>
                    </w:rPr>
                  </w:pPr>
                  <w:bookmarkStart w:id="0" w:name="OLE_LINK1"/>
                  <w:bookmarkStart w:id="1" w:name="OLE_LINK3"/>
                  <w:bookmarkStart w:id="2" w:name="OLE_LINK2"/>
                  <w:r>
                    <w:rPr>
                      <w:rFonts w:hint="eastAsia"/>
                      <w:color w:val="auto"/>
                      <w:highlight w:val="none"/>
                    </w:rPr>
                    <w:t>1</w:t>
                  </w:r>
                </w:p>
              </w:tc>
              <w:tc>
                <w:tcPr>
                  <w:tcW w:w="258" w:type="pct"/>
                  <w:vMerge w:val="restart"/>
                  <w:vAlign w:val="center"/>
                </w:tcPr>
                <w:p w14:paraId="433537BF">
                  <w:pPr>
                    <w:pStyle w:val="13"/>
                    <w:rPr>
                      <w:color w:val="auto"/>
                      <w:highlight w:val="none"/>
                    </w:rPr>
                  </w:pPr>
                  <w:r>
                    <w:rPr>
                      <w:rFonts w:hint="eastAsia"/>
                      <w:color w:val="auto"/>
                      <w:highlight w:val="none"/>
                    </w:rPr>
                    <w:t>加工车间</w:t>
                  </w:r>
                </w:p>
              </w:tc>
              <w:tc>
                <w:tcPr>
                  <w:tcW w:w="595" w:type="pct"/>
                  <w:vAlign w:val="center"/>
                </w:tcPr>
                <w:p w14:paraId="6BA86AC8">
                  <w:pPr>
                    <w:pStyle w:val="13"/>
                    <w:rPr>
                      <w:color w:val="auto"/>
                      <w:highlight w:val="none"/>
                    </w:rPr>
                  </w:pPr>
                  <w:r>
                    <w:rPr>
                      <w:rFonts w:hint="eastAsia"/>
                      <w:color w:val="auto"/>
                      <w:highlight w:val="none"/>
                    </w:rPr>
                    <w:t>清理筛1</w:t>
                  </w:r>
                </w:p>
              </w:tc>
              <w:tc>
                <w:tcPr>
                  <w:tcW w:w="570" w:type="pct"/>
                  <w:vAlign w:val="center"/>
                </w:tcPr>
                <w:p w14:paraId="3715770A">
                  <w:pPr>
                    <w:pStyle w:val="13"/>
                    <w:rPr>
                      <w:color w:val="auto"/>
                      <w:highlight w:val="none"/>
                    </w:rPr>
                  </w:pPr>
                  <w:r>
                    <w:rPr>
                      <w:color w:val="auto"/>
                      <w:highlight w:val="none"/>
                    </w:rPr>
                    <w:t>YK1236</w:t>
                  </w:r>
                </w:p>
              </w:tc>
              <w:tc>
                <w:tcPr>
                  <w:tcW w:w="407" w:type="pct"/>
                  <w:vAlign w:val="center"/>
                </w:tcPr>
                <w:p w14:paraId="4D848230">
                  <w:pPr>
                    <w:pStyle w:val="13"/>
                    <w:rPr>
                      <w:color w:val="auto"/>
                      <w:highlight w:val="none"/>
                    </w:rPr>
                  </w:pPr>
                  <w:r>
                    <w:rPr>
                      <w:color w:val="auto"/>
                      <w:highlight w:val="none"/>
                    </w:rPr>
                    <w:t>80-90</w:t>
                  </w:r>
                </w:p>
              </w:tc>
              <w:tc>
                <w:tcPr>
                  <w:tcW w:w="548" w:type="pct"/>
                  <w:vMerge w:val="restart"/>
                  <w:vAlign w:val="center"/>
                </w:tcPr>
                <w:p w14:paraId="6F83572F">
                  <w:pPr>
                    <w:pStyle w:val="13"/>
                    <w:rPr>
                      <w:color w:val="auto"/>
                      <w:highlight w:val="none"/>
                    </w:rPr>
                  </w:pPr>
                  <w:r>
                    <w:rPr>
                      <w:rFonts w:hint="eastAsia"/>
                      <w:color w:val="auto"/>
                      <w:highlight w:val="none"/>
                    </w:rPr>
                    <w:t>生产设备采取厂房隔声、隔震、减震的措施。</w:t>
                  </w:r>
                </w:p>
              </w:tc>
              <w:tc>
                <w:tcPr>
                  <w:tcW w:w="230" w:type="pct"/>
                  <w:vAlign w:val="center"/>
                </w:tcPr>
                <w:p w14:paraId="1CB4878F">
                  <w:pPr>
                    <w:pStyle w:val="13"/>
                    <w:rPr>
                      <w:color w:val="auto"/>
                      <w:highlight w:val="none"/>
                    </w:rPr>
                  </w:pPr>
                  <w:r>
                    <w:rPr>
                      <w:color w:val="auto"/>
                      <w:highlight w:val="none"/>
                    </w:rPr>
                    <w:t>61.5</w:t>
                  </w:r>
                </w:p>
              </w:tc>
              <w:tc>
                <w:tcPr>
                  <w:tcW w:w="230" w:type="pct"/>
                  <w:vAlign w:val="center"/>
                </w:tcPr>
                <w:p w14:paraId="54C13890">
                  <w:pPr>
                    <w:pStyle w:val="13"/>
                    <w:rPr>
                      <w:color w:val="auto"/>
                      <w:highlight w:val="none"/>
                    </w:rPr>
                  </w:pPr>
                  <w:r>
                    <w:rPr>
                      <w:color w:val="auto"/>
                      <w:highlight w:val="none"/>
                    </w:rPr>
                    <w:t>25</w:t>
                  </w:r>
                </w:p>
              </w:tc>
              <w:tc>
                <w:tcPr>
                  <w:tcW w:w="211" w:type="pct"/>
                  <w:vAlign w:val="center"/>
                </w:tcPr>
                <w:p w14:paraId="13A3CE52">
                  <w:pPr>
                    <w:pStyle w:val="13"/>
                    <w:rPr>
                      <w:color w:val="auto"/>
                      <w:highlight w:val="none"/>
                    </w:rPr>
                  </w:pPr>
                  <w:r>
                    <w:rPr>
                      <w:rFonts w:hint="eastAsia"/>
                      <w:color w:val="auto"/>
                      <w:highlight w:val="none"/>
                    </w:rPr>
                    <w:t>0.5</w:t>
                  </w:r>
                </w:p>
              </w:tc>
              <w:tc>
                <w:tcPr>
                  <w:tcW w:w="402" w:type="pct"/>
                  <w:vAlign w:val="center"/>
                </w:tcPr>
                <w:p w14:paraId="0E2EE9BF">
                  <w:pPr>
                    <w:pStyle w:val="13"/>
                    <w:rPr>
                      <w:color w:val="auto"/>
                      <w:highlight w:val="none"/>
                    </w:rPr>
                  </w:pPr>
                  <w:r>
                    <w:rPr>
                      <w:rFonts w:hint="eastAsia"/>
                      <w:color w:val="auto"/>
                      <w:highlight w:val="none"/>
                    </w:rPr>
                    <w:t>25</w:t>
                  </w:r>
                </w:p>
              </w:tc>
              <w:tc>
                <w:tcPr>
                  <w:tcW w:w="319" w:type="pct"/>
                  <w:vAlign w:val="center"/>
                </w:tcPr>
                <w:p w14:paraId="38CA0294">
                  <w:pPr>
                    <w:pStyle w:val="13"/>
                    <w:rPr>
                      <w:color w:val="auto"/>
                      <w:highlight w:val="none"/>
                    </w:rPr>
                  </w:pPr>
                  <w:r>
                    <w:rPr>
                      <w:rFonts w:hint="eastAsia"/>
                      <w:color w:val="auto"/>
                      <w:highlight w:val="none"/>
                    </w:rPr>
                    <w:t>57</w:t>
                  </w:r>
                </w:p>
              </w:tc>
              <w:tc>
                <w:tcPr>
                  <w:tcW w:w="403" w:type="pct"/>
                  <w:vAlign w:val="center"/>
                </w:tcPr>
                <w:p w14:paraId="38D1B877">
                  <w:pPr>
                    <w:pStyle w:val="13"/>
                    <w:rPr>
                      <w:color w:val="auto"/>
                      <w:highlight w:val="none"/>
                    </w:rPr>
                  </w:pPr>
                  <w:r>
                    <w:rPr>
                      <w:rFonts w:hint="eastAsia"/>
                      <w:color w:val="auto"/>
                      <w:highlight w:val="none"/>
                    </w:rPr>
                    <w:t>15</w:t>
                  </w:r>
                </w:p>
              </w:tc>
              <w:tc>
                <w:tcPr>
                  <w:tcW w:w="320" w:type="pct"/>
                  <w:vAlign w:val="center"/>
                </w:tcPr>
                <w:p w14:paraId="609E78C2">
                  <w:pPr>
                    <w:pStyle w:val="13"/>
                    <w:rPr>
                      <w:color w:val="auto"/>
                      <w:highlight w:val="none"/>
                    </w:rPr>
                  </w:pPr>
                  <w:r>
                    <w:rPr>
                      <w:rFonts w:hint="eastAsia"/>
                      <w:color w:val="auto"/>
                      <w:highlight w:val="none"/>
                    </w:rPr>
                    <w:t>42</w:t>
                  </w:r>
                </w:p>
              </w:tc>
              <w:tc>
                <w:tcPr>
                  <w:tcW w:w="285" w:type="pct"/>
                  <w:vAlign w:val="center"/>
                </w:tcPr>
                <w:p w14:paraId="3A8B87EA">
                  <w:pPr>
                    <w:pStyle w:val="13"/>
                    <w:rPr>
                      <w:color w:val="auto"/>
                      <w:highlight w:val="none"/>
                    </w:rPr>
                  </w:pPr>
                  <w:r>
                    <w:rPr>
                      <w:rFonts w:hint="eastAsia"/>
                      <w:color w:val="auto"/>
                      <w:highlight w:val="none"/>
                    </w:rPr>
                    <w:t>1m</w:t>
                  </w:r>
                </w:p>
              </w:tc>
            </w:tr>
            <w:tr w14:paraId="20DE4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Align w:val="center"/>
                </w:tcPr>
                <w:p w14:paraId="48B21839">
                  <w:pPr>
                    <w:pStyle w:val="13"/>
                    <w:rPr>
                      <w:color w:val="auto"/>
                      <w:highlight w:val="none"/>
                    </w:rPr>
                  </w:pPr>
                  <w:r>
                    <w:rPr>
                      <w:rFonts w:hint="eastAsia"/>
                      <w:color w:val="auto"/>
                      <w:highlight w:val="none"/>
                    </w:rPr>
                    <w:t>2</w:t>
                  </w:r>
                </w:p>
              </w:tc>
              <w:tc>
                <w:tcPr>
                  <w:tcW w:w="258" w:type="pct"/>
                  <w:vMerge w:val="continue"/>
                  <w:vAlign w:val="center"/>
                </w:tcPr>
                <w:p w14:paraId="735822EA">
                  <w:pPr>
                    <w:pStyle w:val="13"/>
                    <w:rPr>
                      <w:color w:val="auto"/>
                      <w:highlight w:val="none"/>
                    </w:rPr>
                  </w:pPr>
                </w:p>
              </w:tc>
              <w:tc>
                <w:tcPr>
                  <w:tcW w:w="595" w:type="pct"/>
                  <w:vAlign w:val="center"/>
                </w:tcPr>
                <w:p w14:paraId="17404D8B">
                  <w:pPr>
                    <w:pStyle w:val="13"/>
                    <w:rPr>
                      <w:color w:val="auto"/>
                      <w:highlight w:val="none"/>
                    </w:rPr>
                  </w:pPr>
                  <w:r>
                    <w:rPr>
                      <w:rFonts w:hint="eastAsia"/>
                      <w:color w:val="auto"/>
                      <w:highlight w:val="none"/>
                    </w:rPr>
                    <w:t>磁选机1</w:t>
                  </w:r>
                </w:p>
              </w:tc>
              <w:tc>
                <w:tcPr>
                  <w:tcW w:w="570" w:type="pct"/>
                  <w:vAlign w:val="center"/>
                </w:tcPr>
                <w:p w14:paraId="18EB7B94">
                  <w:pPr>
                    <w:pStyle w:val="13"/>
                    <w:rPr>
                      <w:color w:val="auto"/>
                      <w:highlight w:val="none"/>
                    </w:rPr>
                  </w:pPr>
                  <w:r>
                    <w:rPr>
                      <w:color w:val="auto"/>
                      <w:highlight w:val="none"/>
                    </w:rPr>
                    <w:t>TXCT20</w:t>
                  </w:r>
                </w:p>
              </w:tc>
              <w:tc>
                <w:tcPr>
                  <w:tcW w:w="407" w:type="pct"/>
                  <w:vAlign w:val="center"/>
                </w:tcPr>
                <w:p w14:paraId="1CF0AB71">
                  <w:pPr>
                    <w:pStyle w:val="13"/>
                    <w:rPr>
                      <w:color w:val="auto"/>
                      <w:highlight w:val="none"/>
                    </w:rPr>
                  </w:pPr>
                  <w:r>
                    <w:rPr>
                      <w:color w:val="auto"/>
                      <w:highlight w:val="none"/>
                    </w:rPr>
                    <w:t>75-85</w:t>
                  </w:r>
                </w:p>
              </w:tc>
              <w:tc>
                <w:tcPr>
                  <w:tcW w:w="548" w:type="pct"/>
                  <w:vMerge w:val="continue"/>
                  <w:vAlign w:val="center"/>
                </w:tcPr>
                <w:p w14:paraId="57EDDD40">
                  <w:pPr>
                    <w:pStyle w:val="13"/>
                    <w:rPr>
                      <w:color w:val="auto"/>
                      <w:highlight w:val="none"/>
                    </w:rPr>
                  </w:pPr>
                </w:p>
              </w:tc>
              <w:tc>
                <w:tcPr>
                  <w:tcW w:w="230" w:type="pct"/>
                  <w:vAlign w:val="center"/>
                </w:tcPr>
                <w:p w14:paraId="5B4DB9DD">
                  <w:pPr>
                    <w:pStyle w:val="13"/>
                    <w:rPr>
                      <w:color w:val="auto"/>
                      <w:highlight w:val="none"/>
                    </w:rPr>
                  </w:pPr>
                  <w:r>
                    <w:rPr>
                      <w:color w:val="auto"/>
                      <w:highlight w:val="none"/>
                    </w:rPr>
                    <w:t>53.5</w:t>
                  </w:r>
                </w:p>
              </w:tc>
              <w:tc>
                <w:tcPr>
                  <w:tcW w:w="230" w:type="pct"/>
                  <w:vAlign w:val="center"/>
                </w:tcPr>
                <w:p w14:paraId="4FE0366A">
                  <w:pPr>
                    <w:pStyle w:val="13"/>
                    <w:rPr>
                      <w:color w:val="auto"/>
                      <w:highlight w:val="none"/>
                    </w:rPr>
                  </w:pPr>
                  <w:r>
                    <w:rPr>
                      <w:color w:val="auto"/>
                      <w:highlight w:val="none"/>
                    </w:rPr>
                    <w:t>25</w:t>
                  </w:r>
                </w:p>
              </w:tc>
              <w:tc>
                <w:tcPr>
                  <w:tcW w:w="211" w:type="pct"/>
                  <w:vAlign w:val="center"/>
                </w:tcPr>
                <w:p w14:paraId="67946642">
                  <w:pPr>
                    <w:pStyle w:val="13"/>
                    <w:rPr>
                      <w:color w:val="auto"/>
                      <w:highlight w:val="none"/>
                    </w:rPr>
                  </w:pPr>
                  <w:r>
                    <w:rPr>
                      <w:rFonts w:hint="eastAsia"/>
                      <w:color w:val="auto"/>
                      <w:highlight w:val="none"/>
                    </w:rPr>
                    <w:t>0.5</w:t>
                  </w:r>
                </w:p>
              </w:tc>
              <w:tc>
                <w:tcPr>
                  <w:tcW w:w="402" w:type="pct"/>
                  <w:vAlign w:val="center"/>
                </w:tcPr>
                <w:p w14:paraId="4323E571">
                  <w:pPr>
                    <w:pStyle w:val="13"/>
                    <w:rPr>
                      <w:color w:val="auto"/>
                      <w:highlight w:val="none"/>
                    </w:rPr>
                  </w:pPr>
                  <w:r>
                    <w:rPr>
                      <w:rFonts w:hint="eastAsia"/>
                      <w:color w:val="auto"/>
                      <w:highlight w:val="none"/>
                    </w:rPr>
                    <w:t>25</w:t>
                  </w:r>
                </w:p>
              </w:tc>
              <w:tc>
                <w:tcPr>
                  <w:tcW w:w="319" w:type="pct"/>
                  <w:vAlign w:val="center"/>
                </w:tcPr>
                <w:p w14:paraId="5325F65E">
                  <w:pPr>
                    <w:pStyle w:val="13"/>
                    <w:rPr>
                      <w:color w:val="auto"/>
                      <w:highlight w:val="none"/>
                    </w:rPr>
                  </w:pPr>
                  <w:r>
                    <w:rPr>
                      <w:rFonts w:hint="eastAsia"/>
                      <w:color w:val="auto"/>
                      <w:highlight w:val="none"/>
                    </w:rPr>
                    <w:t>52</w:t>
                  </w:r>
                </w:p>
              </w:tc>
              <w:tc>
                <w:tcPr>
                  <w:tcW w:w="403" w:type="pct"/>
                  <w:vAlign w:val="center"/>
                </w:tcPr>
                <w:p w14:paraId="72695793">
                  <w:pPr>
                    <w:pStyle w:val="13"/>
                    <w:rPr>
                      <w:color w:val="auto"/>
                      <w:highlight w:val="none"/>
                    </w:rPr>
                  </w:pPr>
                  <w:r>
                    <w:rPr>
                      <w:rFonts w:hint="eastAsia"/>
                      <w:color w:val="auto"/>
                      <w:highlight w:val="none"/>
                    </w:rPr>
                    <w:t>15</w:t>
                  </w:r>
                </w:p>
              </w:tc>
              <w:tc>
                <w:tcPr>
                  <w:tcW w:w="320" w:type="pct"/>
                  <w:vAlign w:val="center"/>
                </w:tcPr>
                <w:p w14:paraId="4E51A407">
                  <w:pPr>
                    <w:pStyle w:val="13"/>
                    <w:rPr>
                      <w:color w:val="auto"/>
                      <w:highlight w:val="none"/>
                    </w:rPr>
                  </w:pPr>
                  <w:r>
                    <w:rPr>
                      <w:rFonts w:hint="eastAsia"/>
                      <w:color w:val="auto"/>
                      <w:highlight w:val="none"/>
                    </w:rPr>
                    <w:t>37</w:t>
                  </w:r>
                </w:p>
              </w:tc>
              <w:tc>
                <w:tcPr>
                  <w:tcW w:w="285" w:type="pct"/>
                  <w:vAlign w:val="center"/>
                </w:tcPr>
                <w:p w14:paraId="2D0E83AD">
                  <w:pPr>
                    <w:pStyle w:val="13"/>
                    <w:rPr>
                      <w:color w:val="auto"/>
                      <w:highlight w:val="none"/>
                    </w:rPr>
                  </w:pPr>
                  <w:r>
                    <w:rPr>
                      <w:rFonts w:hint="eastAsia"/>
                      <w:color w:val="auto"/>
                      <w:highlight w:val="none"/>
                    </w:rPr>
                    <w:t>1m</w:t>
                  </w:r>
                </w:p>
              </w:tc>
            </w:tr>
            <w:tr w14:paraId="39653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Align w:val="center"/>
                </w:tcPr>
                <w:p w14:paraId="09C64844">
                  <w:pPr>
                    <w:pStyle w:val="13"/>
                    <w:rPr>
                      <w:color w:val="auto"/>
                      <w:highlight w:val="none"/>
                    </w:rPr>
                  </w:pPr>
                  <w:r>
                    <w:rPr>
                      <w:rFonts w:hint="eastAsia"/>
                      <w:color w:val="auto"/>
                      <w:highlight w:val="none"/>
                    </w:rPr>
                    <w:t>3</w:t>
                  </w:r>
                </w:p>
              </w:tc>
              <w:tc>
                <w:tcPr>
                  <w:tcW w:w="258" w:type="pct"/>
                  <w:vMerge w:val="continue"/>
                  <w:vAlign w:val="center"/>
                </w:tcPr>
                <w:p w14:paraId="16CF08A9">
                  <w:pPr>
                    <w:pStyle w:val="13"/>
                    <w:rPr>
                      <w:color w:val="auto"/>
                      <w:highlight w:val="none"/>
                    </w:rPr>
                  </w:pPr>
                </w:p>
              </w:tc>
              <w:tc>
                <w:tcPr>
                  <w:tcW w:w="595" w:type="pct"/>
                  <w:vAlign w:val="center"/>
                </w:tcPr>
                <w:p w14:paraId="1F8BF877">
                  <w:pPr>
                    <w:pStyle w:val="13"/>
                    <w:rPr>
                      <w:color w:val="auto"/>
                      <w:highlight w:val="none"/>
                    </w:rPr>
                  </w:pPr>
                  <w:r>
                    <w:rPr>
                      <w:rFonts w:hint="eastAsia"/>
                      <w:color w:val="auto"/>
                      <w:highlight w:val="none"/>
                    </w:rPr>
                    <w:t>破碎机1</w:t>
                  </w:r>
                </w:p>
              </w:tc>
              <w:tc>
                <w:tcPr>
                  <w:tcW w:w="570" w:type="pct"/>
                  <w:vAlign w:val="center"/>
                </w:tcPr>
                <w:p w14:paraId="57C7A221">
                  <w:pPr>
                    <w:pStyle w:val="13"/>
                    <w:rPr>
                      <w:color w:val="auto"/>
                      <w:highlight w:val="none"/>
                    </w:rPr>
                  </w:pPr>
                  <w:r>
                    <w:rPr>
                      <w:color w:val="auto"/>
                      <w:highlight w:val="none"/>
                    </w:rPr>
                    <w:t>PEX1575</w:t>
                  </w:r>
                </w:p>
              </w:tc>
              <w:tc>
                <w:tcPr>
                  <w:tcW w:w="407" w:type="pct"/>
                  <w:vAlign w:val="center"/>
                </w:tcPr>
                <w:p w14:paraId="20A3AEF9">
                  <w:pPr>
                    <w:pStyle w:val="13"/>
                    <w:rPr>
                      <w:color w:val="auto"/>
                      <w:highlight w:val="none"/>
                    </w:rPr>
                  </w:pPr>
                  <w:r>
                    <w:rPr>
                      <w:color w:val="auto"/>
                      <w:highlight w:val="none"/>
                    </w:rPr>
                    <w:t>90-100</w:t>
                  </w:r>
                </w:p>
              </w:tc>
              <w:tc>
                <w:tcPr>
                  <w:tcW w:w="548" w:type="pct"/>
                  <w:vMerge w:val="continue"/>
                  <w:vAlign w:val="center"/>
                </w:tcPr>
                <w:p w14:paraId="427C37E9">
                  <w:pPr>
                    <w:pStyle w:val="13"/>
                    <w:rPr>
                      <w:color w:val="auto"/>
                      <w:highlight w:val="none"/>
                    </w:rPr>
                  </w:pPr>
                </w:p>
              </w:tc>
              <w:tc>
                <w:tcPr>
                  <w:tcW w:w="230" w:type="pct"/>
                  <w:vAlign w:val="center"/>
                </w:tcPr>
                <w:p w14:paraId="3279BAFD">
                  <w:pPr>
                    <w:pStyle w:val="13"/>
                    <w:rPr>
                      <w:color w:val="auto"/>
                      <w:highlight w:val="none"/>
                    </w:rPr>
                  </w:pPr>
                  <w:r>
                    <w:rPr>
                      <w:color w:val="auto"/>
                      <w:highlight w:val="none"/>
                    </w:rPr>
                    <w:t>45.5</w:t>
                  </w:r>
                </w:p>
              </w:tc>
              <w:tc>
                <w:tcPr>
                  <w:tcW w:w="230" w:type="pct"/>
                  <w:vAlign w:val="center"/>
                </w:tcPr>
                <w:p w14:paraId="0307517B">
                  <w:pPr>
                    <w:pStyle w:val="13"/>
                    <w:rPr>
                      <w:color w:val="auto"/>
                      <w:highlight w:val="none"/>
                    </w:rPr>
                  </w:pPr>
                  <w:r>
                    <w:rPr>
                      <w:color w:val="auto"/>
                      <w:highlight w:val="none"/>
                    </w:rPr>
                    <w:t>25</w:t>
                  </w:r>
                </w:p>
              </w:tc>
              <w:tc>
                <w:tcPr>
                  <w:tcW w:w="211" w:type="pct"/>
                  <w:vAlign w:val="center"/>
                </w:tcPr>
                <w:p w14:paraId="4ACD9FCB">
                  <w:pPr>
                    <w:pStyle w:val="13"/>
                    <w:rPr>
                      <w:color w:val="auto"/>
                      <w:highlight w:val="none"/>
                    </w:rPr>
                  </w:pPr>
                  <w:r>
                    <w:rPr>
                      <w:rFonts w:hint="eastAsia"/>
                      <w:color w:val="auto"/>
                      <w:highlight w:val="none"/>
                    </w:rPr>
                    <w:t>0.5</w:t>
                  </w:r>
                </w:p>
              </w:tc>
              <w:tc>
                <w:tcPr>
                  <w:tcW w:w="402" w:type="pct"/>
                  <w:vAlign w:val="center"/>
                </w:tcPr>
                <w:p w14:paraId="4D780CDC">
                  <w:pPr>
                    <w:pStyle w:val="13"/>
                    <w:rPr>
                      <w:color w:val="auto"/>
                      <w:highlight w:val="none"/>
                    </w:rPr>
                  </w:pPr>
                  <w:r>
                    <w:rPr>
                      <w:rFonts w:hint="eastAsia"/>
                      <w:color w:val="auto"/>
                      <w:highlight w:val="none"/>
                    </w:rPr>
                    <w:t>25</w:t>
                  </w:r>
                </w:p>
              </w:tc>
              <w:tc>
                <w:tcPr>
                  <w:tcW w:w="319" w:type="pct"/>
                  <w:vAlign w:val="center"/>
                </w:tcPr>
                <w:p w14:paraId="119223CC">
                  <w:pPr>
                    <w:pStyle w:val="13"/>
                    <w:rPr>
                      <w:color w:val="auto"/>
                      <w:highlight w:val="none"/>
                    </w:rPr>
                  </w:pPr>
                  <w:r>
                    <w:rPr>
                      <w:rFonts w:hint="eastAsia"/>
                      <w:color w:val="auto"/>
                      <w:highlight w:val="none"/>
                    </w:rPr>
                    <w:t>67</w:t>
                  </w:r>
                </w:p>
              </w:tc>
              <w:tc>
                <w:tcPr>
                  <w:tcW w:w="403" w:type="pct"/>
                  <w:vAlign w:val="center"/>
                </w:tcPr>
                <w:p w14:paraId="2E7414B7">
                  <w:pPr>
                    <w:pStyle w:val="13"/>
                    <w:rPr>
                      <w:color w:val="auto"/>
                      <w:highlight w:val="none"/>
                    </w:rPr>
                  </w:pPr>
                  <w:r>
                    <w:rPr>
                      <w:rFonts w:hint="eastAsia"/>
                      <w:color w:val="auto"/>
                      <w:highlight w:val="none"/>
                    </w:rPr>
                    <w:t>15</w:t>
                  </w:r>
                </w:p>
              </w:tc>
              <w:tc>
                <w:tcPr>
                  <w:tcW w:w="320" w:type="pct"/>
                  <w:vAlign w:val="center"/>
                </w:tcPr>
                <w:p w14:paraId="364B6E86">
                  <w:pPr>
                    <w:pStyle w:val="13"/>
                    <w:rPr>
                      <w:color w:val="auto"/>
                      <w:highlight w:val="none"/>
                    </w:rPr>
                  </w:pPr>
                  <w:r>
                    <w:rPr>
                      <w:rFonts w:hint="eastAsia"/>
                      <w:color w:val="auto"/>
                      <w:highlight w:val="none"/>
                    </w:rPr>
                    <w:t>52</w:t>
                  </w:r>
                </w:p>
              </w:tc>
              <w:tc>
                <w:tcPr>
                  <w:tcW w:w="285" w:type="pct"/>
                  <w:vAlign w:val="center"/>
                </w:tcPr>
                <w:p w14:paraId="06DBCD72">
                  <w:pPr>
                    <w:pStyle w:val="13"/>
                    <w:rPr>
                      <w:color w:val="auto"/>
                      <w:highlight w:val="none"/>
                    </w:rPr>
                  </w:pPr>
                  <w:r>
                    <w:rPr>
                      <w:rFonts w:hint="eastAsia"/>
                      <w:color w:val="auto"/>
                      <w:highlight w:val="none"/>
                    </w:rPr>
                    <w:t>1m</w:t>
                  </w:r>
                </w:p>
              </w:tc>
            </w:tr>
            <w:tr w14:paraId="0882D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Align w:val="center"/>
                </w:tcPr>
                <w:p w14:paraId="7BB4C3F9">
                  <w:pPr>
                    <w:pStyle w:val="13"/>
                    <w:rPr>
                      <w:color w:val="auto"/>
                      <w:highlight w:val="none"/>
                    </w:rPr>
                  </w:pPr>
                  <w:r>
                    <w:rPr>
                      <w:rFonts w:hint="eastAsia"/>
                      <w:color w:val="auto"/>
                      <w:highlight w:val="none"/>
                    </w:rPr>
                    <w:t>4</w:t>
                  </w:r>
                </w:p>
              </w:tc>
              <w:tc>
                <w:tcPr>
                  <w:tcW w:w="258" w:type="pct"/>
                  <w:vMerge w:val="continue"/>
                  <w:vAlign w:val="center"/>
                </w:tcPr>
                <w:p w14:paraId="60CF1BBE">
                  <w:pPr>
                    <w:pStyle w:val="13"/>
                    <w:rPr>
                      <w:color w:val="auto"/>
                      <w:highlight w:val="none"/>
                    </w:rPr>
                  </w:pPr>
                </w:p>
              </w:tc>
              <w:tc>
                <w:tcPr>
                  <w:tcW w:w="595" w:type="pct"/>
                  <w:vAlign w:val="center"/>
                </w:tcPr>
                <w:p w14:paraId="046844A2">
                  <w:pPr>
                    <w:pStyle w:val="13"/>
                    <w:rPr>
                      <w:color w:val="auto"/>
                      <w:highlight w:val="none"/>
                    </w:rPr>
                  </w:pPr>
                  <w:r>
                    <w:rPr>
                      <w:rFonts w:hint="eastAsia"/>
                      <w:color w:val="auto"/>
                      <w:highlight w:val="none"/>
                    </w:rPr>
                    <w:t>秸秆打包机1</w:t>
                  </w:r>
                </w:p>
              </w:tc>
              <w:tc>
                <w:tcPr>
                  <w:tcW w:w="570" w:type="pct"/>
                  <w:vAlign w:val="center"/>
                </w:tcPr>
                <w:p w14:paraId="2F1DB0F3">
                  <w:pPr>
                    <w:pStyle w:val="13"/>
                    <w:rPr>
                      <w:color w:val="auto"/>
                      <w:highlight w:val="none"/>
                    </w:rPr>
                  </w:pPr>
                  <w:r>
                    <w:rPr>
                      <w:color w:val="auto"/>
                      <w:highlight w:val="none"/>
                    </w:rPr>
                    <w:t>YDB-55</w:t>
                  </w:r>
                </w:p>
              </w:tc>
              <w:tc>
                <w:tcPr>
                  <w:tcW w:w="407" w:type="pct"/>
                  <w:vAlign w:val="center"/>
                </w:tcPr>
                <w:p w14:paraId="211A39AA">
                  <w:pPr>
                    <w:pStyle w:val="13"/>
                    <w:rPr>
                      <w:color w:val="auto"/>
                      <w:highlight w:val="none"/>
                    </w:rPr>
                  </w:pPr>
                  <w:r>
                    <w:rPr>
                      <w:color w:val="auto"/>
                      <w:highlight w:val="none"/>
                    </w:rPr>
                    <w:t>70-80</w:t>
                  </w:r>
                </w:p>
              </w:tc>
              <w:tc>
                <w:tcPr>
                  <w:tcW w:w="548" w:type="pct"/>
                  <w:vMerge w:val="continue"/>
                  <w:vAlign w:val="center"/>
                </w:tcPr>
                <w:p w14:paraId="0622EB01">
                  <w:pPr>
                    <w:pStyle w:val="13"/>
                    <w:rPr>
                      <w:color w:val="auto"/>
                      <w:highlight w:val="none"/>
                    </w:rPr>
                  </w:pPr>
                </w:p>
              </w:tc>
              <w:tc>
                <w:tcPr>
                  <w:tcW w:w="230" w:type="pct"/>
                  <w:vAlign w:val="center"/>
                </w:tcPr>
                <w:p w14:paraId="049E3A57">
                  <w:pPr>
                    <w:pStyle w:val="13"/>
                    <w:rPr>
                      <w:color w:val="auto"/>
                      <w:highlight w:val="none"/>
                    </w:rPr>
                  </w:pPr>
                  <w:r>
                    <w:rPr>
                      <w:color w:val="auto"/>
                      <w:highlight w:val="none"/>
                    </w:rPr>
                    <w:t>39</w:t>
                  </w:r>
                </w:p>
              </w:tc>
              <w:tc>
                <w:tcPr>
                  <w:tcW w:w="230" w:type="pct"/>
                  <w:vAlign w:val="center"/>
                </w:tcPr>
                <w:p w14:paraId="4530DF31">
                  <w:pPr>
                    <w:pStyle w:val="13"/>
                    <w:rPr>
                      <w:color w:val="auto"/>
                      <w:highlight w:val="none"/>
                    </w:rPr>
                  </w:pPr>
                  <w:r>
                    <w:rPr>
                      <w:color w:val="auto"/>
                      <w:highlight w:val="none"/>
                    </w:rPr>
                    <w:t>23.5</w:t>
                  </w:r>
                </w:p>
              </w:tc>
              <w:tc>
                <w:tcPr>
                  <w:tcW w:w="211" w:type="pct"/>
                  <w:vAlign w:val="center"/>
                </w:tcPr>
                <w:p w14:paraId="7EEF2E7E">
                  <w:pPr>
                    <w:pStyle w:val="13"/>
                    <w:rPr>
                      <w:color w:val="auto"/>
                      <w:highlight w:val="none"/>
                    </w:rPr>
                  </w:pPr>
                  <w:r>
                    <w:rPr>
                      <w:rFonts w:hint="eastAsia"/>
                      <w:color w:val="auto"/>
                      <w:highlight w:val="none"/>
                    </w:rPr>
                    <w:t>0.5</w:t>
                  </w:r>
                </w:p>
              </w:tc>
              <w:tc>
                <w:tcPr>
                  <w:tcW w:w="402" w:type="pct"/>
                  <w:vAlign w:val="center"/>
                </w:tcPr>
                <w:p w14:paraId="38D793DB">
                  <w:pPr>
                    <w:pStyle w:val="13"/>
                    <w:rPr>
                      <w:color w:val="auto"/>
                      <w:highlight w:val="none"/>
                    </w:rPr>
                  </w:pPr>
                  <w:r>
                    <w:rPr>
                      <w:rFonts w:hint="eastAsia"/>
                      <w:color w:val="auto"/>
                      <w:highlight w:val="none"/>
                    </w:rPr>
                    <w:t>23.5</w:t>
                  </w:r>
                </w:p>
              </w:tc>
              <w:tc>
                <w:tcPr>
                  <w:tcW w:w="319" w:type="pct"/>
                  <w:vAlign w:val="center"/>
                </w:tcPr>
                <w:p w14:paraId="41500A9B">
                  <w:pPr>
                    <w:pStyle w:val="13"/>
                    <w:rPr>
                      <w:color w:val="auto"/>
                      <w:highlight w:val="none"/>
                    </w:rPr>
                  </w:pPr>
                  <w:r>
                    <w:rPr>
                      <w:rFonts w:hint="eastAsia"/>
                      <w:color w:val="auto"/>
                      <w:highlight w:val="none"/>
                    </w:rPr>
                    <w:t>48</w:t>
                  </w:r>
                </w:p>
              </w:tc>
              <w:tc>
                <w:tcPr>
                  <w:tcW w:w="403" w:type="pct"/>
                  <w:vAlign w:val="center"/>
                </w:tcPr>
                <w:p w14:paraId="36B3B22D">
                  <w:pPr>
                    <w:pStyle w:val="13"/>
                    <w:rPr>
                      <w:color w:val="auto"/>
                      <w:highlight w:val="none"/>
                    </w:rPr>
                  </w:pPr>
                  <w:r>
                    <w:rPr>
                      <w:rFonts w:hint="eastAsia"/>
                      <w:color w:val="auto"/>
                      <w:highlight w:val="none"/>
                    </w:rPr>
                    <w:t>15</w:t>
                  </w:r>
                </w:p>
              </w:tc>
              <w:tc>
                <w:tcPr>
                  <w:tcW w:w="320" w:type="pct"/>
                  <w:vAlign w:val="center"/>
                </w:tcPr>
                <w:p w14:paraId="26C74855">
                  <w:pPr>
                    <w:pStyle w:val="13"/>
                    <w:rPr>
                      <w:color w:val="auto"/>
                      <w:highlight w:val="none"/>
                    </w:rPr>
                  </w:pPr>
                  <w:r>
                    <w:rPr>
                      <w:rFonts w:hint="eastAsia"/>
                      <w:color w:val="auto"/>
                      <w:highlight w:val="none"/>
                    </w:rPr>
                    <w:t>33</w:t>
                  </w:r>
                </w:p>
              </w:tc>
              <w:tc>
                <w:tcPr>
                  <w:tcW w:w="285" w:type="pct"/>
                  <w:vAlign w:val="center"/>
                </w:tcPr>
                <w:p w14:paraId="462EB281">
                  <w:pPr>
                    <w:pStyle w:val="13"/>
                    <w:rPr>
                      <w:color w:val="auto"/>
                      <w:highlight w:val="none"/>
                    </w:rPr>
                  </w:pPr>
                  <w:r>
                    <w:rPr>
                      <w:rFonts w:hint="eastAsia"/>
                      <w:color w:val="auto"/>
                      <w:highlight w:val="none"/>
                    </w:rPr>
                    <w:t>1m</w:t>
                  </w:r>
                </w:p>
              </w:tc>
            </w:tr>
            <w:bookmarkEnd w:id="0"/>
            <w:tr w14:paraId="566DF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Align w:val="center"/>
                </w:tcPr>
                <w:p w14:paraId="1FC8B72B">
                  <w:pPr>
                    <w:pStyle w:val="13"/>
                    <w:rPr>
                      <w:color w:val="auto"/>
                      <w:highlight w:val="none"/>
                    </w:rPr>
                  </w:pPr>
                  <w:r>
                    <w:rPr>
                      <w:rFonts w:hint="eastAsia"/>
                      <w:color w:val="auto"/>
                      <w:highlight w:val="none"/>
                    </w:rPr>
                    <w:t>5</w:t>
                  </w:r>
                </w:p>
              </w:tc>
              <w:tc>
                <w:tcPr>
                  <w:tcW w:w="258" w:type="pct"/>
                  <w:vMerge w:val="continue"/>
                  <w:vAlign w:val="center"/>
                </w:tcPr>
                <w:p w14:paraId="7227A424">
                  <w:pPr>
                    <w:pStyle w:val="13"/>
                    <w:rPr>
                      <w:color w:val="auto"/>
                      <w:highlight w:val="none"/>
                    </w:rPr>
                  </w:pPr>
                </w:p>
              </w:tc>
              <w:tc>
                <w:tcPr>
                  <w:tcW w:w="595" w:type="pct"/>
                  <w:vAlign w:val="center"/>
                </w:tcPr>
                <w:p w14:paraId="75D0E9C4">
                  <w:pPr>
                    <w:pStyle w:val="13"/>
                    <w:rPr>
                      <w:color w:val="auto"/>
                      <w:highlight w:val="none"/>
                    </w:rPr>
                  </w:pPr>
                  <w:r>
                    <w:rPr>
                      <w:rFonts w:hint="eastAsia"/>
                      <w:color w:val="auto"/>
                      <w:highlight w:val="none"/>
                    </w:rPr>
                    <w:t>秸秆打包机2</w:t>
                  </w:r>
                </w:p>
              </w:tc>
              <w:tc>
                <w:tcPr>
                  <w:tcW w:w="570" w:type="pct"/>
                  <w:vAlign w:val="center"/>
                </w:tcPr>
                <w:p w14:paraId="6AA50B99">
                  <w:pPr>
                    <w:pStyle w:val="13"/>
                    <w:rPr>
                      <w:color w:val="auto"/>
                      <w:highlight w:val="none"/>
                    </w:rPr>
                  </w:pPr>
                  <w:r>
                    <w:rPr>
                      <w:color w:val="auto"/>
                      <w:highlight w:val="none"/>
                    </w:rPr>
                    <w:t>YDB-55</w:t>
                  </w:r>
                </w:p>
              </w:tc>
              <w:tc>
                <w:tcPr>
                  <w:tcW w:w="407" w:type="pct"/>
                  <w:vAlign w:val="center"/>
                </w:tcPr>
                <w:p w14:paraId="58BACF1D">
                  <w:pPr>
                    <w:pStyle w:val="13"/>
                    <w:rPr>
                      <w:color w:val="auto"/>
                      <w:highlight w:val="none"/>
                    </w:rPr>
                  </w:pPr>
                  <w:r>
                    <w:rPr>
                      <w:color w:val="auto"/>
                      <w:highlight w:val="none"/>
                    </w:rPr>
                    <w:t>70-80</w:t>
                  </w:r>
                </w:p>
              </w:tc>
              <w:tc>
                <w:tcPr>
                  <w:tcW w:w="548" w:type="pct"/>
                  <w:vMerge w:val="continue"/>
                  <w:vAlign w:val="center"/>
                </w:tcPr>
                <w:p w14:paraId="11A85FE8">
                  <w:pPr>
                    <w:pStyle w:val="13"/>
                    <w:rPr>
                      <w:color w:val="auto"/>
                      <w:highlight w:val="none"/>
                    </w:rPr>
                  </w:pPr>
                </w:p>
              </w:tc>
              <w:tc>
                <w:tcPr>
                  <w:tcW w:w="230" w:type="pct"/>
                  <w:vAlign w:val="center"/>
                </w:tcPr>
                <w:p w14:paraId="03740EFE">
                  <w:pPr>
                    <w:pStyle w:val="13"/>
                    <w:rPr>
                      <w:color w:val="auto"/>
                      <w:highlight w:val="none"/>
                    </w:rPr>
                  </w:pPr>
                  <w:r>
                    <w:rPr>
                      <w:color w:val="auto"/>
                      <w:highlight w:val="none"/>
                    </w:rPr>
                    <w:t>39</w:t>
                  </w:r>
                </w:p>
              </w:tc>
              <w:tc>
                <w:tcPr>
                  <w:tcW w:w="230" w:type="pct"/>
                  <w:vAlign w:val="center"/>
                </w:tcPr>
                <w:p w14:paraId="166FD33C">
                  <w:pPr>
                    <w:pStyle w:val="13"/>
                    <w:rPr>
                      <w:color w:val="auto"/>
                      <w:highlight w:val="none"/>
                    </w:rPr>
                  </w:pPr>
                  <w:r>
                    <w:rPr>
                      <w:color w:val="auto"/>
                      <w:highlight w:val="none"/>
                    </w:rPr>
                    <w:t>26.5</w:t>
                  </w:r>
                </w:p>
              </w:tc>
              <w:tc>
                <w:tcPr>
                  <w:tcW w:w="211" w:type="pct"/>
                  <w:vAlign w:val="center"/>
                </w:tcPr>
                <w:p w14:paraId="5B0757AC">
                  <w:pPr>
                    <w:pStyle w:val="13"/>
                    <w:rPr>
                      <w:color w:val="auto"/>
                      <w:highlight w:val="none"/>
                    </w:rPr>
                  </w:pPr>
                  <w:r>
                    <w:rPr>
                      <w:rFonts w:hint="eastAsia"/>
                      <w:color w:val="auto"/>
                      <w:highlight w:val="none"/>
                    </w:rPr>
                    <w:t>0.5</w:t>
                  </w:r>
                </w:p>
              </w:tc>
              <w:tc>
                <w:tcPr>
                  <w:tcW w:w="402" w:type="pct"/>
                  <w:vAlign w:val="center"/>
                </w:tcPr>
                <w:p w14:paraId="43BB4823">
                  <w:pPr>
                    <w:pStyle w:val="13"/>
                    <w:rPr>
                      <w:color w:val="auto"/>
                      <w:highlight w:val="none"/>
                    </w:rPr>
                  </w:pPr>
                  <w:r>
                    <w:rPr>
                      <w:rFonts w:hint="eastAsia"/>
                      <w:color w:val="auto"/>
                      <w:highlight w:val="none"/>
                    </w:rPr>
                    <w:t>26.5</w:t>
                  </w:r>
                </w:p>
              </w:tc>
              <w:tc>
                <w:tcPr>
                  <w:tcW w:w="319" w:type="pct"/>
                  <w:vAlign w:val="center"/>
                </w:tcPr>
                <w:p w14:paraId="02CB3AB7">
                  <w:pPr>
                    <w:pStyle w:val="13"/>
                    <w:rPr>
                      <w:color w:val="auto"/>
                      <w:highlight w:val="none"/>
                    </w:rPr>
                  </w:pPr>
                  <w:r>
                    <w:rPr>
                      <w:rFonts w:hint="eastAsia"/>
                      <w:color w:val="auto"/>
                      <w:highlight w:val="none"/>
                    </w:rPr>
                    <w:t>47</w:t>
                  </w:r>
                </w:p>
              </w:tc>
              <w:tc>
                <w:tcPr>
                  <w:tcW w:w="403" w:type="pct"/>
                  <w:vAlign w:val="center"/>
                </w:tcPr>
                <w:p w14:paraId="49982358">
                  <w:pPr>
                    <w:pStyle w:val="13"/>
                    <w:rPr>
                      <w:color w:val="auto"/>
                      <w:highlight w:val="none"/>
                    </w:rPr>
                  </w:pPr>
                  <w:r>
                    <w:rPr>
                      <w:rFonts w:hint="eastAsia"/>
                      <w:color w:val="auto"/>
                      <w:highlight w:val="none"/>
                    </w:rPr>
                    <w:t>15</w:t>
                  </w:r>
                </w:p>
              </w:tc>
              <w:tc>
                <w:tcPr>
                  <w:tcW w:w="320" w:type="pct"/>
                  <w:vAlign w:val="center"/>
                </w:tcPr>
                <w:p w14:paraId="6C90CEE5">
                  <w:pPr>
                    <w:pStyle w:val="13"/>
                    <w:rPr>
                      <w:color w:val="auto"/>
                      <w:highlight w:val="none"/>
                    </w:rPr>
                  </w:pPr>
                  <w:r>
                    <w:rPr>
                      <w:rFonts w:hint="eastAsia"/>
                      <w:color w:val="auto"/>
                      <w:highlight w:val="none"/>
                    </w:rPr>
                    <w:t>32</w:t>
                  </w:r>
                </w:p>
              </w:tc>
              <w:tc>
                <w:tcPr>
                  <w:tcW w:w="285" w:type="pct"/>
                  <w:vAlign w:val="center"/>
                </w:tcPr>
                <w:p w14:paraId="0A5E1590">
                  <w:pPr>
                    <w:pStyle w:val="13"/>
                    <w:rPr>
                      <w:color w:val="auto"/>
                      <w:highlight w:val="none"/>
                    </w:rPr>
                  </w:pPr>
                  <w:r>
                    <w:rPr>
                      <w:rFonts w:hint="eastAsia"/>
                      <w:color w:val="auto"/>
                      <w:highlight w:val="none"/>
                    </w:rPr>
                    <w:t>1m</w:t>
                  </w:r>
                </w:p>
              </w:tc>
            </w:tr>
            <w:tr w14:paraId="0863C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Align w:val="center"/>
                </w:tcPr>
                <w:p w14:paraId="54BE7A11">
                  <w:pPr>
                    <w:pStyle w:val="13"/>
                    <w:rPr>
                      <w:color w:val="auto"/>
                      <w:highlight w:val="none"/>
                    </w:rPr>
                  </w:pPr>
                  <w:r>
                    <w:rPr>
                      <w:rFonts w:hint="eastAsia"/>
                      <w:color w:val="auto"/>
                      <w:highlight w:val="none"/>
                    </w:rPr>
                    <w:t>6</w:t>
                  </w:r>
                </w:p>
              </w:tc>
              <w:tc>
                <w:tcPr>
                  <w:tcW w:w="258" w:type="pct"/>
                  <w:vMerge w:val="continue"/>
                  <w:vAlign w:val="center"/>
                </w:tcPr>
                <w:p w14:paraId="2A5DC235">
                  <w:pPr>
                    <w:pStyle w:val="13"/>
                    <w:rPr>
                      <w:color w:val="auto"/>
                      <w:highlight w:val="none"/>
                    </w:rPr>
                  </w:pPr>
                </w:p>
              </w:tc>
              <w:tc>
                <w:tcPr>
                  <w:tcW w:w="595" w:type="pct"/>
                  <w:vAlign w:val="center"/>
                </w:tcPr>
                <w:p w14:paraId="69F03189">
                  <w:pPr>
                    <w:pStyle w:val="13"/>
                    <w:rPr>
                      <w:color w:val="auto"/>
                      <w:highlight w:val="none"/>
                    </w:rPr>
                  </w:pPr>
                  <w:r>
                    <w:rPr>
                      <w:rFonts w:hint="eastAsia"/>
                      <w:color w:val="auto"/>
                      <w:highlight w:val="none"/>
                    </w:rPr>
                    <w:t>除尘器1</w:t>
                  </w:r>
                </w:p>
              </w:tc>
              <w:tc>
                <w:tcPr>
                  <w:tcW w:w="570" w:type="pct"/>
                  <w:vAlign w:val="center"/>
                </w:tcPr>
                <w:p w14:paraId="3EA93D25">
                  <w:pPr>
                    <w:pStyle w:val="13"/>
                    <w:rPr>
                      <w:color w:val="auto"/>
                      <w:highlight w:val="none"/>
                    </w:rPr>
                  </w:pPr>
                  <w:r>
                    <w:rPr>
                      <w:color w:val="auto"/>
                      <w:highlight w:val="none"/>
                    </w:rPr>
                    <w:t>/</w:t>
                  </w:r>
                </w:p>
              </w:tc>
              <w:tc>
                <w:tcPr>
                  <w:tcW w:w="407" w:type="pct"/>
                  <w:vAlign w:val="center"/>
                </w:tcPr>
                <w:p w14:paraId="7D9B8F40">
                  <w:pPr>
                    <w:pStyle w:val="13"/>
                    <w:rPr>
                      <w:color w:val="auto"/>
                      <w:highlight w:val="none"/>
                    </w:rPr>
                  </w:pPr>
                  <w:r>
                    <w:rPr>
                      <w:color w:val="auto"/>
                      <w:highlight w:val="none"/>
                    </w:rPr>
                    <w:t>70-80</w:t>
                  </w:r>
                </w:p>
              </w:tc>
              <w:tc>
                <w:tcPr>
                  <w:tcW w:w="548" w:type="pct"/>
                  <w:vMerge w:val="continue"/>
                  <w:vAlign w:val="center"/>
                </w:tcPr>
                <w:p w14:paraId="53D39025">
                  <w:pPr>
                    <w:pStyle w:val="13"/>
                    <w:rPr>
                      <w:color w:val="auto"/>
                      <w:highlight w:val="none"/>
                    </w:rPr>
                  </w:pPr>
                </w:p>
              </w:tc>
              <w:tc>
                <w:tcPr>
                  <w:tcW w:w="230" w:type="pct"/>
                  <w:vAlign w:val="center"/>
                </w:tcPr>
                <w:p w14:paraId="764DCC0E">
                  <w:pPr>
                    <w:pStyle w:val="13"/>
                    <w:rPr>
                      <w:color w:val="auto"/>
                      <w:highlight w:val="none"/>
                    </w:rPr>
                  </w:pPr>
                  <w:r>
                    <w:rPr>
                      <w:color w:val="auto"/>
                      <w:highlight w:val="none"/>
                    </w:rPr>
                    <w:t>39</w:t>
                  </w:r>
                </w:p>
              </w:tc>
              <w:tc>
                <w:tcPr>
                  <w:tcW w:w="230" w:type="pct"/>
                  <w:vAlign w:val="center"/>
                </w:tcPr>
                <w:p w14:paraId="219A3584">
                  <w:pPr>
                    <w:pStyle w:val="13"/>
                    <w:rPr>
                      <w:color w:val="auto"/>
                      <w:highlight w:val="none"/>
                    </w:rPr>
                  </w:pPr>
                  <w:r>
                    <w:rPr>
                      <w:color w:val="auto"/>
                      <w:highlight w:val="none"/>
                    </w:rPr>
                    <w:t>31.5</w:t>
                  </w:r>
                </w:p>
              </w:tc>
              <w:tc>
                <w:tcPr>
                  <w:tcW w:w="211" w:type="pct"/>
                  <w:vAlign w:val="center"/>
                </w:tcPr>
                <w:p w14:paraId="3403C951">
                  <w:pPr>
                    <w:pStyle w:val="13"/>
                    <w:rPr>
                      <w:color w:val="auto"/>
                      <w:highlight w:val="none"/>
                    </w:rPr>
                  </w:pPr>
                  <w:r>
                    <w:rPr>
                      <w:rFonts w:hint="eastAsia"/>
                      <w:color w:val="auto"/>
                      <w:highlight w:val="none"/>
                    </w:rPr>
                    <w:t>0.5</w:t>
                  </w:r>
                </w:p>
              </w:tc>
              <w:tc>
                <w:tcPr>
                  <w:tcW w:w="402" w:type="pct"/>
                  <w:vAlign w:val="center"/>
                </w:tcPr>
                <w:p w14:paraId="104F0364">
                  <w:pPr>
                    <w:pStyle w:val="13"/>
                    <w:rPr>
                      <w:color w:val="auto"/>
                      <w:highlight w:val="none"/>
                    </w:rPr>
                  </w:pPr>
                  <w:r>
                    <w:rPr>
                      <w:rFonts w:hint="eastAsia"/>
                      <w:color w:val="auto"/>
                      <w:highlight w:val="none"/>
                    </w:rPr>
                    <w:t>31.5</w:t>
                  </w:r>
                </w:p>
              </w:tc>
              <w:tc>
                <w:tcPr>
                  <w:tcW w:w="319" w:type="pct"/>
                  <w:vAlign w:val="center"/>
                </w:tcPr>
                <w:p w14:paraId="4241DA6F">
                  <w:pPr>
                    <w:pStyle w:val="13"/>
                    <w:rPr>
                      <w:color w:val="auto"/>
                      <w:highlight w:val="none"/>
                    </w:rPr>
                  </w:pPr>
                  <w:r>
                    <w:rPr>
                      <w:rFonts w:hint="eastAsia"/>
                      <w:color w:val="auto"/>
                      <w:highlight w:val="none"/>
                    </w:rPr>
                    <w:t>45</w:t>
                  </w:r>
                </w:p>
              </w:tc>
              <w:tc>
                <w:tcPr>
                  <w:tcW w:w="403" w:type="pct"/>
                  <w:vAlign w:val="center"/>
                </w:tcPr>
                <w:p w14:paraId="7365BC9F">
                  <w:pPr>
                    <w:pStyle w:val="13"/>
                    <w:rPr>
                      <w:color w:val="auto"/>
                      <w:highlight w:val="none"/>
                    </w:rPr>
                  </w:pPr>
                  <w:r>
                    <w:rPr>
                      <w:rFonts w:hint="eastAsia"/>
                      <w:color w:val="auto"/>
                      <w:highlight w:val="none"/>
                    </w:rPr>
                    <w:t>15</w:t>
                  </w:r>
                </w:p>
              </w:tc>
              <w:tc>
                <w:tcPr>
                  <w:tcW w:w="320" w:type="pct"/>
                  <w:vAlign w:val="center"/>
                </w:tcPr>
                <w:p w14:paraId="210219F9">
                  <w:pPr>
                    <w:pStyle w:val="13"/>
                    <w:rPr>
                      <w:color w:val="auto"/>
                      <w:highlight w:val="none"/>
                    </w:rPr>
                  </w:pPr>
                  <w:r>
                    <w:rPr>
                      <w:rFonts w:hint="eastAsia"/>
                      <w:color w:val="auto"/>
                      <w:highlight w:val="none"/>
                    </w:rPr>
                    <w:t>30</w:t>
                  </w:r>
                </w:p>
              </w:tc>
              <w:tc>
                <w:tcPr>
                  <w:tcW w:w="285" w:type="pct"/>
                  <w:vAlign w:val="center"/>
                </w:tcPr>
                <w:p w14:paraId="68AB22D2">
                  <w:pPr>
                    <w:pStyle w:val="13"/>
                    <w:rPr>
                      <w:color w:val="auto"/>
                      <w:highlight w:val="none"/>
                    </w:rPr>
                  </w:pPr>
                  <w:r>
                    <w:rPr>
                      <w:rFonts w:hint="eastAsia"/>
                      <w:color w:val="auto"/>
                      <w:highlight w:val="none"/>
                    </w:rPr>
                    <w:t>1m</w:t>
                  </w:r>
                </w:p>
              </w:tc>
            </w:tr>
            <w:tr w14:paraId="78739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Align w:val="center"/>
                </w:tcPr>
                <w:p w14:paraId="77332D17">
                  <w:pPr>
                    <w:pStyle w:val="13"/>
                    <w:rPr>
                      <w:color w:val="auto"/>
                      <w:highlight w:val="none"/>
                    </w:rPr>
                  </w:pPr>
                  <w:r>
                    <w:rPr>
                      <w:rFonts w:hint="eastAsia"/>
                      <w:color w:val="auto"/>
                      <w:highlight w:val="none"/>
                    </w:rPr>
                    <w:t>7</w:t>
                  </w:r>
                </w:p>
              </w:tc>
              <w:tc>
                <w:tcPr>
                  <w:tcW w:w="258" w:type="pct"/>
                  <w:vMerge w:val="continue"/>
                  <w:vAlign w:val="center"/>
                </w:tcPr>
                <w:p w14:paraId="0155CB0A">
                  <w:pPr>
                    <w:pStyle w:val="13"/>
                    <w:rPr>
                      <w:color w:val="auto"/>
                      <w:highlight w:val="none"/>
                    </w:rPr>
                  </w:pPr>
                </w:p>
              </w:tc>
              <w:tc>
                <w:tcPr>
                  <w:tcW w:w="595" w:type="pct"/>
                  <w:vAlign w:val="center"/>
                </w:tcPr>
                <w:p w14:paraId="535ADF87">
                  <w:pPr>
                    <w:pStyle w:val="13"/>
                    <w:rPr>
                      <w:color w:val="auto"/>
                      <w:highlight w:val="none"/>
                    </w:rPr>
                  </w:pPr>
                  <w:r>
                    <w:rPr>
                      <w:rFonts w:hint="eastAsia"/>
                      <w:color w:val="auto"/>
                      <w:highlight w:val="none"/>
                    </w:rPr>
                    <w:t>配料机1</w:t>
                  </w:r>
                </w:p>
              </w:tc>
              <w:tc>
                <w:tcPr>
                  <w:tcW w:w="570" w:type="pct"/>
                  <w:vAlign w:val="center"/>
                </w:tcPr>
                <w:p w14:paraId="603E0DEB">
                  <w:pPr>
                    <w:pStyle w:val="13"/>
                    <w:rPr>
                      <w:color w:val="auto"/>
                      <w:highlight w:val="none"/>
                    </w:rPr>
                  </w:pPr>
                  <w:r>
                    <w:rPr>
                      <w:color w:val="auto"/>
                      <w:highlight w:val="none"/>
                    </w:rPr>
                    <w:t>DCS50</w:t>
                  </w:r>
                </w:p>
              </w:tc>
              <w:tc>
                <w:tcPr>
                  <w:tcW w:w="407" w:type="pct"/>
                  <w:vAlign w:val="center"/>
                </w:tcPr>
                <w:p w14:paraId="47A8C770">
                  <w:pPr>
                    <w:pStyle w:val="13"/>
                    <w:rPr>
                      <w:color w:val="auto"/>
                      <w:highlight w:val="none"/>
                    </w:rPr>
                  </w:pPr>
                  <w:r>
                    <w:rPr>
                      <w:color w:val="auto"/>
                      <w:highlight w:val="none"/>
                    </w:rPr>
                    <w:t>65-75</w:t>
                  </w:r>
                </w:p>
              </w:tc>
              <w:tc>
                <w:tcPr>
                  <w:tcW w:w="548" w:type="pct"/>
                  <w:vMerge w:val="continue"/>
                  <w:vAlign w:val="center"/>
                </w:tcPr>
                <w:p w14:paraId="30F7F013">
                  <w:pPr>
                    <w:pStyle w:val="13"/>
                    <w:rPr>
                      <w:color w:val="auto"/>
                      <w:highlight w:val="none"/>
                    </w:rPr>
                  </w:pPr>
                </w:p>
              </w:tc>
              <w:tc>
                <w:tcPr>
                  <w:tcW w:w="230" w:type="pct"/>
                  <w:vAlign w:val="center"/>
                </w:tcPr>
                <w:p w14:paraId="32C1E152">
                  <w:pPr>
                    <w:pStyle w:val="13"/>
                    <w:rPr>
                      <w:color w:val="auto"/>
                      <w:highlight w:val="none"/>
                    </w:rPr>
                  </w:pPr>
                  <w:r>
                    <w:rPr>
                      <w:color w:val="auto"/>
                      <w:highlight w:val="none"/>
                    </w:rPr>
                    <w:t>39</w:t>
                  </w:r>
                </w:p>
              </w:tc>
              <w:tc>
                <w:tcPr>
                  <w:tcW w:w="230" w:type="pct"/>
                  <w:vAlign w:val="center"/>
                </w:tcPr>
                <w:p w14:paraId="52EDC727">
                  <w:pPr>
                    <w:pStyle w:val="13"/>
                    <w:rPr>
                      <w:color w:val="auto"/>
                      <w:highlight w:val="none"/>
                    </w:rPr>
                  </w:pPr>
                  <w:r>
                    <w:rPr>
                      <w:color w:val="auto"/>
                      <w:highlight w:val="none"/>
                    </w:rPr>
                    <w:t>16.5</w:t>
                  </w:r>
                </w:p>
              </w:tc>
              <w:tc>
                <w:tcPr>
                  <w:tcW w:w="211" w:type="pct"/>
                  <w:vAlign w:val="center"/>
                </w:tcPr>
                <w:p w14:paraId="06FDFE22">
                  <w:pPr>
                    <w:pStyle w:val="13"/>
                    <w:rPr>
                      <w:color w:val="auto"/>
                      <w:highlight w:val="none"/>
                    </w:rPr>
                  </w:pPr>
                  <w:r>
                    <w:rPr>
                      <w:rFonts w:hint="eastAsia"/>
                      <w:color w:val="auto"/>
                      <w:highlight w:val="none"/>
                    </w:rPr>
                    <w:t>0.5</w:t>
                  </w:r>
                </w:p>
              </w:tc>
              <w:tc>
                <w:tcPr>
                  <w:tcW w:w="402" w:type="pct"/>
                  <w:vAlign w:val="center"/>
                </w:tcPr>
                <w:p w14:paraId="590B2575">
                  <w:pPr>
                    <w:pStyle w:val="13"/>
                    <w:rPr>
                      <w:color w:val="auto"/>
                      <w:highlight w:val="none"/>
                    </w:rPr>
                  </w:pPr>
                  <w:r>
                    <w:rPr>
                      <w:rFonts w:hint="eastAsia"/>
                      <w:color w:val="auto"/>
                      <w:highlight w:val="none"/>
                    </w:rPr>
                    <w:t>16.5</w:t>
                  </w:r>
                </w:p>
              </w:tc>
              <w:tc>
                <w:tcPr>
                  <w:tcW w:w="319" w:type="pct"/>
                  <w:vAlign w:val="center"/>
                </w:tcPr>
                <w:p w14:paraId="1BA8E1CE">
                  <w:pPr>
                    <w:pStyle w:val="13"/>
                    <w:rPr>
                      <w:color w:val="auto"/>
                      <w:highlight w:val="none"/>
                    </w:rPr>
                  </w:pPr>
                  <w:r>
                    <w:rPr>
                      <w:rFonts w:hint="eastAsia"/>
                      <w:color w:val="auto"/>
                      <w:highlight w:val="none"/>
                    </w:rPr>
                    <w:t>46</w:t>
                  </w:r>
                </w:p>
              </w:tc>
              <w:tc>
                <w:tcPr>
                  <w:tcW w:w="403" w:type="pct"/>
                  <w:vAlign w:val="center"/>
                </w:tcPr>
                <w:p w14:paraId="38EB6FAE">
                  <w:pPr>
                    <w:pStyle w:val="13"/>
                    <w:rPr>
                      <w:color w:val="auto"/>
                      <w:highlight w:val="none"/>
                    </w:rPr>
                  </w:pPr>
                  <w:r>
                    <w:rPr>
                      <w:rFonts w:hint="eastAsia"/>
                      <w:color w:val="auto"/>
                      <w:highlight w:val="none"/>
                    </w:rPr>
                    <w:t>15</w:t>
                  </w:r>
                </w:p>
              </w:tc>
              <w:tc>
                <w:tcPr>
                  <w:tcW w:w="320" w:type="pct"/>
                  <w:vAlign w:val="center"/>
                </w:tcPr>
                <w:p w14:paraId="3B2849DE">
                  <w:pPr>
                    <w:pStyle w:val="13"/>
                    <w:rPr>
                      <w:color w:val="auto"/>
                      <w:highlight w:val="none"/>
                    </w:rPr>
                  </w:pPr>
                  <w:r>
                    <w:rPr>
                      <w:rFonts w:hint="eastAsia"/>
                      <w:color w:val="auto"/>
                      <w:highlight w:val="none"/>
                    </w:rPr>
                    <w:t>31</w:t>
                  </w:r>
                </w:p>
              </w:tc>
              <w:tc>
                <w:tcPr>
                  <w:tcW w:w="285" w:type="pct"/>
                  <w:vAlign w:val="center"/>
                </w:tcPr>
                <w:p w14:paraId="13A69375">
                  <w:pPr>
                    <w:pStyle w:val="13"/>
                    <w:rPr>
                      <w:color w:val="auto"/>
                      <w:highlight w:val="none"/>
                    </w:rPr>
                  </w:pPr>
                  <w:r>
                    <w:rPr>
                      <w:rFonts w:hint="eastAsia"/>
                      <w:color w:val="auto"/>
                      <w:highlight w:val="none"/>
                    </w:rPr>
                    <w:t>1m</w:t>
                  </w:r>
                </w:p>
              </w:tc>
            </w:tr>
            <w:tr w14:paraId="436A5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Align w:val="center"/>
                </w:tcPr>
                <w:p w14:paraId="06C4AE6C">
                  <w:pPr>
                    <w:pStyle w:val="13"/>
                    <w:rPr>
                      <w:color w:val="auto"/>
                      <w:highlight w:val="none"/>
                    </w:rPr>
                  </w:pPr>
                  <w:r>
                    <w:rPr>
                      <w:rFonts w:hint="eastAsia"/>
                      <w:color w:val="auto"/>
                      <w:highlight w:val="none"/>
                    </w:rPr>
                    <w:t>8</w:t>
                  </w:r>
                </w:p>
              </w:tc>
              <w:tc>
                <w:tcPr>
                  <w:tcW w:w="258" w:type="pct"/>
                  <w:vMerge w:val="continue"/>
                  <w:vAlign w:val="center"/>
                </w:tcPr>
                <w:p w14:paraId="426409BA">
                  <w:pPr>
                    <w:pStyle w:val="13"/>
                    <w:rPr>
                      <w:color w:val="auto"/>
                      <w:highlight w:val="none"/>
                    </w:rPr>
                  </w:pPr>
                </w:p>
              </w:tc>
              <w:tc>
                <w:tcPr>
                  <w:tcW w:w="595" w:type="pct"/>
                  <w:vAlign w:val="center"/>
                </w:tcPr>
                <w:p w14:paraId="12D5E9A8">
                  <w:pPr>
                    <w:pStyle w:val="13"/>
                    <w:rPr>
                      <w:color w:val="auto"/>
                      <w:highlight w:val="none"/>
                    </w:rPr>
                  </w:pPr>
                  <w:r>
                    <w:rPr>
                      <w:rFonts w:hint="eastAsia"/>
                      <w:color w:val="auto"/>
                      <w:highlight w:val="none"/>
                    </w:rPr>
                    <w:t>配料机2</w:t>
                  </w:r>
                </w:p>
              </w:tc>
              <w:tc>
                <w:tcPr>
                  <w:tcW w:w="570" w:type="pct"/>
                  <w:vAlign w:val="center"/>
                </w:tcPr>
                <w:p w14:paraId="337197A4">
                  <w:pPr>
                    <w:pStyle w:val="13"/>
                    <w:rPr>
                      <w:color w:val="auto"/>
                      <w:highlight w:val="none"/>
                    </w:rPr>
                  </w:pPr>
                  <w:r>
                    <w:rPr>
                      <w:color w:val="auto"/>
                      <w:highlight w:val="none"/>
                    </w:rPr>
                    <w:t>DCS50</w:t>
                  </w:r>
                </w:p>
              </w:tc>
              <w:tc>
                <w:tcPr>
                  <w:tcW w:w="407" w:type="pct"/>
                  <w:vAlign w:val="center"/>
                </w:tcPr>
                <w:p w14:paraId="27D33E9A">
                  <w:pPr>
                    <w:pStyle w:val="13"/>
                    <w:rPr>
                      <w:color w:val="auto"/>
                      <w:highlight w:val="none"/>
                    </w:rPr>
                  </w:pPr>
                  <w:r>
                    <w:rPr>
                      <w:color w:val="auto"/>
                      <w:highlight w:val="none"/>
                    </w:rPr>
                    <w:t>65-75</w:t>
                  </w:r>
                </w:p>
              </w:tc>
              <w:tc>
                <w:tcPr>
                  <w:tcW w:w="548" w:type="pct"/>
                  <w:vMerge w:val="continue"/>
                  <w:vAlign w:val="center"/>
                </w:tcPr>
                <w:p w14:paraId="6E15737B">
                  <w:pPr>
                    <w:pStyle w:val="13"/>
                    <w:rPr>
                      <w:color w:val="auto"/>
                      <w:highlight w:val="none"/>
                    </w:rPr>
                  </w:pPr>
                </w:p>
              </w:tc>
              <w:tc>
                <w:tcPr>
                  <w:tcW w:w="230" w:type="pct"/>
                  <w:vAlign w:val="center"/>
                </w:tcPr>
                <w:p w14:paraId="47FC3835">
                  <w:pPr>
                    <w:pStyle w:val="13"/>
                    <w:rPr>
                      <w:color w:val="auto"/>
                      <w:highlight w:val="none"/>
                    </w:rPr>
                  </w:pPr>
                  <w:r>
                    <w:rPr>
                      <w:color w:val="auto"/>
                      <w:highlight w:val="none"/>
                    </w:rPr>
                    <w:t>39</w:t>
                  </w:r>
                </w:p>
              </w:tc>
              <w:tc>
                <w:tcPr>
                  <w:tcW w:w="230" w:type="pct"/>
                  <w:vAlign w:val="center"/>
                </w:tcPr>
                <w:p w14:paraId="32053347">
                  <w:pPr>
                    <w:pStyle w:val="13"/>
                    <w:rPr>
                      <w:color w:val="auto"/>
                      <w:highlight w:val="none"/>
                    </w:rPr>
                  </w:pPr>
                  <w:r>
                    <w:rPr>
                      <w:color w:val="auto"/>
                      <w:highlight w:val="none"/>
                    </w:rPr>
                    <w:t>10.5</w:t>
                  </w:r>
                </w:p>
              </w:tc>
              <w:tc>
                <w:tcPr>
                  <w:tcW w:w="211" w:type="pct"/>
                  <w:vAlign w:val="center"/>
                </w:tcPr>
                <w:p w14:paraId="0C8D0576">
                  <w:pPr>
                    <w:pStyle w:val="13"/>
                    <w:rPr>
                      <w:color w:val="auto"/>
                      <w:highlight w:val="none"/>
                    </w:rPr>
                  </w:pPr>
                  <w:r>
                    <w:rPr>
                      <w:rFonts w:hint="eastAsia"/>
                      <w:color w:val="auto"/>
                      <w:highlight w:val="none"/>
                    </w:rPr>
                    <w:t>0.5</w:t>
                  </w:r>
                </w:p>
              </w:tc>
              <w:tc>
                <w:tcPr>
                  <w:tcW w:w="402" w:type="pct"/>
                  <w:vAlign w:val="center"/>
                </w:tcPr>
                <w:p w14:paraId="19172B1B">
                  <w:pPr>
                    <w:pStyle w:val="13"/>
                    <w:rPr>
                      <w:color w:val="auto"/>
                      <w:highlight w:val="none"/>
                    </w:rPr>
                  </w:pPr>
                  <w:r>
                    <w:rPr>
                      <w:rFonts w:hint="eastAsia"/>
                      <w:color w:val="auto"/>
                      <w:highlight w:val="none"/>
                    </w:rPr>
                    <w:t>10.5</w:t>
                  </w:r>
                </w:p>
              </w:tc>
              <w:tc>
                <w:tcPr>
                  <w:tcW w:w="319" w:type="pct"/>
                  <w:vAlign w:val="center"/>
                </w:tcPr>
                <w:p w14:paraId="28DD56DE">
                  <w:pPr>
                    <w:pStyle w:val="13"/>
                    <w:rPr>
                      <w:color w:val="auto"/>
                      <w:highlight w:val="none"/>
                    </w:rPr>
                  </w:pPr>
                  <w:r>
                    <w:rPr>
                      <w:rFonts w:hint="eastAsia"/>
                      <w:color w:val="auto"/>
                      <w:highlight w:val="none"/>
                    </w:rPr>
                    <w:t>50</w:t>
                  </w:r>
                </w:p>
              </w:tc>
              <w:tc>
                <w:tcPr>
                  <w:tcW w:w="403" w:type="pct"/>
                  <w:vAlign w:val="center"/>
                </w:tcPr>
                <w:p w14:paraId="4E5A54FE">
                  <w:pPr>
                    <w:pStyle w:val="13"/>
                    <w:rPr>
                      <w:color w:val="auto"/>
                      <w:highlight w:val="none"/>
                    </w:rPr>
                  </w:pPr>
                  <w:r>
                    <w:rPr>
                      <w:rFonts w:hint="eastAsia"/>
                      <w:color w:val="auto"/>
                      <w:highlight w:val="none"/>
                    </w:rPr>
                    <w:t>15</w:t>
                  </w:r>
                </w:p>
              </w:tc>
              <w:tc>
                <w:tcPr>
                  <w:tcW w:w="320" w:type="pct"/>
                  <w:vAlign w:val="center"/>
                </w:tcPr>
                <w:p w14:paraId="7A7B8603">
                  <w:pPr>
                    <w:pStyle w:val="13"/>
                    <w:rPr>
                      <w:color w:val="auto"/>
                      <w:highlight w:val="none"/>
                    </w:rPr>
                  </w:pPr>
                  <w:r>
                    <w:rPr>
                      <w:rFonts w:hint="eastAsia"/>
                      <w:color w:val="auto"/>
                      <w:highlight w:val="none"/>
                    </w:rPr>
                    <w:t>35</w:t>
                  </w:r>
                </w:p>
              </w:tc>
              <w:tc>
                <w:tcPr>
                  <w:tcW w:w="285" w:type="pct"/>
                  <w:vAlign w:val="center"/>
                </w:tcPr>
                <w:p w14:paraId="6FD116F3">
                  <w:pPr>
                    <w:pStyle w:val="13"/>
                    <w:rPr>
                      <w:color w:val="auto"/>
                      <w:highlight w:val="none"/>
                    </w:rPr>
                  </w:pPr>
                  <w:r>
                    <w:rPr>
                      <w:rFonts w:hint="eastAsia"/>
                      <w:color w:val="auto"/>
                      <w:highlight w:val="none"/>
                    </w:rPr>
                    <w:t>1m</w:t>
                  </w:r>
                </w:p>
              </w:tc>
            </w:tr>
            <w:tr w14:paraId="0236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Align w:val="center"/>
                </w:tcPr>
                <w:p w14:paraId="629EDACB">
                  <w:pPr>
                    <w:pStyle w:val="13"/>
                    <w:rPr>
                      <w:color w:val="auto"/>
                      <w:highlight w:val="none"/>
                    </w:rPr>
                  </w:pPr>
                  <w:r>
                    <w:rPr>
                      <w:rFonts w:hint="eastAsia"/>
                      <w:color w:val="auto"/>
                      <w:highlight w:val="none"/>
                    </w:rPr>
                    <w:t>9</w:t>
                  </w:r>
                </w:p>
              </w:tc>
              <w:tc>
                <w:tcPr>
                  <w:tcW w:w="258" w:type="pct"/>
                  <w:vMerge w:val="continue"/>
                  <w:vAlign w:val="center"/>
                </w:tcPr>
                <w:p w14:paraId="033C87D9">
                  <w:pPr>
                    <w:pStyle w:val="13"/>
                    <w:rPr>
                      <w:color w:val="auto"/>
                      <w:highlight w:val="none"/>
                    </w:rPr>
                  </w:pPr>
                </w:p>
              </w:tc>
              <w:tc>
                <w:tcPr>
                  <w:tcW w:w="595" w:type="pct"/>
                  <w:vAlign w:val="center"/>
                </w:tcPr>
                <w:p w14:paraId="44344B1A">
                  <w:pPr>
                    <w:pStyle w:val="13"/>
                    <w:rPr>
                      <w:color w:val="auto"/>
                      <w:highlight w:val="none"/>
                    </w:rPr>
                  </w:pPr>
                  <w:r>
                    <w:rPr>
                      <w:rFonts w:hint="eastAsia"/>
                      <w:color w:val="auto"/>
                      <w:highlight w:val="none"/>
                    </w:rPr>
                    <w:t>混合机1</w:t>
                  </w:r>
                </w:p>
              </w:tc>
              <w:tc>
                <w:tcPr>
                  <w:tcW w:w="570" w:type="pct"/>
                  <w:vAlign w:val="center"/>
                </w:tcPr>
                <w:p w14:paraId="2531F1ED">
                  <w:pPr>
                    <w:pStyle w:val="13"/>
                    <w:rPr>
                      <w:color w:val="auto"/>
                      <w:highlight w:val="none"/>
                    </w:rPr>
                  </w:pPr>
                  <w:r>
                    <w:rPr>
                      <w:color w:val="auto"/>
                      <w:highlight w:val="none"/>
                    </w:rPr>
                    <w:t>LWH12</w:t>
                  </w:r>
                </w:p>
              </w:tc>
              <w:tc>
                <w:tcPr>
                  <w:tcW w:w="407" w:type="pct"/>
                  <w:vAlign w:val="center"/>
                </w:tcPr>
                <w:p w14:paraId="081AD489">
                  <w:pPr>
                    <w:pStyle w:val="13"/>
                    <w:rPr>
                      <w:color w:val="auto"/>
                      <w:highlight w:val="none"/>
                    </w:rPr>
                  </w:pPr>
                  <w:r>
                    <w:rPr>
                      <w:color w:val="auto"/>
                      <w:highlight w:val="none"/>
                    </w:rPr>
                    <w:t>75-85</w:t>
                  </w:r>
                </w:p>
              </w:tc>
              <w:tc>
                <w:tcPr>
                  <w:tcW w:w="548" w:type="pct"/>
                  <w:vMerge w:val="continue"/>
                  <w:vAlign w:val="center"/>
                </w:tcPr>
                <w:p w14:paraId="08585188">
                  <w:pPr>
                    <w:pStyle w:val="13"/>
                    <w:rPr>
                      <w:color w:val="auto"/>
                      <w:highlight w:val="none"/>
                    </w:rPr>
                  </w:pPr>
                </w:p>
              </w:tc>
              <w:tc>
                <w:tcPr>
                  <w:tcW w:w="230" w:type="pct"/>
                  <w:vAlign w:val="center"/>
                </w:tcPr>
                <w:p w14:paraId="3F3C8601">
                  <w:pPr>
                    <w:pStyle w:val="13"/>
                    <w:rPr>
                      <w:color w:val="auto"/>
                      <w:highlight w:val="none"/>
                    </w:rPr>
                  </w:pPr>
                  <w:r>
                    <w:rPr>
                      <w:color w:val="auto"/>
                      <w:highlight w:val="none"/>
                    </w:rPr>
                    <w:t>34</w:t>
                  </w:r>
                </w:p>
              </w:tc>
              <w:tc>
                <w:tcPr>
                  <w:tcW w:w="230" w:type="pct"/>
                  <w:vAlign w:val="center"/>
                </w:tcPr>
                <w:p w14:paraId="0FEDA5AA">
                  <w:pPr>
                    <w:pStyle w:val="13"/>
                    <w:rPr>
                      <w:color w:val="auto"/>
                      <w:highlight w:val="none"/>
                    </w:rPr>
                  </w:pPr>
                  <w:r>
                    <w:rPr>
                      <w:color w:val="auto"/>
                      <w:highlight w:val="none"/>
                    </w:rPr>
                    <w:t>16.5</w:t>
                  </w:r>
                </w:p>
              </w:tc>
              <w:tc>
                <w:tcPr>
                  <w:tcW w:w="211" w:type="pct"/>
                  <w:vAlign w:val="center"/>
                </w:tcPr>
                <w:p w14:paraId="2AF9214F">
                  <w:pPr>
                    <w:pStyle w:val="13"/>
                    <w:rPr>
                      <w:color w:val="auto"/>
                      <w:highlight w:val="none"/>
                    </w:rPr>
                  </w:pPr>
                  <w:r>
                    <w:rPr>
                      <w:rFonts w:hint="eastAsia"/>
                      <w:color w:val="auto"/>
                      <w:highlight w:val="none"/>
                    </w:rPr>
                    <w:t>1.2</w:t>
                  </w:r>
                </w:p>
              </w:tc>
              <w:tc>
                <w:tcPr>
                  <w:tcW w:w="402" w:type="pct"/>
                  <w:vAlign w:val="center"/>
                </w:tcPr>
                <w:p w14:paraId="327F902B">
                  <w:pPr>
                    <w:pStyle w:val="13"/>
                    <w:rPr>
                      <w:color w:val="auto"/>
                      <w:highlight w:val="none"/>
                    </w:rPr>
                  </w:pPr>
                  <w:r>
                    <w:rPr>
                      <w:rFonts w:hint="eastAsia"/>
                      <w:color w:val="auto"/>
                      <w:highlight w:val="none"/>
                    </w:rPr>
                    <w:t>16.5</w:t>
                  </w:r>
                </w:p>
              </w:tc>
              <w:tc>
                <w:tcPr>
                  <w:tcW w:w="319" w:type="pct"/>
                  <w:vAlign w:val="center"/>
                </w:tcPr>
                <w:p w14:paraId="62CA8B80">
                  <w:pPr>
                    <w:pStyle w:val="13"/>
                    <w:rPr>
                      <w:color w:val="auto"/>
                      <w:highlight w:val="none"/>
                    </w:rPr>
                  </w:pPr>
                  <w:r>
                    <w:rPr>
                      <w:rFonts w:hint="eastAsia"/>
                      <w:color w:val="auto"/>
                      <w:highlight w:val="none"/>
                    </w:rPr>
                    <w:t>56</w:t>
                  </w:r>
                </w:p>
              </w:tc>
              <w:tc>
                <w:tcPr>
                  <w:tcW w:w="403" w:type="pct"/>
                  <w:vAlign w:val="center"/>
                </w:tcPr>
                <w:p w14:paraId="0F568B17">
                  <w:pPr>
                    <w:pStyle w:val="13"/>
                    <w:rPr>
                      <w:color w:val="auto"/>
                      <w:highlight w:val="none"/>
                    </w:rPr>
                  </w:pPr>
                  <w:r>
                    <w:rPr>
                      <w:rFonts w:hint="eastAsia"/>
                      <w:color w:val="auto"/>
                      <w:highlight w:val="none"/>
                    </w:rPr>
                    <w:t>15</w:t>
                  </w:r>
                </w:p>
              </w:tc>
              <w:tc>
                <w:tcPr>
                  <w:tcW w:w="320" w:type="pct"/>
                  <w:vAlign w:val="center"/>
                </w:tcPr>
                <w:p w14:paraId="06229FD1">
                  <w:pPr>
                    <w:pStyle w:val="13"/>
                    <w:rPr>
                      <w:color w:val="auto"/>
                      <w:highlight w:val="none"/>
                    </w:rPr>
                  </w:pPr>
                  <w:r>
                    <w:rPr>
                      <w:rFonts w:hint="eastAsia"/>
                      <w:color w:val="auto"/>
                      <w:highlight w:val="none"/>
                    </w:rPr>
                    <w:t>41</w:t>
                  </w:r>
                </w:p>
              </w:tc>
              <w:tc>
                <w:tcPr>
                  <w:tcW w:w="285" w:type="pct"/>
                  <w:vAlign w:val="center"/>
                </w:tcPr>
                <w:p w14:paraId="7959B9B6">
                  <w:pPr>
                    <w:pStyle w:val="13"/>
                    <w:rPr>
                      <w:color w:val="auto"/>
                      <w:highlight w:val="none"/>
                    </w:rPr>
                  </w:pPr>
                  <w:r>
                    <w:rPr>
                      <w:rFonts w:hint="eastAsia"/>
                      <w:color w:val="auto"/>
                      <w:highlight w:val="none"/>
                    </w:rPr>
                    <w:t>1m</w:t>
                  </w:r>
                </w:p>
              </w:tc>
            </w:tr>
            <w:tr w14:paraId="204E9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Align w:val="center"/>
                </w:tcPr>
                <w:p w14:paraId="0036DE54">
                  <w:pPr>
                    <w:pStyle w:val="13"/>
                    <w:rPr>
                      <w:color w:val="auto"/>
                      <w:highlight w:val="none"/>
                    </w:rPr>
                  </w:pPr>
                  <w:r>
                    <w:rPr>
                      <w:rFonts w:hint="eastAsia"/>
                      <w:color w:val="auto"/>
                      <w:highlight w:val="none"/>
                    </w:rPr>
                    <w:t>10</w:t>
                  </w:r>
                </w:p>
              </w:tc>
              <w:tc>
                <w:tcPr>
                  <w:tcW w:w="258" w:type="pct"/>
                  <w:vMerge w:val="continue"/>
                  <w:vAlign w:val="center"/>
                </w:tcPr>
                <w:p w14:paraId="53FBF59D">
                  <w:pPr>
                    <w:pStyle w:val="13"/>
                    <w:rPr>
                      <w:color w:val="auto"/>
                      <w:highlight w:val="none"/>
                    </w:rPr>
                  </w:pPr>
                </w:p>
              </w:tc>
              <w:tc>
                <w:tcPr>
                  <w:tcW w:w="595" w:type="pct"/>
                  <w:vAlign w:val="center"/>
                </w:tcPr>
                <w:p w14:paraId="040A623F">
                  <w:pPr>
                    <w:pStyle w:val="13"/>
                    <w:rPr>
                      <w:color w:val="auto"/>
                      <w:highlight w:val="none"/>
                    </w:rPr>
                  </w:pPr>
                  <w:r>
                    <w:rPr>
                      <w:rFonts w:hint="eastAsia"/>
                      <w:color w:val="auto"/>
                      <w:highlight w:val="none"/>
                    </w:rPr>
                    <w:t>混合机2</w:t>
                  </w:r>
                </w:p>
              </w:tc>
              <w:tc>
                <w:tcPr>
                  <w:tcW w:w="570" w:type="pct"/>
                  <w:vAlign w:val="center"/>
                </w:tcPr>
                <w:p w14:paraId="1D67C8C8">
                  <w:pPr>
                    <w:pStyle w:val="13"/>
                    <w:rPr>
                      <w:color w:val="auto"/>
                      <w:highlight w:val="none"/>
                    </w:rPr>
                  </w:pPr>
                  <w:r>
                    <w:rPr>
                      <w:color w:val="auto"/>
                      <w:highlight w:val="none"/>
                    </w:rPr>
                    <w:t>LWH12</w:t>
                  </w:r>
                </w:p>
              </w:tc>
              <w:tc>
                <w:tcPr>
                  <w:tcW w:w="407" w:type="pct"/>
                  <w:vAlign w:val="center"/>
                </w:tcPr>
                <w:p w14:paraId="318E557B">
                  <w:pPr>
                    <w:pStyle w:val="13"/>
                    <w:rPr>
                      <w:color w:val="auto"/>
                      <w:highlight w:val="none"/>
                    </w:rPr>
                  </w:pPr>
                  <w:r>
                    <w:rPr>
                      <w:color w:val="auto"/>
                      <w:highlight w:val="none"/>
                    </w:rPr>
                    <w:t>75-85</w:t>
                  </w:r>
                </w:p>
              </w:tc>
              <w:tc>
                <w:tcPr>
                  <w:tcW w:w="548" w:type="pct"/>
                  <w:vMerge w:val="continue"/>
                  <w:vAlign w:val="center"/>
                </w:tcPr>
                <w:p w14:paraId="3C722BB2">
                  <w:pPr>
                    <w:pStyle w:val="13"/>
                    <w:rPr>
                      <w:color w:val="auto"/>
                      <w:highlight w:val="none"/>
                    </w:rPr>
                  </w:pPr>
                </w:p>
              </w:tc>
              <w:tc>
                <w:tcPr>
                  <w:tcW w:w="230" w:type="pct"/>
                  <w:vAlign w:val="center"/>
                </w:tcPr>
                <w:p w14:paraId="0303279B">
                  <w:pPr>
                    <w:pStyle w:val="13"/>
                    <w:rPr>
                      <w:color w:val="auto"/>
                      <w:highlight w:val="none"/>
                    </w:rPr>
                  </w:pPr>
                  <w:r>
                    <w:rPr>
                      <w:color w:val="auto"/>
                      <w:highlight w:val="none"/>
                    </w:rPr>
                    <w:t>34</w:t>
                  </w:r>
                </w:p>
              </w:tc>
              <w:tc>
                <w:tcPr>
                  <w:tcW w:w="230" w:type="pct"/>
                  <w:vAlign w:val="center"/>
                </w:tcPr>
                <w:p w14:paraId="2B1313EA">
                  <w:pPr>
                    <w:pStyle w:val="13"/>
                    <w:rPr>
                      <w:color w:val="auto"/>
                      <w:highlight w:val="none"/>
                    </w:rPr>
                  </w:pPr>
                  <w:r>
                    <w:rPr>
                      <w:color w:val="auto"/>
                      <w:highlight w:val="none"/>
                    </w:rPr>
                    <w:t>10.5</w:t>
                  </w:r>
                </w:p>
              </w:tc>
              <w:tc>
                <w:tcPr>
                  <w:tcW w:w="211" w:type="pct"/>
                  <w:vAlign w:val="center"/>
                </w:tcPr>
                <w:p w14:paraId="15EFD11A">
                  <w:pPr>
                    <w:pStyle w:val="13"/>
                    <w:rPr>
                      <w:color w:val="auto"/>
                      <w:highlight w:val="none"/>
                    </w:rPr>
                  </w:pPr>
                  <w:r>
                    <w:rPr>
                      <w:rFonts w:hint="eastAsia"/>
                      <w:color w:val="auto"/>
                      <w:highlight w:val="none"/>
                    </w:rPr>
                    <w:t>1.2</w:t>
                  </w:r>
                </w:p>
              </w:tc>
              <w:tc>
                <w:tcPr>
                  <w:tcW w:w="402" w:type="pct"/>
                  <w:vAlign w:val="center"/>
                </w:tcPr>
                <w:p w14:paraId="2C359BCD">
                  <w:pPr>
                    <w:pStyle w:val="13"/>
                    <w:rPr>
                      <w:color w:val="auto"/>
                      <w:highlight w:val="none"/>
                    </w:rPr>
                  </w:pPr>
                  <w:r>
                    <w:rPr>
                      <w:rFonts w:hint="eastAsia"/>
                      <w:color w:val="auto"/>
                      <w:highlight w:val="none"/>
                    </w:rPr>
                    <w:t>10.5</w:t>
                  </w:r>
                </w:p>
              </w:tc>
              <w:tc>
                <w:tcPr>
                  <w:tcW w:w="319" w:type="pct"/>
                  <w:vAlign w:val="center"/>
                </w:tcPr>
                <w:p w14:paraId="1FA6DAA5">
                  <w:pPr>
                    <w:pStyle w:val="13"/>
                    <w:rPr>
                      <w:color w:val="auto"/>
                      <w:highlight w:val="none"/>
                    </w:rPr>
                  </w:pPr>
                  <w:r>
                    <w:rPr>
                      <w:rFonts w:hint="eastAsia"/>
                      <w:color w:val="auto"/>
                      <w:highlight w:val="none"/>
                    </w:rPr>
                    <w:t>60</w:t>
                  </w:r>
                </w:p>
              </w:tc>
              <w:tc>
                <w:tcPr>
                  <w:tcW w:w="403" w:type="pct"/>
                  <w:vAlign w:val="center"/>
                </w:tcPr>
                <w:p w14:paraId="5F1EB73E">
                  <w:pPr>
                    <w:pStyle w:val="13"/>
                    <w:rPr>
                      <w:color w:val="auto"/>
                      <w:highlight w:val="none"/>
                    </w:rPr>
                  </w:pPr>
                  <w:r>
                    <w:rPr>
                      <w:rFonts w:hint="eastAsia"/>
                      <w:color w:val="auto"/>
                      <w:highlight w:val="none"/>
                    </w:rPr>
                    <w:t>15</w:t>
                  </w:r>
                </w:p>
              </w:tc>
              <w:tc>
                <w:tcPr>
                  <w:tcW w:w="320" w:type="pct"/>
                  <w:vAlign w:val="center"/>
                </w:tcPr>
                <w:p w14:paraId="3868B46B">
                  <w:pPr>
                    <w:pStyle w:val="13"/>
                    <w:rPr>
                      <w:color w:val="auto"/>
                      <w:highlight w:val="none"/>
                    </w:rPr>
                  </w:pPr>
                  <w:r>
                    <w:rPr>
                      <w:rFonts w:hint="eastAsia"/>
                      <w:color w:val="auto"/>
                      <w:highlight w:val="none"/>
                    </w:rPr>
                    <w:t>45</w:t>
                  </w:r>
                </w:p>
              </w:tc>
              <w:tc>
                <w:tcPr>
                  <w:tcW w:w="285" w:type="pct"/>
                  <w:vAlign w:val="center"/>
                </w:tcPr>
                <w:p w14:paraId="23DE401E">
                  <w:pPr>
                    <w:pStyle w:val="13"/>
                    <w:rPr>
                      <w:color w:val="auto"/>
                      <w:highlight w:val="none"/>
                    </w:rPr>
                  </w:pPr>
                  <w:r>
                    <w:rPr>
                      <w:rFonts w:hint="eastAsia"/>
                      <w:color w:val="auto"/>
                      <w:highlight w:val="none"/>
                    </w:rPr>
                    <w:t>1m</w:t>
                  </w:r>
                </w:p>
              </w:tc>
            </w:tr>
            <w:tr w14:paraId="70DC4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Align w:val="center"/>
                </w:tcPr>
                <w:p w14:paraId="01240966">
                  <w:pPr>
                    <w:pStyle w:val="13"/>
                    <w:rPr>
                      <w:color w:val="auto"/>
                      <w:highlight w:val="none"/>
                    </w:rPr>
                  </w:pPr>
                  <w:r>
                    <w:rPr>
                      <w:rFonts w:hint="eastAsia"/>
                      <w:color w:val="auto"/>
                      <w:highlight w:val="none"/>
                    </w:rPr>
                    <w:t>11</w:t>
                  </w:r>
                </w:p>
              </w:tc>
              <w:tc>
                <w:tcPr>
                  <w:tcW w:w="258" w:type="pct"/>
                  <w:vMerge w:val="continue"/>
                  <w:vAlign w:val="center"/>
                </w:tcPr>
                <w:p w14:paraId="5E893B4F">
                  <w:pPr>
                    <w:pStyle w:val="13"/>
                    <w:rPr>
                      <w:color w:val="auto"/>
                      <w:highlight w:val="none"/>
                    </w:rPr>
                  </w:pPr>
                </w:p>
              </w:tc>
              <w:tc>
                <w:tcPr>
                  <w:tcW w:w="595" w:type="pct"/>
                  <w:vAlign w:val="center"/>
                </w:tcPr>
                <w:p w14:paraId="51B53AD0">
                  <w:pPr>
                    <w:pStyle w:val="13"/>
                    <w:rPr>
                      <w:color w:val="auto"/>
                      <w:highlight w:val="none"/>
                    </w:rPr>
                  </w:pPr>
                  <w:r>
                    <w:rPr>
                      <w:rFonts w:hint="eastAsia"/>
                      <w:color w:val="auto"/>
                      <w:highlight w:val="none"/>
                    </w:rPr>
                    <w:t>调质机1</w:t>
                  </w:r>
                </w:p>
              </w:tc>
              <w:tc>
                <w:tcPr>
                  <w:tcW w:w="570" w:type="pct"/>
                  <w:vAlign w:val="center"/>
                </w:tcPr>
                <w:p w14:paraId="309E1F32">
                  <w:pPr>
                    <w:pStyle w:val="13"/>
                    <w:rPr>
                      <w:color w:val="auto"/>
                      <w:highlight w:val="none"/>
                    </w:rPr>
                  </w:pPr>
                  <w:r>
                    <w:rPr>
                      <w:color w:val="auto"/>
                      <w:highlight w:val="none"/>
                    </w:rPr>
                    <w:t>S500</w:t>
                  </w:r>
                </w:p>
              </w:tc>
              <w:tc>
                <w:tcPr>
                  <w:tcW w:w="407" w:type="pct"/>
                  <w:vAlign w:val="center"/>
                </w:tcPr>
                <w:p w14:paraId="3D1F8EA4">
                  <w:pPr>
                    <w:pStyle w:val="13"/>
                    <w:rPr>
                      <w:color w:val="auto"/>
                      <w:highlight w:val="none"/>
                    </w:rPr>
                  </w:pPr>
                  <w:r>
                    <w:rPr>
                      <w:color w:val="auto"/>
                      <w:highlight w:val="none"/>
                    </w:rPr>
                    <w:t>75-85</w:t>
                  </w:r>
                </w:p>
              </w:tc>
              <w:tc>
                <w:tcPr>
                  <w:tcW w:w="548" w:type="pct"/>
                  <w:vMerge w:val="continue"/>
                  <w:vAlign w:val="center"/>
                </w:tcPr>
                <w:p w14:paraId="7EAFFC5F">
                  <w:pPr>
                    <w:pStyle w:val="13"/>
                    <w:rPr>
                      <w:color w:val="auto"/>
                      <w:highlight w:val="none"/>
                    </w:rPr>
                  </w:pPr>
                </w:p>
              </w:tc>
              <w:tc>
                <w:tcPr>
                  <w:tcW w:w="230" w:type="pct"/>
                  <w:vAlign w:val="center"/>
                </w:tcPr>
                <w:p w14:paraId="4071BDB3">
                  <w:pPr>
                    <w:pStyle w:val="13"/>
                    <w:rPr>
                      <w:color w:val="auto"/>
                      <w:highlight w:val="none"/>
                    </w:rPr>
                  </w:pPr>
                  <w:r>
                    <w:rPr>
                      <w:color w:val="auto"/>
                      <w:highlight w:val="none"/>
                    </w:rPr>
                    <w:t>29</w:t>
                  </w:r>
                </w:p>
              </w:tc>
              <w:tc>
                <w:tcPr>
                  <w:tcW w:w="230" w:type="pct"/>
                  <w:vAlign w:val="center"/>
                </w:tcPr>
                <w:p w14:paraId="66875929">
                  <w:pPr>
                    <w:pStyle w:val="13"/>
                    <w:rPr>
                      <w:color w:val="auto"/>
                      <w:highlight w:val="none"/>
                    </w:rPr>
                  </w:pPr>
                  <w:r>
                    <w:rPr>
                      <w:color w:val="auto"/>
                      <w:highlight w:val="none"/>
                    </w:rPr>
                    <w:t>16.5</w:t>
                  </w:r>
                </w:p>
              </w:tc>
              <w:tc>
                <w:tcPr>
                  <w:tcW w:w="211" w:type="pct"/>
                  <w:vAlign w:val="center"/>
                </w:tcPr>
                <w:p w14:paraId="717471A1">
                  <w:pPr>
                    <w:pStyle w:val="13"/>
                    <w:rPr>
                      <w:color w:val="auto"/>
                      <w:highlight w:val="none"/>
                    </w:rPr>
                  </w:pPr>
                  <w:r>
                    <w:rPr>
                      <w:rFonts w:hint="eastAsia"/>
                      <w:color w:val="auto"/>
                      <w:highlight w:val="none"/>
                    </w:rPr>
                    <w:t>1.2</w:t>
                  </w:r>
                </w:p>
              </w:tc>
              <w:tc>
                <w:tcPr>
                  <w:tcW w:w="402" w:type="pct"/>
                  <w:vAlign w:val="center"/>
                </w:tcPr>
                <w:p w14:paraId="1B38115F">
                  <w:pPr>
                    <w:pStyle w:val="13"/>
                    <w:rPr>
                      <w:color w:val="auto"/>
                      <w:highlight w:val="none"/>
                    </w:rPr>
                  </w:pPr>
                  <w:r>
                    <w:rPr>
                      <w:rFonts w:hint="eastAsia"/>
                      <w:color w:val="auto"/>
                      <w:highlight w:val="none"/>
                    </w:rPr>
                    <w:t>16.5</w:t>
                  </w:r>
                </w:p>
              </w:tc>
              <w:tc>
                <w:tcPr>
                  <w:tcW w:w="319" w:type="pct"/>
                  <w:vAlign w:val="center"/>
                </w:tcPr>
                <w:p w14:paraId="50FF21EF">
                  <w:pPr>
                    <w:pStyle w:val="13"/>
                    <w:rPr>
                      <w:color w:val="auto"/>
                      <w:highlight w:val="none"/>
                    </w:rPr>
                  </w:pPr>
                  <w:r>
                    <w:rPr>
                      <w:rFonts w:hint="eastAsia"/>
                      <w:color w:val="auto"/>
                      <w:highlight w:val="none"/>
                    </w:rPr>
                    <w:t>56</w:t>
                  </w:r>
                </w:p>
              </w:tc>
              <w:tc>
                <w:tcPr>
                  <w:tcW w:w="403" w:type="pct"/>
                  <w:vAlign w:val="center"/>
                </w:tcPr>
                <w:p w14:paraId="66C59F0B">
                  <w:pPr>
                    <w:pStyle w:val="13"/>
                    <w:rPr>
                      <w:color w:val="auto"/>
                      <w:highlight w:val="none"/>
                    </w:rPr>
                  </w:pPr>
                  <w:r>
                    <w:rPr>
                      <w:rFonts w:hint="eastAsia"/>
                      <w:color w:val="auto"/>
                      <w:highlight w:val="none"/>
                    </w:rPr>
                    <w:t>15</w:t>
                  </w:r>
                </w:p>
              </w:tc>
              <w:tc>
                <w:tcPr>
                  <w:tcW w:w="320" w:type="pct"/>
                  <w:vAlign w:val="center"/>
                </w:tcPr>
                <w:p w14:paraId="4673654D">
                  <w:pPr>
                    <w:pStyle w:val="13"/>
                    <w:rPr>
                      <w:color w:val="auto"/>
                      <w:highlight w:val="none"/>
                    </w:rPr>
                  </w:pPr>
                  <w:r>
                    <w:rPr>
                      <w:rFonts w:hint="eastAsia"/>
                      <w:color w:val="auto"/>
                      <w:highlight w:val="none"/>
                    </w:rPr>
                    <w:t>41</w:t>
                  </w:r>
                </w:p>
              </w:tc>
              <w:tc>
                <w:tcPr>
                  <w:tcW w:w="285" w:type="pct"/>
                  <w:vAlign w:val="center"/>
                </w:tcPr>
                <w:p w14:paraId="540221EC">
                  <w:pPr>
                    <w:pStyle w:val="13"/>
                    <w:rPr>
                      <w:color w:val="auto"/>
                      <w:highlight w:val="none"/>
                    </w:rPr>
                  </w:pPr>
                  <w:r>
                    <w:rPr>
                      <w:rFonts w:hint="eastAsia"/>
                      <w:color w:val="auto"/>
                      <w:highlight w:val="none"/>
                    </w:rPr>
                    <w:t>1m</w:t>
                  </w:r>
                </w:p>
              </w:tc>
            </w:tr>
            <w:tr w14:paraId="6672B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Align w:val="center"/>
                </w:tcPr>
                <w:p w14:paraId="4E26D70D">
                  <w:pPr>
                    <w:pStyle w:val="13"/>
                    <w:rPr>
                      <w:color w:val="auto"/>
                      <w:highlight w:val="none"/>
                    </w:rPr>
                  </w:pPr>
                  <w:r>
                    <w:rPr>
                      <w:rFonts w:hint="eastAsia"/>
                      <w:color w:val="auto"/>
                      <w:highlight w:val="none"/>
                    </w:rPr>
                    <w:t>12</w:t>
                  </w:r>
                </w:p>
              </w:tc>
              <w:tc>
                <w:tcPr>
                  <w:tcW w:w="258" w:type="pct"/>
                  <w:vMerge w:val="continue"/>
                  <w:vAlign w:val="center"/>
                </w:tcPr>
                <w:p w14:paraId="4314F726">
                  <w:pPr>
                    <w:pStyle w:val="13"/>
                    <w:rPr>
                      <w:color w:val="auto"/>
                      <w:highlight w:val="none"/>
                    </w:rPr>
                  </w:pPr>
                </w:p>
              </w:tc>
              <w:tc>
                <w:tcPr>
                  <w:tcW w:w="595" w:type="pct"/>
                  <w:vAlign w:val="center"/>
                </w:tcPr>
                <w:p w14:paraId="165A3616">
                  <w:pPr>
                    <w:pStyle w:val="13"/>
                    <w:rPr>
                      <w:color w:val="auto"/>
                      <w:highlight w:val="none"/>
                    </w:rPr>
                  </w:pPr>
                  <w:r>
                    <w:rPr>
                      <w:rFonts w:hint="eastAsia"/>
                      <w:color w:val="auto"/>
                      <w:highlight w:val="none"/>
                    </w:rPr>
                    <w:t>调质机2</w:t>
                  </w:r>
                </w:p>
              </w:tc>
              <w:tc>
                <w:tcPr>
                  <w:tcW w:w="570" w:type="pct"/>
                  <w:vAlign w:val="center"/>
                </w:tcPr>
                <w:p w14:paraId="1DD9B632">
                  <w:pPr>
                    <w:pStyle w:val="13"/>
                    <w:rPr>
                      <w:color w:val="auto"/>
                      <w:highlight w:val="none"/>
                    </w:rPr>
                  </w:pPr>
                  <w:r>
                    <w:rPr>
                      <w:color w:val="auto"/>
                      <w:highlight w:val="none"/>
                    </w:rPr>
                    <w:t>S500</w:t>
                  </w:r>
                </w:p>
              </w:tc>
              <w:tc>
                <w:tcPr>
                  <w:tcW w:w="407" w:type="pct"/>
                  <w:vAlign w:val="center"/>
                </w:tcPr>
                <w:p w14:paraId="442F6B97">
                  <w:pPr>
                    <w:pStyle w:val="13"/>
                    <w:rPr>
                      <w:color w:val="auto"/>
                      <w:highlight w:val="none"/>
                    </w:rPr>
                  </w:pPr>
                  <w:r>
                    <w:rPr>
                      <w:color w:val="auto"/>
                      <w:highlight w:val="none"/>
                    </w:rPr>
                    <w:t>75-85</w:t>
                  </w:r>
                </w:p>
              </w:tc>
              <w:tc>
                <w:tcPr>
                  <w:tcW w:w="548" w:type="pct"/>
                  <w:vMerge w:val="continue"/>
                  <w:vAlign w:val="center"/>
                </w:tcPr>
                <w:p w14:paraId="6A3F4802">
                  <w:pPr>
                    <w:pStyle w:val="13"/>
                    <w:rPr>
                      <w:color w:val="auto"/>
                      <w:highlight w:val="none"/>
                    </w:rPr>
                  </w:pPr>
                </w:p>
              </w:tc>
              <w:tc>
                <w:tcPr>
                  <w:tcW w:w="230" w:type="pct"/>
                  <w:vAlign w:val="center"/>
                </w:tcPr>
                <w:p w14:paraId="18BA71DC">
                  <w:pPr>
                    <w:pStyle w:val="13"/>
                    <w:rPr>
                      <w:color w:val="auto"/>
                      <w:highlight w:val="none"/>
                    </w:rPr>
                  </w:pPr>
                  <w:r>
                    <w:rPr>
                      <w:color w:val="auto"/>
                      <w:highlight w:val="none"/>
                    </w:rPr>
                    <w:t>29</w:t>
                  </w:r>
                </w:p>
              </w:tc>
              <w:tc>
                <w:tcPr>
                  <w:tcW w:w="230" w:type="pct"/>
                  <w:vAlign w:val="center"/>
                </w:tcPr>
                <w:p w14:paraId="43AEC56F">
                  <w:pPr>
                    <w:pStyle w:val="13"/>
                    <w:rPr>
                      <w:color w:val="auto"/>
                      <w:highlight w:val="none"/>
                    </w:rPr>
                  </w:pPr>
                  <w:r>
                    <w:rPr>
                      <w:color w:val="auto"/>
                      <w:highlight w:val="none"/>
                    </w:rPr>
                    <w:t>10.5</w:t>
                  </w:r>
                </w:p>
              </w:tc>
              <w:tc>
                <w:tcPr>
                  <w:tcW w:w="211" w:type="pct"/>
                  <w:vAlign w:val="center"/>
                </w:tcPr>
                <w:p w14:paraId="22D91C3A">
                  <w:pPr>
                    <w:pStyle w:val="13"/>
                    <w:rPr>
                      <w:color w:val="auto"/>
                      <w:highlight w:val="none"/>
                    </w:rPr>
                  </w:pPr>
                  <w:r>
                    <w:rPr>
                      <w:rFonts w:hint="eastAsia"/>
                      <w:color w:val="auto"/>
                      <w:highlight w:val="none"/>
                    </w:rPr>
                    <w:t>1.2</w:t>
                  </w:r>
                </w:p>
              </w:tc>
              <w:tc>
                <w:tcPr>
                  <w:tcW w:w="402" w:type="pct"/>
                  <w:vAlign w:val="center"/>
                </w:tcPr>
                <w:p w14:paraId="7E1C9BEF">
                  <w:pPr>
                    <w:pStyle w:val="13"/>
                    <w:rPr>
                      <w:color w:val="auto"/>
                      <w:highlight w:val="none"/>
                    </w:rPr>
                  </w:pPr>
                  <w:r>
                    <w:rPr>
                      <w:rFonts w:hint="eastAsia"/>
                      <w:color w:val="auto"/>
                      <w:highlight w:val="none"/>
                    </w:rPr>
                    <w:t>10.5</w:t>
                  </w:r>
                </w:p>
              </w:tc>
              <w:tc>
                <w:tcPr>
                  <w:tcW w:w="319" w:type="pct"/>
                  <w:vAlign w:val="center"/>
                </w:tcPr>
                <w:p w14:paraId="2A9708E0">
                  <w:pPr>
                    <w:pStyle w:val="13"/>
                    <w:rPr>
                      <w:color w:val="auto"/>
                      <w:highlight w:val="none"/>
                    </w:rPr>
                  </w:pPr>
                  <w:r>
                    <w:rPr>
                      <w:rFonts w:hint="eastAsia"/>
                      <w:color w:val="auto"/>
                      <w:highlight w:val="none"/>
                    </w:rPr>
                    <w:t>60</w:t>
                  </w:r>
                </w:p>
              </w:tc>
              <w:tc>
                <w:tcPr>
                  <w:tcW w:w="403" w:type="pct"/>
                  <w:vAlign w:val="center"/>
                </w:tcPr>
                <w:p w14:paraId="7F3C4653">
                  <w:pPr>
                    <w:pStyle w:val="13"/>
                    <w:rPr>
                      <w:color w:val="auto"/>
                      <w:highlight w:val="none"/>
                    </w:rPr>
                  </w:pPr>
                  <w:r>
                    <w:rPr>
                      <w:rFonts w:hint="eastAsia"/>
                      <w:color w:val="auto"/>
                      <w:highlight w:val="none"/>
                    </w:rPr>
                    <w:t>15</w:t>
                  </w:r>
                </w:p>
              </w:tc>
              <w:tc>
                <w:tcPr>
                  <w:tcW w:w="320" w:type="pct"/>
                  <w:vAlign w:val="center"/>
                </w:tcPr>
                <w:p w14:paraId="4662CCE5">
                  <w:pPr>
                    <w:pStyle w:val="13"/>
                    <w:rPr>
                      <w:color w:val="auto"/>
                      <w:highlight w:val="none"/>
                    </w:rPr>
                  </w:pPr>
                  <w:r>
                    <w:rPr>
                      <w:rFonts w:hint="eastAsia"/>
                      <w:color w:val="auto"/>
                      <w:highlight w:val="none"/>
                    </w:rPr>
                    <w:t>45</w:t>
                  </w:r>
                </w:p>
              </w:tc>
              <w:tc>
                <w:tcPr>
                  <w:tcW w:w="285" w:type="pct"/>
                  <w:vAlign w:val="center"/>
                </w:tcPr>
                <w:p w14:paraId="575B5903">
                  <w:pPr>
                    <w:pStyle w:val="13"/>
                    <w:rPr>
                      <w:color w:val="auto"/>
                      <w:highlight w:val="none"/>
                    </w:rPr>
                  </w:pPr>
                  <w:r>
                    <w:rPr>
                      <w:rFonts w:hint="eastAsia"/>
                      <w:color w:val="auto"/>
                      <w:highlight w:val="none"/>
                    </w:rPr>
                    <w:t>1m</w:t>
                  </w:r>
                </w:p>
              </w:tc>
            </w:tr>
            <w:tr w14:paraId="6B6E8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Align w:val="center"/>
                </w:tcPr>
                <w:p w14:paraId="58EB7FEA">
                  <w:pPr>
                    <w:pStyle w:val="13"/>
                    <w:rPr>
                      <w:color w:val="auto"/>
                      <w:highlight w:val="none"/>
                    </w:rPr>
                  </w:pPr>
                  <w:r>
                    <w:rPr>
                      <w:rFonts w:hint="eastAsia"/>
                      <w:color w:val="auto"/>
                      <w:highlight w:val="none"/>
                    </w:rPr>
                    <w:t>13</w:t>
                  </w:r>
                </w:p>
              </w:tc>
              <w:tc>
                <w:tcPr>
                  <w:tcW w:w="258" w:type="pct"/>
                  <w:vMerge w:val="continue"/>
                  <w:vAlign w:val="center"/>
                </w:tcPr>
                <w:p w14:paraId="5D970F6B">
                  <w:pPr>
                    <w:pStyle w:val="13"/>
                    <w:rPr>
                      <w:color w:val="auto"/>
                      <w:highlight w:val="none"/>
                    </w:rPr>
                  </w:pPr>
                </w:p>
              </w:tc>
              <w:tc>
                <w:tcPr>
                  <w:tcW w:w="595" w:type="pct"/>
                  <w:vAlign w:val="center"/>
                </w:tcPr>
                <w:p w14:paraId="07376CCB">
                  <w:pPr>
                    <w:pStyle w:val="13"/>
                    <w:rPr>
                      <w:color w:val="auto"/>
                      <w:highlight w:val="none"/>
                    </w:rPr>
                  </w:pPr>
                  <w:r>
                    <w:rPr>
                      <w:rFonts w:hint="eastAsia"/>
                      <w:color w:val="auto"/>
                      <w:highlight w:val="none"/>
                    </w:rPr>
                    <w:t>冷却分级筛1</w:t>
                  </w:r>
                </w:p>
              </w:tc>
              <w:tc>
                <w:tcPr>
                  <w:tcW w:w="570" w:type="pct"/>
                  <w:vAlign w:val="center"/>
                </w:tcPr>
                <w:p w14:paraId="745550F4">
                  <w:pPr>
                    <w:pStyle w:val="13"/>
                    <w:rPr>
                      <w:color w:val="auto"/>
                      <w:highlight w:val="none"/>
                    </w:rPr>
                  </w:pPr>
                  <w:r>
                    <w:rPr>
                      <w:color w:val="auto"/>
                      <w:highlight w:val="none"/>
                    </w:rPr>
                    <w:t>JSQ-450</w:t>
                  </w:r>
                </w:p>
              </w:tc>
              <w:tc>
                <w:tcPr>
                  <w:tcW w:w="407" w:type="pct"/>
                  <w:vAlign w:val="center"/>
                </w:tcPr>
                <w:p w14:paraId="080F9D1A">
                  <w:pPr>
                    <w:pStyle w:val="13"/>
                    <w:rPr>
                      <w:color w:val="auto"/>
                      <w:highlight w:val="none"/>
                    </w:rPr>
                  </w:pPr>
                  <w:r>
                    <w:rPr>
                      <w:color w:val="auto"/>
                      <w:highlight w:val="none"/>
                    </w:rPr>
                    <w:t>80-90</w:t>
                  </w:r>
                </w:p>
              </w:tc>
              <w:tc>
                <w:tcPr>
                  <w:tcW w:w="548" w:type="pct"/>
                  <w:vMerge w:val="continue"/>
                  <w:vAlign w:val="center"/>
                </w:tcPr>
                <w:p w14:paraId="5A0A96AE">
                  <w:pPr>
                    <w:pStyle w:val="13"/>
                    <w:rPr>
                      <w:color w:val="auto"/>
                      <w:highlight w:val="none"/>
                    </w:rPr>
                  </w:pPr>
                </w:p>
              </w:tc>
              <w:tc>
                <w:tcPr>
                  <w:tcW w:w="230" w:type="pct"/>
                  <w:vAlign w:val="center"/>
                </w:tcPr>
                <w:p w14:paraId="63437FCE">
                  <w:pPr>
                    <w:pStyle w:val="13"/>
                    <w:rPr>
                      <w:color w:val="auto"/>
                      <w:highlight w:val="none"/>
                    </w:rPr>
                  </w:pPr>
                  <w:r>
                    <w:rPr>
                      <w:color w:val="auto"/>
                      <w:highlight w:val="none"/>
                    </w:rPr>
                    <w:t>23.5</w:t>
                  </w:r>
                </w:p>
              </w:tc>
              <w:tc>
                <w:tcPr>
                  <w:tcW w:w="230" w:type="pct"/>
                  <w:vAlign w:val="center"/>
                </w:tcPr>
                <w:p w14:paraId="2F8ADF93">
                  <w:pPr>
                    <w:pStyle w:val="13"/>
                    <w:rPr>
                      <w:color w:val="auto"/>
                      <w:highlight w:val="none"/>
                    </w:rPr>
                  </w:pPr>
                  <w:r>
                    <w:rPr>
                      <w:color w:val="auto"/>
                      <w:highlight w:val="none"/>
                    </w:rPr>
                    <w:t>16.5</w:t>
                  </w:r>
                </w:p>
              </w:tc>
              <w:tc>
                <w:tcPr>
                  <w:tcW w:w="211" w:type="pct"/>
                  <w:vAlign w:val="center"/>
                </w:tcPr>
                <w:p w14:paraId="7DAFC6CB">
                  <w:pPr>
                    <w:pStyle w:val="13"/>
                    <w:rPr>
                      <w:color w:val="auto"/>
                      <w:highlight w:val="none"/>
                    </w:rPr>
                  </w:pPr>
                  <w:r>
                    <w:rPr>
                      <w:rFonts w:hint="eastAsia"/>
                      <w:color w:val="auto"/>
                      <w:highlight w:val="none"/>
                    </w:rPr>
                    <w:t>1</w:t>
                  </w:r>
                </w:p>
              </w:tc>
              <w:tc>
                <w:tcPr>
                  <w:tcW w:w="402" w:type="pct"/>
                  <w:vAlign w:val="center"/>
                </w:tcPr>
                <w:p w14:paraId="5B6A4305">
                  <w:pPr>
                    <w:pStyle w:val="13"/>
                    <w:rPr>
                      <w:color w:val="auto"/>
                      <w:highlight w:val="none"/>
                    </w:rPr>
                  </w:pPr>
                  <w:r>
                    <w:rPr>
                      <w:rFonts w:hint="eastAsia"/>
                      <w:color w:val="auto"/>
                      <w:highlight w:val="none"/>
                    </w:rPr>
                    <w:t>16.5</w:t>
                  </w:r>
                </w:p>
              </w:tc>
              <w:tc>
                <w:tcPr>
                  <w:tcW w:w="319" w:type="pct"/>
                  <w:vAlign w:val="center"/>
                </w:tcPr>
                <w:p w14:paraId="1699F89A">
                  <w:pPr>
                    <w:pStyle w:val="13"/>
                    <w:rPr>
                      <w:color w:val="auto"/>
                      <w:highlight w:val="none"/>
                    </w:rPr>
                  </w:pPr>
                  <w:r>
                    <w:rPr>
                      <w:rFonts w:hint="eastAsia"/>
                      <w:color w:val="auto"/>
                      <w:highlight w:val="none"/>
                    </w:rPr>
                    <w:t>61</w:t>
                  </w:r>
                </w:p>
              </w:tc>
              <w:tc>
                <w:tcPr>
                  <w:tcW w:w="403" w:type="pct"/>
                  <w:vAlign w:val="center"/>
                </w:tcPr>
                <w:p w14:paraId="2BE2E0FF">
                  <w:pPr>
                    <w:pStyle w:val="13"/>
                    <w:rPr>
                      <w:color w:val="auto"/>
                      <w:highlight w:val="none"/>
                    </w:rPr>
                  </w:pPr>
                  <w:r>
                    <w:rPr>
                      <w:rFonts w:hint="eastAsia"/>
                      <w:color w:val="auto"/>
                      <w:highlight w:val="none"/>
                    </w:rPr>
                    <w:t>15</w:t>
                  </w:r>
                </w:p>
              </w:tc>
              <w:tc>
                <w:tcPr>
                  <w:tcW w:w="320" w:type="pct"/>
                  <w:vAlign w:val="center"/>
                </w:tcPr>
                <w:p w14:paraId="39DE6131">
                  <w:pPr>
                    <w:pStyle w:val="13"/>
                    <w:rPr>
                      <w:color w:val="auto"/>
                      <w:highlight w:val="none"/>
                    </w:rPr>
                  </w:pPr>
                  <w:r>
                    <w:rPr>
                      <w:rFonts w:hint="eastAsia"/>
                      <w:color w:val="auto"/>
                      <w:highlight w:val="none"/>
                    </w:rPr>
                    <w:t>46</w:t>
                  </w:r>
                </w:p>
              </w:tc>
              <w:tc>
                <w:tcPr>
                  <w:tcW w:w="285" w:type="pct"/>
                  <w:vAlign w:val="center"/>
                </w:tcPr>
                <w:p w14:paraId="23436460">
                  <w:pPr>
                    <w:pStyle w:val="13"/>
                    <w:rPr>
                      <w:color w:val="auto"/>
                      <w:highlight w:val="none"/>
                    </w:rPr>
                  </w:pPr>
                  <w:r>
                    <w:rPr>
                      <w:rFonts w:hint="eastAsia"/>
                      <w:color w:val="auto"/>
                      <w:highlight w:val="none"/>
                    </w:rPr>
                    <w:t>1m</w:t>
                  </w:r>
                </w:p>
              </w:tc>
            </w:tr>
            <w:tr w14:paraId="09652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Align w:val="center"/>
                </w:tcPr>
                <w:p w14:paraId="0B22D49F">
                  <w:pPr>
                    <w:pStyle w:val="13"/>
                    <w:rPr>
                      <w:color w:val="auto"/>
                      <w:highlight w:val="none"/>
                    </w:rPr>
                  </w:pPr>
                  <w:r>
                    <w:rPr>
                      <w:rFonts w:hint="eastAsia"/>
                      <w:color w:val="auto"/>
                      <w:highlight w:val="none"/>
                    </w:rPr>
                    <w:t>14</w:t>
                  </w:r>
                </w:p>
              </w:tc>
              <w:tc>
                <w:tcPr>
                  <w:tcW w:w="258" w:type="pct"/>
                  <w:vMerge w:val="continue"/>
                  <w:vAlign w:val="center"/>
                </w:tcPr>
                <w:p w14:paraId="52439906">
                  <w:pPr>
                    <w:pStyle w:val="13"/>
                    <w:rPr>
                      <w:color w:val="auto"/>
                      <w:highlight w:val="none"/>
                    </w:rPr>
                  </w:pPr>
                </w:p>
              </w:tc>
              <w:tc>
                <w:tcPr>
                  <w:tcW w:w="595" w:type="pct"/>
                  <w:vAlign w:val="center"/>
                </w:tcPr>
                <w:p w14:paraId="06525D0A">
                  <w:pPr>
                    <w:pStyle w:val="13"/>
                    <w:rPr>
                      <w:color w:val="auto"/>
                      <w:highlight w:val="none"/>
                    </w:rPr>
                  </w:pPr>
                  <w:r>
                    <w:rPr>
                      <w:rFonts w:hint="eastAsia"/>
                      <w:color w:val="auto"/>
                      <w:highlight w:val="none"/>
                    </w:rPr>
                    <w:t>冷却分级筛2</w:t>
                  </w:r>
                </w:p>
              </w:tc>
              <w:tc>
                <w:tcPr>
                  <w:tcW w:w="570" w:type="pct"/>
                  <w:vAlign w:val="center"/>
                </w:tcPr>
                <w:p w14:paraId="20C804A7">
                  <w:pPr>
                    <w:pStyle w:val="13"/>
                    <w:rPr>
                      <w:color w:val="auto"/>
                      <w:highlight w:val="none"/>
                    </w:rPr>
                  </w:pPr>
                  <w:r>
                    <w:rPr>
                      <w:color w:val="auto"/>
                      <w:highlight w:val="none"/>
                    </w:rPr>
                    <w:t>JSQ-450</w:t>
                  </w:r>
                </w:p>
              </w:tc>
              <w:tc>
                <w:tcPr>
                  <w:tcW w:w="407" w:type="pct"/>
                  <w:vAlign w:val="center"/>
                </w:tcPr>
                <w:p w14:paraId="3467411A">
                  <w:pPr>
                    <w:pStyle w:val="13"/>
                    <w:rPr>
                      <w:color w:val="auto"/>
                      <w:highlight w:val="none"/>
                    </w:rPr>
                  </w:pPr>
                  <w:r>
                    <w:rPr>
                      <w:color w:val="auto"/>
                      <w:highlight w:val="none"/>
                    </w:rPr>
                    <w:t>80-90</w:t>
                  </w:r>
                </w:p>
              </w:tc>
              <w:tc>
                <w:tcPr>
                  <w:tcW w:w="548" w:type="pct"/>
                  <w:vMerge w:val="continue"/>
                  <w:vAlign w:val="center"/>
                </w:tcPr>
                <w:p w14:paraId="78395264">
                  <w:pPr>
                    <w:pStyle w:val="13"/>
                    <w:rPr>
                      <w:color w:val="auto"/>
                      <w:highlight w:val="none"/>
                    </w:rPr>
                  </w:pPr>
                </w:p>
              </w:tc>
              <w:tc>
                <w:tcPr>
                  <w:tcW w:w="230" w:type="pct"/>
                  <w:vAlign w:val="center"/>
                </w:tcPr>
                <w:p w14:paraId="4A1ABF43">
                  <w:pPr>
                    <w:pStyle w:val="13"/>
                    <w:rPr>
                      <w:color w:val="auto"/>
                      <w:highlight w:val="none"/>
                    </w:rPr>
                  </w:pPr>
                  <w:r>
                    <w:rPr>
                      <w:color w:val="auto"/>
                      <w:highlight w:val="none"/>
                    </w:rPr>
                    <w:t>23.5</w:t>
                  </w:r>
                </w:p>
              </w:tc>
              <w:tc>
                <w:tcPr>
                  <w:tcW w:w="230" w:type="pct"/>
                  <w:vAlign w:val="center"/>
                </w:tcPr>
                <w:p w14:paraId="7F284DC5">
                  <w:pPr>
                    <w:pStyle w:val="13"/>
                    <w:rPr>
                      <w:color w:val="auto"/>
                      <w:highlight w:val="none"/>
                    </w:rPr>
                  </w:pPr>
                  <w:r>
                    <w:rPr>
                      <w:color w:val="auto"/>
                      <w:highlight w:val="none"/>
                    </w:rPr>
                    <w:t>10.5</w:t>
                  </w:r>
                </w:p>
              </w:tc>
              <w:tc>
                <w:tcPr>
                  <w:tcW w:w="211" w:type="pct"/>
                  <w:vAlign w:val="center"/>
                </w:tcPr>
                <w:p w14:paraId="483C7600">
                  <w:pPr>
                    <w:pStyle w:val="13"/>
                    <w:rPr>
                      <w:color w:val="auto"/>
                      <w:highlight w:val="none"/>
                    </w:rPr>
                  </w:pPr>
                  <w:r>
                    <w:rPr>
                      <w:rFonts w:hint="eastAsia"/>
                      <w:color w:val="auto"/>
                      <w:highlight w:val="none"/>
                    </w:rPr>
                    <w:t>1</w:t>
                  </w:r>
                </w:p>
              </w:tc>
              <w:tc>
                <w:tcPr>
                  <w:tcW w:w="402" w:type="pct"/>
                  <w:vAlign w:val="center"/>
                </w:tcPr>
                <w:p w14:paraId="5287CC85">
                  <w:pPr>
                    <w:pStyle w:val="13"/>
                    <w:rPr>
                      <w:color w:val="auto"/>
                      <w:highlight w:val="none"/>
                    </w:rPr>
                  </w:pPr>
                  <w:r>
                    <w:rPr>
                      <w:rFonts w:hint="eastAsia"/>
                      <w:color w:val="auto"/>
                      <w:highlight w:val="none"/>
                    </w:rPr>
                    <w:t>10.5</w:t>
                  </w:r>
                </w:p>
              </w:tc>
              <w:tc>
                <w:tcPr>
                  <w:tcW w:w="319" w:type="pct"/>
                  <w:vAlign w:val="center"/>
                </w:tcPr>
                <w:p w14:paraId="3EBDE115">
                  <w:pPr>
                    <w:pStyle w:val="13"/>
                    <w:rPr>
                      <w:color w:val="auto"/>
                      <w:highlight w:val="none"/>
                    </w:rPr>
                  </w:pPr>
                  <w:r>
                    <w:rPr>
                      <w:rFonts w:hint="eastAsia"/>
                      <w:color w:val="auto"/>
                      <w:highlight w:val="none"/>
                    </w:rPr>
                    <w:t>65</w:t>
                  </w:r>
                </w:p>
              </w:tc>
              <w:tc>
                <w:tcPr>
                  <w:tcW w:w="403" w:type="pct"/>
                  <w:vAlign w:val="center"/>
                </w:tcPr>
                <w:p w14:paraId="1570C982">
                  <w:pPr>
                    <w:pStyle w:val="13"/>
                    <w:rPr>
                      <w:color w:val="auto"/>
                      <w:highlight w:val="none"/>
                    </w:rPr>
                  </w:pPr>
                  <w:r>
                    <w:rPr>
                      <w:rFonts w:hint="eastAsia"/>
                      <w:color w:val="auto"/>
                      <w:highlight w:val="none"/>
                    </w:rPr>
                    <w:t>15</w:t>
                  </w:r>
                </w:p>
              </w:tc>
              <w:tc>
                <w:tcPr>
                  <w:tcW w:w="320" w:type="pct"/>
                  <w:vAlign w:val="center"/>
                </w:tcPr>
                <w:p w14:paraId="22EF42C4">
                  <w:pPr>
                    <w:pStyle w:val="13"/>
                    <w:rPr>
                      <w:color w:val="auto"/>
                      <w:highlight w:val="none"/>
                    </w:rPr>
                  </w:pPr>
                  <w:r>
                    <w:rPr>
                      <w:rFonts w:hint="eastAsia"/>
                      <w:color w:val="auto"/>
                      <w:highlight w:val="none"/>
                    </w:rPr>
                    <w:t>50</w:t>
                  </w:r>
                </w:p>
              </w:tc>
              <w:tc>
                <w:tcPr>
                  <w:tcW w:w="285" w:type="pct"/>
                  <w:vAlign w:val="center"/>
                </w:tcPr>
                <w:p w14:paraId="4FE11811">
                  <w:pPr>
                    <w:pStyle w:val="13"/>
                    <w:rPr>
                      <w:color w:val="auto"/>
                      <w:highlight w:val="none"/>
                    </w:rPr>
                  </w:pPr>
                  <w:r>
                    <w:rPr>
                      <w:rFonts w:hint="eastAsia"/>
                      <w:color w:val="auto"/>
                      <w:highlight w:val="none"/>
                    </w:rPr>
                    <w:t>1m</w:t>
                  </w:r>
                </w:p>
              </w:tc>
            </w:tr>
            <w:tr w14:paraId="70F55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Align w:val="center"/>
                </w:tcPr>
                <w:p w14:paraId="0984D6E0">
                  <w:pPr>
                    <w:pStyle w:val="13"/>
                    <w:rPr>
                      <w:color w:val="auto"/>
                      <w:highlight w:val="none"/>
                    </w:rPr>
                  </w:pPr>
                  <w:r>
                    <w:rPr>
                      <w:rFonts w:hint="eastAsia"/>
                      <w:color w:val="auto"/>
                      <w:highlight w:val="none"/>
                    </w:rPr>
                    <w:t>15</w:t>
                  </w:r>
                </w:p>
              </w:tc>
              <w:tc>
                <w:tcPr>
                  <w:tcW w:w="258" w:type="pct"/>
                  <w:vMerge w:val="continue"/>
                  <w:vAlign w:val="center"/>
                </w:tcPr>
                <w:p w14:paraId="483409D2">
                  <w:pPr>
                    <w:pStyle w:val="13"/>
                    <w:rPr>
                      <w:color w:val="auto"/>
                      <w:highlight w:val="none"/>
                    </w:rPr>
                  </w:pPr>
                </w:p>
              </w:tc>
              <w:tc>
                <w:tcPr>
                  <w:tcW w:w="595" w:type="pct"/>
                  <w:vAlign w:val="center"/>
                </w:tcPr>
                <w:p w14:paraId="0F698AD8">
                  <w:pPr>
                    <w:pStyle w:val="13"/>
                    <w:rPr>
                      <w:color w:val="auto"/>
                      <w:highlight w:val="none"/>
                    </w:rPr>
                  </w:pPr>
                  <w:r>
                    <w:rPr>
                      <w:rFonts w:hint="eastAsia"/>
                      <w:color w:val="auto"/>
                      <w:highlight w:val="none"/>
                    </w:rPr>
                    <w:t>颗粒打包机1</w:t>
                  </w:r>
                </w:p>
              </w:tc>
              <w:tc>
                <w:tcPr>
                  <w:tcW w:w="570" w:type="pct"/>
                  <w:vAlign w:val="center"/>
                </w:tcPr>
                <w:p w14:paraId="5F0033DE">
                  <w:pPr>
                    <w:pStyle w:val="13"/>
                    <w:rPr>
                      <w:color w:val="auto"/>
                      <w:highlight w:val="none"/>
                    </w:rPr>
                  </w:pPr>
                  <w:r>
                    <w:rPr>
                      <w:color w:val="auto"/>
                      <w:highlight w:val="none"/>
                    </w:rPr>
                    <w:t>BLQ-X</w:t>
                  </w:r>
                </w:p>
              </w:tc>
              <w:tc>
                <w:tcPr>
                  <w:tcW w:w="407" w:type="pct"/>
                  <w:vAlign w:val="center"/>
                </w:tcPr>
                <w:p w14:paraId="25D2BCB8">
                  <w:pPr>
                    <w:pStyle w:val="13"/>
                    <w:rPr>
                      <w:color w:val="auto"/>
                      <w:highlight w:val="none"/>
                    </w:rPr>
                  </w:pPr>
                  <w:r>
                    <w:rPr>
                      <w:color w:val="auto"/>
                      <w:highlight w:val="none"/>
                    </w:rPr>
                    <w:t>65-75</w:t>
                  </w:r>
                </w:p>
              </w:tc>
              <w:tc>
                <w:tcPr>
                  <w:tcW w:w="548" w:type="pct"/>
                  <w:vMerge w:val="continue"/>
                  <w:vAlign w:val="center"/>
                </w:tcPr>
                <w:p w14:paraId="209E95FE">
                  <w:pPr>
                    <w:pStyle w:val="13"/>
                    <w:rPr>
                      <w:color w:val="auto"/>
                      <w:highlight w:val="none"/>
                    </w:rPr>
                  </w:pPr>
                </w:p>
              </w:tc>
              <w:tc>
                <w:tcPr>
                  <w:tcW w:w="230" w:type="pct"/>
                  <w:vAlign w:val="center"/>
                </w:tcPr>
                <w:p w14:paraId="7EECFF1F">
                  <w:pPr>
                    <w:pStyle w:val="13"/>
                    <w:rPr>
                      <w:color w:val="auto"/>
                      <w:highlight w:val="none"/>
                    </w:rPr>
                  </w:pPr>
                  <w:r>
                    <w:rPr>
                      <w:color w:val="auto"/>
                      <w:highlight w:val="none"/>
                    </w:rPr>
                    <w:t>17.5</w:t>
                  </w:r>
                </w:p>
              </w:tc>
              <w:tc>
                <w:tcPr>
                  <w:tcW w:w="230" w:type="pct"/>
                  <w:vAlign w:val="center"/>
                </w:tcPr>
                <w:p w14:paraId="65043DE6">
                  <w:pPr>
                    <w:pStyle w:val="13"/>
                    <w:rPr>
                      <w:color w:val="auto"/>
                      <w:highlight w:val="none"/>
                    </w:rPr>
                  </w:pPr>
                  <w:r>
                    <w:rPr>
                      <w:color w:val="auto"/>
                      <w:highlight w:val="none"/>
                    </w:rPr>
                    <w:t>16.5</w:t>
                  </w:r>
                </w:p>
              </w:tc>
              <w:tc>
                <w:tcPr>
                  <w:tcW w:w="211" w:type="pct"/>
                  <w:vAlign w:val="center"/>
                </w:tcPr>
                <w:p w14:paraId="6EC78149">
                  <w:pPr>
                    <w:pStyle w:val="13"/>
                    <w:rPr>
                      <w:color w:val="auto"/>
                      <w:highlight w:val="none"/>
                    </w:rPr>
                  </w:pPr>
                  <w:r>
                    <w:rPr>
                      <w:rFonts w:hint="eastAsia"/>
                      <w:color w:val="auto"/>
                      <w:highlight w:val="none"/>
                    </w:rPr>
                    <w:t>1.2</w:t>
                  </w:r>
                </w:p>
              </w:tc>
              <w:tc>
                <w:tcPr>
                  <w:tcW w:w="402" w:type="pct"/>
                  <w:vAlign w:val="center"/>
                </w:tcPr>
                <w:p w14:paraId="76B7BA76">
                  <w:pPr>
                    <w:pStyle w:val="13"/>
                    <w:rPr>
                      <w:color w:val="auto"/>
                      <w:highlight w:val="none"/>
                    </w:rPr>
                  </w:pPr>
                  <w:r>
                    <w:rPr>
                      <w:rFonts w:hint="eastAsia"/>
                      <w:color w:val="auto"/>
                      <w:highlight w:val="none"/>
                    </w:rPr>
                    <w:t>16.5</w:t>
                  </w:r>
                </w:p>
              </w:tc>
              <w:tc>
                <w:tcPr>
                  <w:tcW w:w="319" w:type="pct"/>
                  <w:vAlign w:val="center"/>
                </w:tcPr>
                <w:p w14:paraId="01794545">
                  <w:pPr>
                    <w:pStyle w:val="13"/>
                    <w:rPr>
                      <w:color w:val="auto"/>
                      <w:highlight w:val="none"/>
                    </w:rPr>
                  </w:pPr>
                  <w:r>
                    <w:rPr>
                      <w:rFonts w:hint="eastAsia"/>
                      <w:color w:val="auto"/>
                      <w:highlight w:val="none"/>
                    </w:rPr>
                    <w:t>46</w:t>
                  </w:r>
                </w:p>
              </w:tc>
              <w:tc>
                <w:tcPr>
                  <w:tcW w:w="403" w:type="pct"/>
                  <w:vAlign w:val="center"/>
                </w:tcPr>
                <w:p w14:paraId="24631A0C">
                  <w:pPr>
                    <w:pStyle w:val="13"/>
                    <w:rPr>
                      <w:color w:val="auto"/>
                      <w:highlight w:val="none"/>
                    </w:rPr>
                  </w:pPr>
                  <w:r>
                    <w:rPr>
                      <w:rFonts w:hint="eastAsia"/>
                      <w:color w:val="auto"/>
                      <w:highlight w:val="none"/>
                    </w:rPr>
                    <w:t>15</w:t>
                  </w:r>
                </w:p>
              </w:tc>
              <w:tc>
                <w:tcPr>
                  <w:tcW w:w="320" w:type="pct"/>
                  <w:vAlign w:val="center"/>
                </w:tcPr>
                <w:p w14:paraId="08EAF7C2">
                  <w:pPr>
                    <w:pStyle w:val="13"/>
                    <w:rPr>
                      <w:color w:val="auto"/>
                      <w:highlight w:val="none"/>
                    </w:rPr>
                  </w:pPr>
                  <w:r>
                    <w:rPr>
                      <w:rFonts w:hint="eastAsia"/>
                      <w:color w:val="auto"/>
                      <w:highlight w:val="none"/>
                    </w:rPr>
                    <w:t>31</w:t>
                  </w:r>
                </w:p>
              </w:tc>
              <w:tc>
                <w:tcPr>
                  <w:tcW w:w="285" w:type="pct"/>
                  <w:vAlign w:val="center"/>
                </w:tcPr>
                <w:p w14:paraId="392F91B3">
                  <w:pPr>
                    <w:pStyle w:val="13"/>
                    <w:rPr>
                      <w:color w:val="auto"/>
                      <w:highlight w:val="none"/>
                    </w:rPr>
                  </w:pPr>
                  <w:r>
                    <w:rPr>
                      <w:rFonts w:hint="eastAsia"/>
                      <w:color w:val="auto"/>
                      <w:highlight w:val="none"/>
                    </w:rPr>
                    <w:t>1m</w:t>
                  </w:r>
                </w:p>
              </w:tc>
            </w:tr>
            <w:tr w14:paraId="339B0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Align w:val="center"/>
                </w:tcPr>
                <w:p w14:paraId="0EDA62FB">
                  <w:pPr>
                    <w:pStyle w:val="13"/>
                    <w:rPr>
                      <w:color w:val="auto"/>
                      <w:highlight w:val="none"/>
                    </w:rPr>
                  </w:pPr>
                  <w:r>
                    <w:rPr>
                      <w:rFonts w:hint="eastAsia"/>
                      <w:color w:val="auto"/>
                      <w:highlight w:val="none"/>
                    </w:rPr>
                    <w:t>16</w:t>
                  </w:r>
                </w:p>
              </w:tc>
              <w:tc>
                <w:tcPr>
                  <w:tcW w:w="258" w:type="pct"/>
                  <w:vMerge w:val="continue"/>
                  <w:vAlign w:val="center"/>
                </w:tcPr>
                <w:p w14:paraId="6B13F5BF">
                  <w:pPr>
                    <w:pStyle w:val="13"/>
                    <w:rPr>
                      <w:color w:val="auto"/>
                      <w:highlight w:val="none"/>
                    </w:rPr>
                  </w:pPr>
                </w:p>
              </w:tc>
              <w:tc>
                <w:tcPr>
                  <w:tcW w:w="595" w:type="pct"/>
                  <w:vAlign w:val="center"/>
                </w:tcPr>
                <w:p w14:paraId="77C793EC">
                  <w:pPr>
                    <w:pStyle w:val="13"/>
                    <w:rPr>
                      <w:color w:val="auto"/>
                      <w:highlight w:val="none"/>
                    </w:rPr>
                  </w:pPr>
                  <w:r>
                    <w:rPr>
                      <w:rFonts w:hint="eastAsia"/>
                      <w:color w:val="auto"/>
                      <w:highlight w:val="none"/>
                    </w:rPr>
                    <w:t>颗粒打包机2</w:t>
                  </w:r>
                </w:p>
              </w:tc>
              <w:tc>
                <w:tcPr>
                  <w:tcW w:w="570" w:type="pct"/>
                  <w:vAlign w:val="center"/>
                </w:tcPr>
                <w:p w14:paraId="3E82C889">
                  <w:pPr>
                    <w:pStyle w:val="13"/>
                    <w:rPr>
                      <w:color w:val="auto"/>
                      <w:highlight w:val="none"/>
                    </w:rPr>
                  </w:pPr>
                  <w:r>
                    <w:rPr>
                      <w:color w:val="auto"/>
                      <w:highlight w:val="none"/>
                    </w:rPr>
                    <w:t>BLQ-X</w:t>
                  </w:r>
                </w:p>
              </w:tc>
              <w:tc>
                <w:tcPr>
                  <w:tcW w:w="407" w:type="pct"/>
                  <w:vAlign w:val="center"/>
                </w:tcPr>
                <w:p w14:paraId="3A53F6BA">
                  <w:pPr>
                    <w:pStyle w:val="13"/>
                    <w:rPr>
                      <w:color w:val="auto"/>
                      <w:highlight w:val="none"/>
                    </w:rPr>
                  </w:pPr>
                  <w:r>
                    <w:rPr>
                      <w:color w:val="auto"/>
                      <w:highlight w:val="none"/>
                    </w:rPr>
                    <w:t>65-75</w:t>
                  </w:r>
                </w:p>
              </w:tc>
              <w:tc>
                <w:tcPr>
                  <w:tcW w:w="548" w:type="pct"/>
                  <w:vMerge w:val="continue"/>
                  <w:vAlign w:val="center"/>
                </w:tcPr>
                <w:p w14:paraId="422D17EF">
                  <w:pPr>
                    <w:pStyle w:val="13"/>
                    <w:rPr>
                      <w:color w:val="auto"/>
                      <w:highlight w:val="none"/>
                    </w:rPr>
                  </w:pPr>
                </w:p>
              </w:tc>
              <w:tc>
                <w:tcPr>
                  <w:tcW w:w="230" w:type="pct"/>
                  <w:vAlign w:val="center"/>
                </w:tcPr>
                <w:p w14:paraId="56FC07E9">
                  <w:pPr>
                    <w:pStyle w:val="13"/>
                    <w:rPr>
                      <w:color w:val="auto"/>
                      <w:highlight w:val="none"/>
                    </w:rPr>
                  </w:pPr>
                  <w:r>
                    <w:rPr>
                      <w:color w:val="auto"/>
                      <w:highlight w:val="none"/>
                    </w:rPr>
                    <w:t>17.5</w:t>
                  </w:r>
                </w:p>
              </w:tc>
              <w:tc>
                <w:tcPr>
                  <w:tcW w:w="230" w:type="pct"/>
                  <w:vAlign w:val="center"/>
                </w:tcPr>
                <w:p w14:paraId="1DC8588D">
                  <w:pPr>
                    <w:pStyle w:val="13"/>
                    <w:rPr>
                      <w:color w:val="auto"/>
                      <w:highlight w:val="none"/>
                    </w:rPr>
                  </w:pPr>
                  <w:r>
                    <w:rPr>
                      <w:color w:val="auto"/>
                      <w:highlight w:val="none"/>
                    </w:rPr>
                    <w:t>10.5</w:t>
                  </w:r>
                </w:p>
              </w:tc>
              <w:tc>
                <w:tcPr>
                  <w:tcW w:w="211" w:type="pct"/>
                  <w:vAlign w:val="center"/>
                </w:tcPr>
                <w:p w14:paraId="29F9EA12">
                  <w:pPr>
                    <w:pStyle w:val="13"/>
                    <w:rPr>
                      <w:color w:val="auto"/>
                      <w:highlight w:val="none"/>
                    </w:rPr>
                  </w:pPr>
                  <w:r>
                    <w:rPr>
                      <w:rFonts w:hint="eastAsia"/>
                      <w:color w:val="auto"/>
                      <w:highlight w:val="none"/>
                    </w:rPr>
                    <w:t>1.2</w:t>
                  </w:r>
                </w:p>
              </w:tc>
              <w:tc>
                <w:tcPr>
                  <w:tcW w:w="402" w:type="pct"/>
                  <w:vAlign w:val="center"/>
                </w:tcPr>
                <w:p w14:paraId="73958E00">
                  <w:pPr>
                    <w:pStyle w:val="13"/>
                    <w:rPr>
                      <w:color w:val="auto"/>
                      <w:highlight w:val="none"/>
                    </w:rPr>
                  </w:pPr>
                  <w:r>
                    <w:rPr>
                      <w:rFonts w:hint="eastAsia"/>
                      <w:color w:val="auto"/>
                      <w:highlight w:val="none"/>
                    </w:rPr>
                    <w:t>10.5</w:t>
                  </w:r>
                </w:p>
              </w:tc>
              <w:tc>
                <w:tcPr>
                  <w:tcW w:w="319" w:type="pct"/>
                  <w:vAlign w:val="center"/>
                </w:tcPr>
                <w:p w14:paraId="4B75918E">
                  <w:pPr>
                    <w:pStyle w:val="13"/>
                    <w:rPr>
                      <w:color w:val="auto"/>
                      <w:highlight w:val="none"/>
                    </w:rPr>
                  </w:pPr>
                  <w:r>
                    <w:rPr>
                      <w:rFonts w:hint="eastAsia"/>
                      <w:color w:val="auto"/>
                      <w:highlight w:val="none"/>
                    </w:rPr>
                    <w:t>50</w:t>
                  </w:r>
                </w:p>
              </w:tc>
              <w:tc>
                <w:tcPr>
                  <w:tcW w:w="403" w:type="pct"/>
                  <w:vAlign w:val="center"/>
                </w:tcPr>
                <w:p w14:paraId="785DE2A7">
                  <w:pPr>
                    <w:pStyle w:val="13"/>
                    <w:rPr>
                      <w:color w:val="auto"/>
                      <w:highlight w:val="none"/>
                    </w:rPr>
                  </w:pPr>
                  <w:r>
                    <w:rPr>
                      <w:rFonts w:hint="eastAsia"/>
                      <w:color w:val="auto"/>
                      <w:highlight w:val="none"/>
                    </w:rPr>
                    <w:t>15</w:t>
                  </w:r>
                </w:p>
              </w:tc>
              <w:tc>
                <w:tcPr>
                  <w:tcW w:w="320" w:type="pct"/>
                  <w:vAlign w:val="center"/>
                </w:tcPr>
                <w:p w14:paraId="44CD1A5A">
                  <w:pPr>
                    <w:pStyle w:val="13"/>
                    <w:rPr>
                      <w:color w:val="auto"/>
                      <w:highlight w:val="none"/>
                    </w:rPr>
                  </w:pPr>
                  <w:r>
                    <w:rPr>
                      <w:rFonts w:hint="eastAsia"/>
                      <w:color w:val="auto"/>
                      <w:highlight w:val="none"/>
                    </w:rPr>
                    <w:t>35</w:t>
                  </w:r>
                </w:p>
              </w:tc>
              <w:tc>
                <w:tcPr>
                  <w:tcW w:w="285" w:type="pct"/>
                  <w:vAlign w:val="center"/>
                </w:tcPr>
                <w:p w14:paraId="0B78C7F0">
                  <w:pPr>
                    <w:pStyle w:val="13"/>
                    <w:rPr>
                      <w:color w:val="auto"/>
                      <w:highlight w:val="none"/>
                    </w:rPr>
                  </w:pPr>
                  <w:r>
                    <w:rPr>
                      <w:rFonts w:hint="eastAsia"/>
                      <w:color w:val="auto"/>
                      <w:highlight w:val="none"/>
                    </w:rPr>
                    <w:t>1m</w:t>
                  </w:r>
                </w:p>
              </w:tc>
            </w:tr>
            <w:tr w14:paraId="6E317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Align w:val="center"/>
                </w:tcPr>
                <w:p w14:paraId="5CBAD650">
                  <w:pPr>
                    <w:pStyle w:val="13"/>
                    <w:rPr>
                      <w:color w:val="auto"/>
                      <w:highlight w:val="none"/>
                    </w:rPr>
                  </w:pPr>
                  <w:r>
                    <w:rPr>
                      <w:rFonts w:hint="eastAsia"/>
                      <w:color w:val="auto"/>
                      <w:highlight w:val="none"/>
                    </w:rPr>
                    <w:t>17</w:t>
                  </w:r>
                </w:p>
              </w:tc>
              <w:tc>
                <w:tcPr>
                  <w:tcW w:w="258" w:type="pct"/>
                  <w:vMerge w:val="continue"/>
                  <w:vAlign w:val="center"/>
                </w:tcPr>
                <w:p w14:paraId="06BCACA8">
                  <w:pPr>
                    <w:pStyle w:val="13"/>
                    <w:rPr>
                      <w:color w:val="auto"/>
                      <w:highlight w:val="none"/>
                    </w:rPr>
                  </w:pPr>
                </w:p>
              </w:tc>
              <w:tc>
                <w:tcPr>
                  <w:tcW w:w="595" w:type="pct"/>
                  <w:vAlign w:val="center"/>
                </w:tcPr>
                <w:p w14:paraId="0F386A99">
                  <w:pPr>
                    <w:pStyle w:val="13"/>
                    <w:rPr>
                      <w:color w:val="auto"/>
                      <w:highlight w:val="none"/>
                    </w:rPr>
                  </w:pPr>
                  <w:r>
                    <w:rPr>
                      <w:rFonts w:hint="eastAsia"/>
                      <w:color w:val="auto"/>
                      <w:highlight w:val="none"/>
                    </w:rPr>
                    <w:t>除尘器2</w:t>
                  </w:r>
                </w:p>
              </w:tc>
              <w:tc>
                <w:tcPr>
                  <w:tcW w:w="570" w:type="pct"/>
                  <w:vAlign w:val="center"/>
                </w:tcPr>
                <w:p w14:paraId="025E2097">
                  <w:pPr>
                    <w:pStyle w:val="13"/>
                    <w:rPr>
                      <w:color w:val="auto"/>
                      <w:highlight w:val="none"/>
                    </w:rPr>
                  </w:pPr>
                  <w:r>
                    <w:rPr>
                      <w:color w:val="auto"/>
                      <w:highlight w:val="none"/>
                    </w:rPr>
                    <w:t>/</w:t>
                  </w:r>
                </w:p>
              </w:tc>
              <w:tc>
                <w:tcPr>
                  <w:tcW w:w="407" w:type="pct"/>
                  <w:vAlign w:val="center"/>
                </w:tcPr>
                <w:p w14:paraId="7014EC63">
                  <w:pPr>
                    <w:pStyle w:val="13"/>
                    <w:rPr>
                      <w:color w:val="auto"/>
                      <w:highlight w:val="none"/>
                    </w:rPr>
                  </w:pPr>
                  <w:r>
                    <w:rPr>
                      <w:color w:val="auto"/>
                      <w:highlight w:val="none"/>
                    </w:rPr>
                    <w:t>70-80</w:t>
                  </w:r>
                </w:p>
              </w:tc>
              <w:tc>
                <w:tcPr>
                  <w:tcW w:w="548" w:type="pct"/>
                  <w:vMerge w:val="continue"/>
                  <w:vAlign w:val="center"/>
                </w:tcPr>
                <w:p w14:paraId="6DBD8042">
                  <w:pPr>
                    <w:pStyle w:val="13"/>
                    <w:rPr>
                      <w:color w:val="auto"/>
                      <w:highlight w:val="none"/>
                    </w:rPr>
                  </w:pPr>
                </w:p>
              </w:tc>
              <w:tc>
                <w:tcPr>
                  <w:tcW w:w="230" w:type="pct"/>
                  <w:vAlign w:val="center"/>
                </w:tcPr>
                <w:p w14:paraId="19EE6348">
                  <w:pPr>
                    <w:pStyle w:val="13"/>
                    <w:rPr>
                      <w:color w:val="auto"/>
                      <w:highlight w:val="none"/>
                    </w:rPr>
                  </w:pPr>
                  <w:r>
                    <w:rPr>
                      <w:color w:val="auto"/>
                      <w:highlight w:val="none"/>
                    </w:rPr>
                    <w:t>12</w:t>
                  </w:r>
                </w:p>
              </w:tc>
              <w:tc>
                <w:tcPr>
                  <w:tcW w:w="230" w:type="pct"/>
                  <w:vAlign w:val="center"/>
                </w:tcPr>
                <w:p w14:paraId="69638C02">
                  <w:pPr>
                    <w:pStyle w:val="13"/>
                    <w:rPr>
                      <w:color w:val="auto"/>
                      <w:highlight w:val="none"/>
                    </w:rPr>
                  </w:pPr>
                  <w:r>
                    <w:rPr>
                      <w:color w:val="auto"/>
                      <w:highlight w:val="none"/>
                    </w:rPr>
                    <w:t>31.5</w:t>
                  </w:r>
                </w:p>
              </w:tc>
              <w:tc>
                <w:tcPr>
                  <w:tcW w:w="211" w:type="pct"/>
                  <w:vAlign w:val="center"/>
                </w:tcPr>
                <w:p w14:paraId="2AFF142D">
                  <w:pPr>
                    <w:pStyle w:val="13"/>
                    <w:rPr>
                      <w:color w:val="auto"/>
                      <w:highlight w:val="none"/>
                    </w:rPr>
                  </w:pPr>
                  <w:r>
                    <w:rPr>
                      <w:rFonts w:hint="eastAsia"/>
                      <w:color w:val="auto"/>
                      <w:highlight w:val="none"/>
                    </w:rPr>
                    <w:t>0.5</w:t>
                  </w:r>
                </w:p>
              </w:tc>
              <w:tc>
                <w:tcPr>
                  <w:tcW w:w="402" w:type="pct"/>
                  <w:vAlign w:val="center"/>
                </w:tcPr>
                <w:p w14:paraId="16B5C7F5">
                  <w:pPr>
                    <w:pStyle w:val="13"/>
                    <w:rPr>
                      <w:color w:val="auto"/>
                      <w:highlight w:val="none"/>
                    </w:rPr>
                  </w:pPr>
                  <w:r>
                    <w:rPr>
                      <w:rFonts w:hint="eastAsia"/>
                      <w:color w:val="auto"/>
                      <w:highlight w:val="none"/>
                    </w:rPr>
                    <w:t>12</w:t>
                  </w:r>
                </w:p>
              </w:tc>
              <w:tc>
                <w:tcPr>
                  <w:tcW w:w="319" w:type="pct"/>
                  <w:vAlign w:val="center"/>
                </w:tcPr>
                <w:p w14:paraId="56C4D207">
                  <w:pPr>
                    <w:pStyle w:val="13"/>
                    <w:rPr>
                      <w:color w:val="auto"/>
                      <w:highlight w:val="none"/>
                    </w:rPr>
                  </w:pPr>
                  <w:r>
                    <w:rPr>
                      <w:rFonts w:hint="eastAsia"/>
                      <w:color w:val="auto"/>
                      <w:highlight w:val="none"/>
                    </w:rPr>
                    <w:t>53</w:t>
                  </w:r>
                </w:p>
              </w:tc>
              <w:tc>
                <w:tcPr>
                  <w:tcW w:w="403" w:type="pct"/>
                  <w:vAlign w:val="center"/>
                </w:tcPr>
                <w:p w14:paraId="57BA3015">
                  <w:pPr>
                    <w:pStyle w:val="13"/>
                    <w:rPr>
                      <w:color w:val="auto"/>
                      <w:highlight w:val="none"/>
                    </w:rPr>
                  </w:pPr>
                  <w:r>
                    <w:rPr>
                      <w:rFonts w:hint="eastAsia"/>
                      <w:color w:val="auto"/>
                      <w:highlight w:val="none"/>
                    </w:rPr>
                    <w:t>15</w:t>
                  </w:r>
                </w:p>
              </w:tc>
              <w:tc>
                <w:tcPr>
                  <w:tcW w:w="320" w:type="pct"/>
                  <w:vAlign w:val="center"/>
                </w:tcPr>
                <w:p w14:paraId="1CD371CB">
                  <w:pPr>
                    <w:pStyle w:val="13"/>
                    <w:rPr>
                      <w:color w:val="auto"/>
                      <w:highlight w:val="none"/>
                    </w:rPr>
                  </w:pPr>
                  <w:r>
                    <w:rPr>
                      <w:rFonts w:hint="eastAsia"/>
                      <w:color w:val="auto"/>
                      <w:highlight w:val="none"/>
                    </w:rPr>
                    <w:t>38</w:t>
                  </w:r>
                </w:p>
              </w:tc>
              <w:tc>
                <w:tcPr>
                  <w:tcW w:w="285" w:type="pct"/>
                  <w:vAlign w:val="center"/>
                </w:tcPr>
                <w:p w14:paraId="76C13C41">
                  <w:pPr>
                    <w:pStyle w:val="13"/>
                    <w:rPr>
                      <w:color w:val="auto"/>
                      <w:highlight w:val="none"/>
                    </w:rPr>
                  </w:pPr>
                  <w:r>
                    <w:rPr>
                      <w:rFonts w:hint="eastAsia"/>
                      <w:color w:val="auto"/>
                      <w:highlight w:val="none"/>
                    </w:rPr>
                    <w:t>1m</w:t>
                  </w:r>
                </w:p>
              </w:tc>
            </w:tr>
            <w:tr w14:paraId="5B540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 w:type="pct"/>
                  <w:vAlign w:val="center"/>
                </w:tcPr>
                <w:p w14:paraId="7B89DF3A">
                  <w:pPr>
                    <w:pStyle w:val="13"/>
                    <w:rPr>
                      <w:color w:val="auto"/>
                      <w:highlight w:val="none"/>
                    </w:rPr>
                  </w:pPr>
                  <w:r>
                    <w:rPr>
                      <w:rFonts w:hint="eastAsia"/>
                      <w:color w:val="auto"/>
                      <w:highlight w:val="none"/>
                    </w:rPr>
                    <w:t>18</w:t>
                  </w:r>
                </w:p>
              </w:tc>
              <w:tc>
                <w:tcPr>
                  <w:tcW w:w="258" w:type="pct"/>
                  <w:vMerge w:val="continue"/>
                  <w:vAlign w:val="center"/>
                </w:tcPr>
                <w:p w14:paraId="7345AC2D">
                  <w:pPr>
                    <w:pStyle w:val="13"/>
                    <w:rPr>
                      <w:color w:val="auto"/>
                      <w:highlight w:val="none"/>
                    </w:rPr>
                  </w:pPr>
                </w:p>
              </w:tc>
              <w:tc>
                <w:tcPr>
                  <w:tcW w:w="595" w:type="pct"/>
                  <w:vAlign w:val="center"/>
                </w:tcPr>
                <w:p w14:paraId="52EB4125">
                  <w:pPr>
                    <w:pStyle w:val="13"/>
                    <w:rPr>
                      <w:color w:val="auto"/>
                      <w:highlight w:val="none"/>
                    </w:rPr>
                  </w:pPr>
                  <w:r>
                    <w:rPr>
                      <w:rFonts w:hint="eastAsia"/>
                      <w:color w:val="auto"/>
                      <w:highlight w:val="none"/>
                    </w:rPr>
                    <w:t>蒸汽锅炉1</w:t>
                  </w:r>
                </w:p>
              </w:tc>
              <w:tc>
                <w:tcPr>
                  <w:tcW w:w="570" w:type="pct"/>
                  <w:vAlign w:val="center"/>
                </w:tcPr>
                <w:p w14:paraId="262EF997">
                  <w:pPr>
                    <w:pStyle w:val="13"/>
                    <w:rPr>
                      <w:color w:val="auto"/>
                      <w:highlight w:val="none"/>
                    </w:rPr>
                  </w:pPr>
                  <w:r>
                    <w:rPr>
                      <w:color w:val="auto"/>
                      <w:highlight w:val="none"/>
                    </w:rPr>
                    <w:t>DZL</w:t>
                  </w:r>
                  <w:r>
                    <w:rPr>
                      <w:rFonts w:hint="eastAsia"/>
                      <w:color w:val="auto"/>
                      <w:highlight w:val="none"/>
                      <w:lang w:val="en-US" w:eastAsia="zh-CN"/>
                    </w:rPr>
                    <w:t>3</w:t>
                  </w:r>
                  <w:r>
                    <w:rPr>
                      <w:color w:val="auto"/>
                      <w:highlight w:val="none"/>
                    </w:rPr>
                    <w:t>-0.7-M</w:t>
                  </w:r>
                </w:p>
              </w:tc>
              <w:tc>
                <w:tcPr>
                  <w:tcW w:w="407" w:type="pct"/>
                  <w:vAlign w:val="center"/>
                </w:tcPr>
                <w:p w14:paraId="7329E4D4">
                  <w:pPr>
                    <w:pStyle w:val="13"/>
                    <w:rPr>
                      <w:color w:val="auto"/>
                      <w:highlight w:val="none"/>
                    </w:rPr>
                  </w:pPr>
                  <w:r>
                    <w:rPr>
                      <w:color w:val="auto"/>
                      <w:highlight w:val="none"/>
                    </w:rPr>
                    <w:t>70-80</w:t>
                  </w:r>
                </w:p>
              </w:tc>
              <w:tc>
                <w:tcPr>
                  <w:tcW w:w="548" w:type="pct"/>
                  <w:vMerge w:val="continue"/>
                  <w:vAlign w:val="center"/>
                </w:tcPr>
                <w:p w14:paraId="293C8417">
                  <w:pPr>
                    <w:pStyle w:val="13"/>
                    <w:rPr>
                      <w:color w:val="auto"/>
                      <w:highlight w:val="none"/>
                    </w:rPr>
                  </w:pPr>
                </w:p>
              </w:tc>
              <w:tc>
                <w:tcPr>
                  <w:tcW w:w="230" w:type="pct"/>
                  <w:vAlign w:val="center"/>
                </w:tcPr>
                <w:p w14:paraId="11A42F90">
                  <w:pPr>
                    <w:pStyle w:val="13"/>
                    <w:rPr>
                      <w:color w:val="auto"/>
                      <w:highlight w:val="none"/>
                    </w:rPr>
                  </w:pPr>
                  <w:r>
                    <w:rPr>
                      <w:color w:val="auto"/>
                      <w:highlight w:val="none"/>
                    </w:rPr>
                    <w:t>24</w:t>
                  </w:r>
                </w:p>
              </w:tc>
              <w:tc>
                <w:tcPr>
                  <w:tcW w:w="230" w:type="pct"/>
                  <w:vAlign w:val="center"/>
                </w:tcPr>
                <w:p w14:paraId="62C16C8B">
                  <w:pPr>
                    <w:pStyle w:val="13"/>
                    <w:rPr>
                      <w:color w:val="auto"/>
                      <w:highlight w:val="none"/>
                    </w:rPr>
                  </w:pPr>
                  <w:r>
                    <w:rPr>
                      <w:color w:val="auto"/>
                      <w:highlight w:val="none"/>
                    </w:rPr>
                    <w:t>31.5</w:t>
                  </w:r>
                </w:p>
              </w:tc>
              <w:tc>
                <w:tcPr>
                  <w:tcW w:w="211" w:type="pct"/>
                  <w:vAlign w:val="center"/>
                </w:tcPr>
                <w:p w14:paraId="316E0A68">
                  <w:pPr>
                    <w:pStyle w:val="13"/>
                    <w:rPr>
                      <w:color w:val="auto"/>
                      <w:highlight w:val="none"/>
                    </w:rPr>
                  </w:pPr>
                  <w:r>
                    <w:rPr>
                      <w:rFonts w:hint="eastAsia"/>
                      <w:color w:val="auto"/>
                      <w:highlight w:val="none"/>
                    </w:rPr>
                    <w:t>1.2</w:t>
                  </w:r>
                </w:p>
              </w:tc>
              <w:tc>
                <w:tcPr>
                  <w:tcW w:w="402" w:type="pct"/>
                  <w:vAlign w:val="center"/>
                </w:tcPr>
                <w:p w14:paraId="6591FF90">
                  <w:pPr>
                    <w:pStyle w:val="13"/>
                    <w:rPr>
                      <w:color w:val="auto"/>
                      <w:highlight w:val="none"/>
                    </w:rPr>
                  </w:pPr>
                  <w:r>
                    <w:rPr>
                      <w:rFonts w:hint="eastAsia"/>
                      <w:color w:val="auto"/>
                      <w:highlight w:val="none"/>
                    </w:rPr>
                    <w:t>24</w:t>
                  </w:r>
                </w:p>
              </w:tc>
              <w:tc>
                <w:tcPr>
                  <w:tcW w:w="319" w:type="pct"/>
                  <w:vAlign w:val="center"/>
                </w:tcPr>
                <w:p w14:paraId="2D06119A">
                  <w:pPr>
                    <w:pStyle w:val="13"/>
                    <w:rPr>
                      <w:color w:val="auto"/>
                      <w:highlight w:val="none"/>
                    </w:rPr>
                  </w:pPr>
                  <w:r>
                    <w:rPr>
                      <w:rFonts w:hint="eastAsia"/>
                      <w:color w:val="auto"/>
                      <w:highlight w:val="none"/>
                    </w:rPr>
                    <w:t>47</w:t>
                  </w:r>
                </w:p>
              </w:tc>
              <w:tc>
                <w:tcPr>
                  <w:tcW w:w="403" w:type="pct"/>
                  <w:vAlign w:val="center"/>
                </w:tcPr>
                <w:p w14:paraId="5CDE1610">
                  <w:pPr>
                    <w:pStyle w:val="13"/>
                    <w:rPr>
                      <w:color w:val="auto"/>
                      <w:highlight w:val="none"/>
                    </w:rPr>
                  </w:pPr>
                  <w:r>
                    <w:rPr>
                      <w:rFonts w:hint="eastAsia"/>
                      <w:color w:val="auto"/>
                      <w:highlight w:val="none"/>
                    </w:rPr>
                    <w:t>15</w:t>
                  </w:r>
                </w:p>
              </w:tc>
              <w:tc>
                <w:tcPr>
                  <w:tcW w:w="320" w:type="pct"/>
                  <w:vAlign w:val="center"/>
                </w:tcPr>
                <w:p w14:paraId="4F014AD7">
                  <w:pPr>
                    <w:pStyle w:val="13"/>
                    <w:rPr>
                      <w:color w:val="auto"/>
                      <w:highlight w:val="none"/>
                    </w:rPr>
                  </w:pPr>
                  <w:r>
                    <w:rPr>
                      <w:rFonts w:hint="eastAsia"/>
                      <w:color w:val="auto"/>
                      <w:highlight w:val="none"/>
                    </w:rPr>
                    <w:t>32</w:t>
                  </w:r>
                </w:p>
              </w:tc>
              <w:tc>
                <w:tcPr>
                  <w:tcW w:w="285" w:type="pct"/>
                  <w:vAlign w:val="center"/>
                </w:tcPr>
                <w:p w14:paraId="7FA0EA93">
                  <w:pPr>
                    <w:pStyle w:val="13"/>
                    <w:rPr>
                      <w:color w:val="auto"/>
                      <w:highlight w:val="none"/>
                    </w:rPr>
                  </w:pPr>
                  <w:r>
                    <w:rPr>
                      <w:rFonts w:hint="eastAsia"/>
                      <w:color w:val="auto"/>
                      <w:highlight w:val="none"/>
                    </w:rPr>
                    <w:t>1m</w:t>
                  </w:r>
                </w:p>
              </w:tc>
            </w:tr>
            <w:bookmarkEnd w:id="1"/>
            <w:bookmarkEnd w:id="2"/>
          </w:tbl>
          <w:p w14:paraId="427A0BA0">
            <w:pPr>
              <w:pStyle w:val="13"/>
              <w:jc w:val="left"/>
              <w:rPr>
                <w:color w:val="auto"/>
                <w:highlight w:val="none"/>
              </w:rPr>
            </w:pPr>
            <w:r>
              <w:rPr>
                <w:color w:val="auto"/>
                <w:highlight w:val="none"/>
              </w:rPr>
              <w:t>注：建筑隔声量参考《环境工程手册 环境噪声控制卷》。</w:t>
            </w:r>
          </w:p>
          <w:p w14:paraId="5F1CC5DA">
            <w:pPr>
              <w:pStyle w:val="13"/>
              <w:jc w:val="left"/>
              <w:rPr>
                <w:color w:val="auto"/>
                <w:highlight w:val="none"/>
              </w:rPr>
            </w:pPr>
          </w:p>
        </w:tc>
      </w:tr>
    </w:tbl>
    <w:p w14:paraId="225D28F2">
      <w:pPr>
        <w:ind w:firstLine="480"/>
        <w:rPr>
          <w:color w:val="auto"/>
          <w:highlight w:val="none"/>
        </w:rPr>
        <w:sectPr>
          <w:pgSz w:w="16838" w:h="11906" w:orient="landscape"/>
          <w:pgMar w:top="1134" w:right="1134" w:bottom="1247" w:left="1247" w:header="851" w:footer="850" w:gutter="0"/>
          <w:cols w:space="425" w:num="1"/>
          <w:docGrid w:type="lines" w:linePitch="312" w:charSpace="0"/>
        </w:sectPr>
      </w:pPr>
    </w:p>
    <w:tbl>
      <w:tblPr>
        <w:tblStyle w:val="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9280"/>
      </w:tblGrid>
      <w:tr w14:paraId="2CEAD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4" w:type="pct"/>
          </w:tcPr>
          <w:p w14:paraId="6AF87F16">
            <w:pPr>
              <w:ind w:firstLine="0" w:firstLineChars="0"/>
              <w:rPr>
                <w:color w:val="auto"/>
                <w:highlight w:val="none"/>
              </w:rPr>
            </w:pPr>
            <w:r>
              <w:rPr>
                <w:rFonts w:hint="eastAsia"/>
                <w:b/>
                <w:bCs/>
                <w:color w:val="auto"/>
                <w:highlight w:val="none"/>
              </w:rPr>
              <w:t>运营期环境影响和保护措施</w:t>
            </w:r>
          </w:p>
        </w:tc>
        <w:tc>
          <w:tcPr>
            <w:tcW w:w="4765" w:type="pct"/>
          </w:tcPr>
          <w:p w14:paraId="5A307184">
            <w:pPr>
              <w:pStyle w:val="3"/>
              <w:ind w:firstLine="482"/>
              <w:rPr>
                <w:color w:val="auto"/>
                <w:highlight w:val="none"/>
              </w:rPr>
            </w:pPr>
            <w:r>
              <w:rPr>
                <w:color w:val="auto"/>
                <w:highlight w:val="none"/>
              </w:rPr>
              <w:t>（</w:t>
            </w:r>
            <w:r>
              <w:rPr>
                <w:rFonts w:hint="eastAsia"/>
                <w:color w:val="auto"/>
                <w:highlight w:val="none"/>
              </w:rPr>
              <w:t>2</w:t>
            </w:r>
            <w:r>
              <w:rPr>
                <w:color w:val="auto"/>
                <w:highlight w:val="none"/>
              </w:rPr>
              <w:t>）预测模型</w:t>
            </w:r>
          </w:p>
          <w:p w14:paraId="0F7FBEFB">
            <w:pPr>
              <w:ind w:firstLine="480"/>
              <w:rPr>
                <w:color w:val="auto"/>
                <w:highlight w:val="none"/>
              </w:rPr>
            </w:pPr>
            <w:r>
              <w:rPr>
                <w:color w:val="auto"/>
                <w:highlight w:val="none"/>
              </w:rPr>
              <w:t>确定各噪声源位置，并测量各噪声源到预测点的距离，将各噪声源视为半自由状态噪声源，按声能量在空气传播中衰减模式可计算出某噪声源在预测点的声压级，预测模式如下：</w:t>
            </w:r>
          </w:p>
          <w:p w14:paraId="32CE577C">
            <w:pPr>
              <w:pStyle w:val="4"/>
              <w:ind w:firstLine="482"/>
              <w:rPr>
                <w:color w:val="auto"/>
                <w:highlight w:val="none"/>
              </w:rPr>
            </w:pPr>
            <w:r>
              <w:rPr>
                <w:rFonts w:hint="eastAsia"/>
                <w:color w:val="auto"/>
                <w:highlight w:val="none"/>
              </w:rPr>
              <w:t>①</w:t>
            </w:r>
            <w:r>
              <w:rPr>
                <w:color w:val="auto"/>
                <w:highlight w:val="none"/>
              </w:rPr>
              <w:t>室外噪声源</w:t>
            </w:r>
          </w:p>
          <w:p w14:paraId="30FF01A5">
            <w:pPr>
              <w:ind w:firstLine="480"/>
              <w:rPr>
                <w:color w:val="auto"/>
                <w:highlight w:val="none"/>
              </w:rPr>
            </w:pPr>
            <w:r>
              <w:rPr>
                <w:color w:val="auto"/>
                <w:highlight w:val="none"/>
              </w:rPr>
              <w:t>计算某个声源在预测点的倍频带声压级：</w:t>
            </w:r>
          </w:p>
          <w:p w14:paraId="41EEE95D">
            <w:pPr>
              <w:pStyle w:val="13"/>
              <w:rPr>
                <w:color w:val="auto"/>
                <w:highlight w:val="none"/>
              </w:rPr>
            </w:pPr>
            <w:r>
              <w:rPr>
                <w:color w:val="auto"/>
                <w:highlight w:val="none"/>
              </w:rPr>
              <w:drawing>
                <wp:inline distT="0" distB="0" distL="114300" distR="114300">
                  <wp:extent cx="2781935" cy="709295"/>
                  <wp:effectExtent l="0" t="0" r="18415" b="14605"/>
                  <wp:docPr id="1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pic:cNvPicPr>
                            <a:picLocks noChangeAspect="1"/>
                          </pic:cNvPicPr>
                        </pic:nvPicPr>
                        <pic:blipFill>
                          <a:blip r:embed="rId30"/>
                          <a:stretch>
                            <a:fillRect/>
                          </a:stretch>
                        </pic:blipFill>
                        <pic:spPr>
                          <a:xfrm>
                            <a:off x="0" y="0"/>
                            <a:ext cx="2781935" cy="709295"/>
                          </a:xfrm>
                          <a:prstGeom prst="rect">
                            <a:avLst/>
                          </a:prstGeom>
                          <a:noFill/>
                          <a:ln>
                            <a:noFill/>
                          </a:ln>
                        </pic:spPr>
                      </pic:pic>
                    </a:graphicData>
                  </a:graphic>
                </wp:inline>
              </w:drawing>
            </w:r>
          </w:p>
          <w:p w14:paraId="057B6723">
            <w:pPr>
              <w:ind w:firstLine="480"/>
              <w:rPr>
                <w:color w:val="auto"/>
                <w:highlight w:val="none"/>
              </w:rPr>
            </w:pPr>
            <w:r>
              <w:rPr>
                <w:color w:val="auto"/>
                <w:highlight w:val="none"/>
              </w:rPr>
              <w:t>式中：</w:t>
            </w:r>
          </w:p>
          <w:p w14:paraId="6A304EBA">
            <w:pPr>
              <w:ind w:firstLine="480"/>
              <w:rPr>
                <w:color w:val="auto"/>
                <w:highlight w:val="none"/>
              </w:rPr>
            </w:pPr>
            <w:r>
              <w:rPr>
                <w:color w:val="auto"/>
                <w:highlight w:val="none"/>
              </w:rPr>
              <w:t>L</w:t>
            </w:r>
            <w:r>
              <w:rPr>
                <w:color w:val="auto"/>
                <w:highlight w:val="none"/>
                <w:vertAlign w:val="subscript"/>
              </w:rPr>
              <w:t>oct</w:t>
            </w:r>
            <w:r>
              <w:rPr>
                <w:rFonts w:hint="eastAsia"/>
                <w:color w:val="auto"/>
                <w:highlight w:val="none"/>
              </w:rPr>
              <w:t>（</w:t>
            </w:r>
            <w:r>
              <w:rPr>
                <w:color w:val="auto"/>
                <w:highlight w:val="none"/>
              </w:rPr>
              <w:t>r</w:t>
            </w:r>
            <w:r>
              <w:rPr>
                <w:rFonts w:hint="eastAsia"/>
                <w:color w:val="auto"/>
                <w:highlight w:val="none"/>
              </w:rPr>
              <w:t>）</w:t>
            </w:r>
            <w:r>
              <w:rPr>
                <w:color w:val="auto"/>
                <w:highlight w:val="none"/>
              </w:rPr>
              <w:t>——点声源在预测点产生的倍频带声压级；</w:t>
            </w:r>
          </w:p>
          <w:p w14:paraId="5A492B6E">
            <w:pPr>
              <w:ind w:firstLine="480"/>
              <w:rPr>
                <w:color w:val="auto"/>
                <w:highlight w:val="none"/>
              </w:rPr>
            </w:pPr>
            <w:r>
              <w:rPr>
                <w:color w:val="auto"/>
                <w:highlight w:val="none"/>
              </w:rPr>
              <w:t>L</w:t>
            </w:r>
            <w:r>
              <w:rPr>
                <w:color w:val="auto"/>
                <w:highlight w:val="none"/>
                <w:vertAlign w:val="subscript"/>
              </w:rPr>
              <w:t>oct</w:t>
            </w:r>
            <w:r>
              <w:rPr>
                <w:rFonts w:hint="eastAsia"/>
                <w:color w:val="auto"/>
                <w:highlight w:val="none"/>
              </w:rPr>
              <w:t>（</w:t>
            </w:r>
            <w:r>
              <w:rPr>
                <w:color w:val="auto"/>
                <w:highlight w:val="none"/>
              </w:rPr>
              <w:t>r</w:t>
            </w:r>
            <w:r>
              <w:rPr>
                <w:color w:val="auto"/>
                <w:highlight w:val="none"/>
                <w:vertAlign w:val="subscript"/>
              </w:rPr>
              <w:t>0</w:t>
            </w:r>
            <w:r>
              <w:rPr>
                <w:rFonts w:hint="eastAsia"/>
                <w:color w:val="auto"/>
                <w:highlight w:val="none"/>
              </w:rPr>
              <w:t>）</w:t>
            </w:r>
            <w:r>
              <w:rPr>
                <w:color w:val="auto"/>
                <w:highlight w:val="none"/>
              </w:rPr>
              <w:t>——参考位置r</w:t>
            </w:r>
            <w:r>
              <w:rPr>
                <w:color w:val="auto"/>
                <w:highlight w:val="none"/>
                <w:vertAlign w:val="subscript"/>
              </w:rPr>
              <w:t>0</w:t>
            </w:r>
            <w:r>
              <w:rPr>
                <w:color w:val="auto"/>
                <w:highlight w:val="none"/>
              </w:rPr>
              <w:t>处的倍频带声压级；</w:t>
            </w:r>
          </w:p>
          <w:p w14:paraId="44141073">
            <w:pPr>
              <w:ind w:firstLine="480"/>
              <w:rPr>
                <w:color w:val="auto"/>
                <w:highlight w:val="none"/>
              </w:rPr>
            </w:pPr>
            <w:r>
              <w:rPr>
                <w:color w:val="auto"/>
                <w:highlight w:val="none"/>
              </w:rPr>
              <w:t>r——预测点距声源的距离，m；</w:t>
            </w:r>
          </w:p>
          <w:p w14:paraId="50C7DE6C">
            <w:pPr>
              <w:ind w:firstLine="480"/>
              <w:rPr>
                <w:color w:val="auto"/>
                <w:highlight w:val="none"/>
              </w:rPr>
            </w:pPr>
            <w:r>
              <w:rPr>
                <w:color w:val="auto"/>
                <w:highlight w:val="none"/>
              </w:rPr>
              <w:t>r</w:t>
            </w:r>
            <w:r>
              <w:rPr>
                <w:color w:val="auto"/>
                <w:highlight w:val="none"/>
                <w:vertAlign w:val="subscript"/>
              </w:rPr>
              <w:t>0</w:t>
            </w:r>
            <w:r>
              <w:rPr>
                <w:color w:val="auto"/>
                <w:highlight w:val="none"/>
              </w:rPr>
              <w:t>——参考位置距声源的距离，m；</w:t>
            </w:r>
          </w:p>
          <w:p w14:paraId="1EACBC7D">
            <w:pPr>
              <w:ind w:firstLine="480"/>
              <w:rPr>
                <w:color w:val="auto"/>
                <w:highlight w:val="none"/>
              </w:rPr>
            </w:pPr>
            <w:r>
              <w:rPr>
                <w:color w:val="auto"/>
                <w:highlight w:val="none"/>
              </w:rPr>
              <w:t>ΔL</w:t>
            </w:r>
            <w:r>
              <w:rPr>
                <w:color w:val="auto"/>
                <w:highlight w:val="none"/>
                <w:vertAlign w:val="subscript"/>
              </w:rPr>
              <w:t>oct</w:t>
            </w:r>
            <w:r>
              <w:rPr>
                <w:color w:val="auto"/>
                <w:highlight w:val="none"/>
              </w:rPr>
              <w:t>—各种因素衰减量（包括声屏障、遮挡物、空气吸收、地面效应等衰减量）。</w:t>
            </w:r>
          </w:p>
          <w:p w14:paraId="63C7C66C">
            <w:pPr>
              <w:ind w:firstLine="480"/>
              <w:rPr>
                <w:color w:val="auto"/>
                <w:highlight w:val="none"/>
              </w:rPr>
            </w:pPr>
            <w:r>
              <w:rPr>
                <w:color w:val="auto"/>
                <w:highlight w:val="none"/>
              </w:rPr>
              <w:t>如果已知声源的倍频带声功率级L</w:t>
            </w:r>
            <w:r>
              <w:rPr>
                <w:color w:val="auto"/>
                <w:highlight w:val="none"/>
                <w:vertAlign w:val="subscript"/>
              </w:rPr>
              <w:t>woc</w:t>
            </w:r>
            <w:r>
              <w:rPr>
                <w:color w:val="auto"/>
                <w:highlight w:val="none"/>
              </w:rPr>
              <w:t>t，且声源可看作是位于地面上的，则由各倍频带声压级合成计算出该声源产生的声级LA。</w:t>
            </w:r>
          </w:p>
          <w:p w14:paraId="02141439">
            <w:pPr>
              <w:pStyle w:val="13"/>
              <w:rPr>
                <w:color w:val="auto"/>
                <w:highlight w:val="none"/>
              </w:rPr>
            </w:pPr>
            <w:r>
              <w:rPr>
                <w:color w:val="auto"/>
                <w:highlight w:val="none"/>
              </w:rPr>
              <w:drawing>
                <wp:inline distT="0" distB="0" distL="114300" distR="114300">
                  <wp:extent cx="2520315" cy="633095"/>
                  <wp:effectExtent l="0" t="0" r="13335" b="14605"/>
                  <wp:docPr id="1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pic:cNvPicPr>
                            <a:picLocks noChangeAspect="1"/>
                          </pic:cNvPicPr>
                        </pic:nvPicPr>
                        <pic:blipFill>
                          <a:blip r:embed="rId31"/>
                          <a:stretch>
                            <a:fillRect/>
                          </a:stretch>
                        </pic:blipFill>
                        <pic:spPr>
                          <a:xfrm>
                            <a:off x="0" y="0"/>
                            <a:ext cx="2520315" cy="633095"/>
                          </a:xfrm>
                          <a:prstGeom prst="rect">
                            <a:avLst/>
                          </a:prstGeom>
                          <a:noFill/>
                          <a:ln>
                            <a:noFill/>
                          </a:ln>
                        </pic:spPr>
                      </pic:pic>
                    </a:graphicData>
                  </a:graphic>
                </wp:inline>
              </w:drawing>
            </w:r>
          </w:p>
          <w:p w14:paraId="57589344">
            <w:pPr>
              <w:pStyle w:val="4"/>
              <w:ind w:firstLine="482"/>
              <w:rPr>
                <w:color w:val="auto"/>
                <w:highlight w:val="none"/>
              </w:rPr>
            </w:pPr>
            <w:r>
              <w:rPr>
                <w:rFonts w:hint="eastAsia"/>
                <w:color w:val="auto"/>
                <w:highlight w:val="none"/>
              </w:rPr>
              <w:t>②</w:t>
            </w:r>
            <w:r>
              <w:rPr>
                <w:color w:val="auto"/>
                <w:highlight w:val="none"/>
              </w:rPr>
              <w:t>室内声源</w:t>
            </w:r>
          </w:p>
          <w:p w14:paraId="7C167942">
            <w:pPr>
              <w:ind w:firstLine="480"/>
              <w:rPr>
                <w:color w:val="auto"/>
                <w:highlight w:val="none"/>
              </w:rPr>
            </w:pPr>
            <w:r>
              <w:rPr>
                <w:color w:val="auto"/>
                <w:highlight w:val="none"/>
              </w:rPr>
              <w:t>设靠近开口处（或窗户）室内、室外某倍频带的声压级分别为L</w:t>
            </w:r>
            <w:r>
              <w:rPr>
                <w:color w:val="auto"/>
                <w:highlight w:val="none"/>
                <w:vertAlign w:val="subscript"/>
              </w:rPr>
              <w:t>p1</w:t>
            </w:r>
            <w:r>
              <w:rPr>
                <w:color w:val="auto"/>
                <w:highlight w:val="none"/>
              </w:rPr>
              <w:t>和L</w:t>
            </w:r>
            <w:r>
              <w:rPr>
                <w:color w:val="auto"/>
                <w:highlight w:val="none"/>
                <w:vertAlign w:val="subscript"/>
              </w:rPr>
              <w:t>p2</w:t>
            </w:r>
            <w:r>
              <w:rPr>
                <w:color w:val="auto"/>
                <w:highlight w:val="none"/>
              </w:rPr>
              <w:t>。若声源所在室内声场为近似扩散声场，则室外的倍频带声压级可按下式近似求出：</w:t>
            </w:r>
          </w:p>
          <w:p w14:paraId="0536DCDB">
            <w:pPr>
              <w:pStyle w:val="13"/>
              <w:rPr>
                <w:color w:val="auto"/>
                <w:highlight w:val="none"/>
              </w:rPr>
            </w:pPr>
            <w:r>
              <w:rPr>
                <w:color w:val="auto"/>
                <w:highlight w:val="none"/>
              </w:rPr>
              <w:drawing>
                <wp:inline distT="0" distB="0" distL="114300" distR="114300">
                  <wp:extent cx="1992630" cy="481965"/>
                  <wp:effectExtent l="0" t="0" r="7620" b="13335"/>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pic:cNvPicPr>
                            <a:picLocks noChangeAspect="1"/>
                          </pic:cNvPicPr>
                        </pic:nvPicPr>
                        <pic:blipFill>
                          <a:blip r:embed="rId32"/>
                          <a:stretch>
                            <a:fillRect/>
                          </a:stretch>
                        </pic:blipFill>
                        <pic:spPr>
                          <a:xfrm>
                            <a:off x="0" y="0"/>
                            <a:ext cx="1992630" cy="481965"/>
                          </a:xfrm>
                          <a:prstGeom prst="rect">
                            <a:avLst/>
                          </a:prstGeom>
                          <a:noFill/>
                          <a:ln>
                            <a:noFill/>
                          </a:ln>
                        </pic:spPr>
                      </pic:pic>
                    </a:graphicData>
                  </a:graphic>
                </wp:inline>
              </w:drawing>
            </w:r>
          </w:p>
          <w:p w14:paraId="24C3650C">
            <w:pPr>
              <w:ind w:firstLine="480"/>
              <w:rPr>
                <w:color w:val="auto"/>
                <w:highlight w:val="none"/>
              </w:rPr>
            </w:pPr>
            <w:r>
              <w:rPr>
                <w:color w:val="auto"/>
                <w:highlight w:val="none"/>
              </w:rPr>
              <w:t>式中：</w:t>
            </w:r>
          </w:p>
          <w:p w14:paraId="77084CA1">
            <w:pPr>
              <w:ind w:firstLine="480"/>
              <w:rPr>
                <w:color w:val="auto"/>
                <w:highlight w:val="none"/>
              </w:rPr>
            </w:pPr>
            <w:r>
              <w:rPr>
                <w:color w:val="auto"/>
                <w:highlight w:val="none"/>
              </w:rPr>
              <w:t>TL——隔墙（或窗户）倍频带的隔声量，dB</w:t>
            </w:r>
            <w:r>
              <w:rPr>
                <w:rFonts w:hint="eastAsia"/>
                <w:color w:val="auto"/>
                <w:highlight w:val="none"/>
              </w:rPr>
              <w:t>（</w:t>
            </w:r>
            <w:r>
              <w:rPr>
                <w:color w:val="auto"/>
                <w:highlight w:val="none"/>
              </w:rPr>
              <w:t>A</w:t>
            </w:r>
            <w:r>
              <w:rPr>
                <w:rFonts w:hint="eastAsia"/>
                <w:color w:val="auto"/>
                <w:highlight w:val="none"/>
              </w:rPr>
              <w:t>）</w:t>
            </w:r>
            <w:r>
              <w:rPr>
                <w:color w:val="auto"/>
                <w:highlight w:val="none"/>
              </w:rPr>
              <w:t>。</w:t>
            </w:r>
          </w:p>
          <w:p w14:paraId="1470C370">
            <w:pPr>
              <w:pStyle w:val="13"/>
              <w:rPr>
                <w:color w:val="auto"/>
                <w:highlight w:val="none"/>
              </w:rPr>
            </w:pPr>
            <w:r>
              <w:rPr>
                <w:color w:val="auto"/>
                <w:highlight w:val="none"/>
              </w:rPr>
              <w:drawing>
                <wp:inline distT="0" distB="0" distL="114300" distR="114300">
                  <wp:extent cx="3959860" cy="949325"/>
                  <wp:effectExtent l="0" t="0" r="2540" b="3175"/>
                  <wp:docPr id="1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7"/>
                          <pic:cNvPicPr>
                            <a:picLocks noChangeAspect="1"/>
                          </pic:cNvPicPr>
                        </pic:nvPicPr>
                        <pic:blipFill>
                          <a:blip r:embed="rId33"/>
                          <a:stretch>
                            <a:fillRect/>
                          </a:stretch>
                        </pic:blipFill>
                        <pic:spPr>
                          <a:xfrm>
                            <a:off x="0" y="0"/>
                            <a:ext cx="3959860" cy="949325"/>
                          </a:xfrm>
                          <a:prstGeom prst="rect">
                            <a:avLst/>
                          </a:prstGeom>
                          <a:noFill/>
                          <a:ln>
                            <a:noFill/>
                          </a:ln>
                        </pic:spPr>
                      </pic:pic>
                    </a:graphicData>
                  </a:graphic>
                </wp:inline>
              </w:drawing>
            </w:r>
          </w:p>
          <w:p w14:paraId="45065869">
            <w:pPr>
              <w:pStyle w:val="15"/>
              <w:spacing w:after="156"/>
              <w:rPr>
                <w:color w:val="auto"/>
                <w:highlight w:val="none"/>
              </w:rPr>
            </w:pPr>
            <w:r>
              <w:rPr>
                <w:color w:val="auto"/>
                <w:highlight w:val="none"/>
              </w:rPr>
              <w:t>图4-</w:t>
            </w:r>
            <w:r>
              <w:rPr>
                <w:rFonts w:hint="eastAsia"/>
                <w:color w:val="auto"/>
                <w:highlight w:val="none"/>
                <w:lang w:val="en-US" w:eastAsia="zh-CN"/>
              </w:rPr>
              <w:t>2</w:t>
            </w:r>
            <w:r>
              <w:rPr>
                <w:color w:val="auto"/>
                <w:highlight w:val="none"/>
              </w:rPr>
              <w:t xml:space="preserve">  室内声源等效为室外声源图例</w:t>
            </w:r>
          </w:p>
          <w:p w14:paraId="1F7A7AE1">
            <w:pPr>
              <w:ind w:firstLine="480"/>
              <w:rPr>
                <w:color w:val="auto"/>
                <w:highlight w:val="none"/>
              </w:rPr>
            </w:pPr>
            <w:r>
              <w:rPr>
                <w:color w:val="auto"/>
                <w:highlight w:val="none"/>
              </w:rPr>
              <w:t>也可按下式计算某一室内声源靠近围护结构处产生的倍频带声压级：</w:t>
            </w:r>
          </w:p>
          <w:p w14:paraId="38C8CF33">
            <w:pPr>
              <w:pStyle w:val="13"/>
              <w:rPr>
                <w:color w:val="auto"/>
                <w:highlight w:val="none"/>
              </w:rPr>
            </w:pPr>
            <w:r>
              <w:rPr>
                <w:color w:val="auto"/>
                <w:highlight w:val="none"/>
              </w:rPr>
              <w:drawing>
                <wp:inline distT="0" distB="0" distL="114300" distR="114300">
                  <wp:extent cx="2736850" cy="673100"/>
                  <wp:effectExtent l="0" t="0" r="6350" b="12700"/>
                  <wp:docPr id="2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8"/>
                          <pic:cNvPicPr>
                            <a:picLocks noChangeAspect="1"/>
                          </pic:cNvPicPr>
                        </pic:nvPicPr>
                        <pic:blipFill>
                          <a:blip r:embed="rId34"/>
                          <a:stretch>
                            <a:fillRect/>
                          </a:stretch>
                        </pic:blipFill>
                        <pic:spPr>
                          <a:xfrm>
                            <a:off x="0" y="0"/>
                            <a:ext cx="2736850" cy="673100"/>
                          </a:xfrm>
                          <a:prstGeom prst="rect">
                            <a:avLst/>
                          </a:prstGeom>
                          <a:noFill/>
                          <a:ln>
                            <a:noFill/>
                          </a:ln>
                        </pic:spPr>
                      </pic:pic>
                    </a:graphicData>
                  </a:graphic>
                </wp:inline>
              </w:drawing>
            </w:r>
          </w:p>
          <w:p w14:paraId="0AC1999E">
            <w:pPr>
              <w:ind w:firstLine="480"/>
              <w:rPr>
                <w:color w:val="auto"/>
                <w:highlight w:val="none"/>
              </w:rPr>
            </w:pPr>
            <w:r>
              <w:rPr>
                <w:color w:val="auto"/>
                <w:highlight w:val="none"/>
              </w:rPr>
              <w:t>式中：</w:t>
            </w:r>
          </w:p>
          <w:p w14:paraId="402EFDD1">
            <w:pPr>
              <w:ind w:firstLine="480"/>
              <w:rPr>
                <w:color w:val="auto"/>
                <w:highlight w:val="none"/>
              </w:rPr>
            </w:pPr>
            <w:r>
              <w:rPr>
                <w:color w:val="auto"/>
                <w:highlight w:val="none"/>
              </w:rPr>
              <w:t>Q——指向性因数，通常对无指向性声源，当声源放在房间中心时，Q=1；当放在一面墙的中心时，Q=2；当放在两面墙夹角处时，Q=4；当放在三面墙夹角处时，Q=8；</w:t>
            </w:r>
          </w:p>
          <w:p w14:paraId="65CC1656">
            <w:pPr>
              <w:ind w:firstLine="480"/>
              <w:rPr>
                <w:color w:val="auto"/>
                <w:highlight w:val="none"/>
              </w:rPr>
            </w:pPr>
            <w:r>
              <w:rPr>
                <w:color w:val="auto"/>
                <w:highlight w:val="none"/>
              </w:rPr>
              <w:t>R——房间常数，R=Sa/</w:t>
            </w:r>
            <w:r>
              <w:rPr>
                <w:rFonts w:hint="eastAsia"/>
                <w:color w:val="auto"/>
                <w:highlight w:val="none"/>
              </w:rPr>
              <w:t>（</w:t>
            </w:r>
            <w:r>
              <w:rPr>
                <w:color w:val="auto"/>
                <w:highlight w:val="none"/>
              </w:rPr>
              <w:t>1-α</w:t>
            </w:r>
            <w:r>
              <w:rPr>
                <w:rFonts w:hint="eastAsia"/>
                <w:color w:val="auto"/>
                <w:highlight w:val="none"/>
              </w:rPr>
              <w:t>）</w:t>
            </w:r>
            <w:r>
              <w:rPr>
                <w:color w:val="auto"/>
                <w:highlight w:val="none"/>
              </w:rPr>
              <w:t>，S为房间内表面面积，</w:t>
            </w:r>
            <w:r>
              <w:rPr>
                <w:rFonts w:cs="Times New Roman"/>
                <w:color w:val="auto"/>
                <w:highlight w:val="none"/>
              </w:rPr>
              <w:t>m²</w:t>
            </w:r>
            <w:r>
              <w:rPr>
                <w:color w:val="auto"/>
                <w:highlight w:val="none"/>
              </w:rPr>
              <w:t>，α为平均吸声系数；</w:t>
            </w:r>
          </w:p>
          <w:p w14:paraId="6181D228">
            <w:pPr>
              <w:ind w:firstLine="480"/>
              <w:rPr>
                <w:color w:val="auto"/>
                <w:highlight w:val="none"/>
              </w:rPr>
            </w:pPr>
            <w:r>
              <w:rPr>
                <w:color w:val="auto"/>
                <w:highlight w:val="none"/>
              </w:rPr>
              <w:t>r——声源到靠近围护结构某点处的距离，m。</w:t>
            </w:r>
          </w:p>
          <w:p w14:paraId="4C683E78">
            <w:pPr>
              <w:ind w:firstLine="480"/>
              <w:rPr>
                <w:color w:val="auto"/>
                <w:highlight w:val="none"/>
              </w:rPr>
            </w:pPr>
            <w:r>
              <w:rPr>
                <w:color w:val="auto"/>
                <w:highlight w:val="none"/>
              </w:rPr>
              <w:t>然后按下式计算出所有室内声源在围护结构处产生的i倍频带叠加声压级：</w:t>
            </w:r>
          </w:p>
          <w:p w14:paraId="563157AF">
            <w:pPr>
              <w:pStyle w:val="13"/>
              <w:rPr>
                <w:color w:val="auto"/>
                <w:highlight w:val="none"/>
              </w:rPr>
            </w:pPr>
            <w:r>
              <w:rPr>
                <w:color w:val="auto"/>
                <w:highlight w:val="none"/>
              </w:rPr>
              <w:drawing>
                <wp:inline distT="0" distB="0" distL="114300" distR="114300">
                  <wp:extent cx="2388235" cy="697230"/>
                  <wp:effectExtent l="0" t="0" r="12065" b="7620"/>
                  <wp:docPr id="2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9"/>
                          <pic:cNvPicPr>
                            <a:picLocks noChangeAspect="1"/>
                          </pic:cNvPicPr>
                        </pic:nvPicPr>
                        <pic:blipFill>
                          <a:blip r:embed="rId35"/>
                          <a:stretch>
                            <a:fillRect/>
                          </a:stretch>
                        </pic:blipFill>
                        <pic:spPr>
                          <a:xfrm>
                            <a:off x="0" y="0"/>
                            <a:ext cx="2388235" cy="697230"/>
                          </a:xfrm>
                          <a:prstGeom prst="rect">
                            <a:avLst/>
                          </a:prstGeom>
                          <a:noFill/>
                          <a:ln>
                            <a:noFill/>
                          </a:ln>
                        </pic:spPr>
                      </pic:pic>
                    </a:graphicData>
                  </a:graphic>
                </wp:inline>
              </w:drawing>
            </w:r>
          </w:p>
          <w:p w14:paraId="3DFDC976">
            <w:pPr>
              <w:ind w:firstLine="480"/>
              <w:rPr>
                <w:color w:val="auto"/>
                <w:highlight w:val="none"/>
              </w:rPr>
            </w:pPr>
            <w:r>
              <w:rPr>
                <w:color w:val="auto"/>
                <w:highlight w:val="none"/>
              </w:rPr>
              <w:t>式中：</w:t>
            </w:r>
          </w:p>
          <w:p w14:paraId="4C269B7E">
            <w:pPr>
              <w:ind w:firstLine="480"/>
              <w:rPr>
                <w:color w:val="auto"/>
                <w:highlight w:val="none"/>
              </w:rPr>
            </w:pPr>
            <w:r>
              <w:rPr>
                <w:color w:val="auto"/>
                <w:highlight w:val="none"/>
              </w:rPr>
              <w:t>L</w:t>
            </w:r>
            <w:r>
              <w:rPr>
                <w:color w:val="auto"/>
                <w:highlight w:val="none"/>
                <w:vertAlign w:val="subscript"/>
              </w:rPr>
              <w:t>pli</w:t>
            </w:r>
            <w:r>
              <w:rPr>
                <w:rFonts w:hint="eastAsia"/>
                <w:color w:val="auto"/>
                <w:highlight w:val="none"/>
              </w:rPr>
              <w:t>（</w:t>
            </w:r>
            <w:r>
              <w:rPr>
                <w:color w:val="auto"/>
                <w:highlight w:val="none"/>
              </w:rPr>
              <w:t>T</w:t>
            </w:r>
            <w:r>
              <w:rPr>
                <w:rFonts w:hint="eastAsia"/>
                <w:color w:val="auto"/>
                <w:highlight w:val="none"/>
              </w:rPr>
              <w:t>）</w:t>
            </w:r>
            <w:r>
              <w:rPr>
                <w:color w:val="auto"/>
                <w:highlight w:val="none"/>
              </w:rPr>
              <w:t>——靠近围护结构处室内N个声源i倍频带的叠加声压级，dB；</w:t>
            </w:r>
          </w:p>
          <w:p w14:paraId="002812A2">
            <w:pPr>
              <w:ind w:firstLine="480"/>
              <w:rPr>
                <w:color w:val="auto"/>
                <w:highlight w:val="none"/>
              </w:rPr>
            </w:pPr>
            <w:r>
              <w:rPr>
                <w:color w:val="auto"/>
                <w:highlight w:val="none"/>
              </w:rPr>
              <w:t>L</w:t>
            </w:r>
            <w:r>
              <w:rPr>
                <w:color w:val="auto"/>
                <w:highlight w:val="none"/>
                <w:vertAlign w:val="subscript"/>
              </w:rPr>
              <w:t>plij</w:t>
            </w:r>
            <w:r>
              <w:rPr>
                <w:color w:val="auto"/>
                <w:highlight w:val="none"/>
              </w:rPr>
              <w:t>——室内j声源i倍频带的声压级，dB；</w:t>
            </w:r>
          </w:p>
          <w:p w14:paraId="1C5F8CDF">
            <w:pPr>
              <w:ind w:firstLine="480"/>
              <w:rPr>
                <w:color w:val="auto"/>
                <w:highlight w:val="none"/>
              </w:rPr>
            </w:pPr>
            <w:r>
              <w:rPr>
                <w:color w:val="auto"/>
                <w:highlight w:val="none"/>
              </w:rPr>
              <w:t>N——室内声源总数。</w:t>
            </w:r>
          </w:p>
          <w:p w14:paraId="18AC0D73">
            <w:pPr>
              <w:ind w:firstLine="480"/>
              <w:rPr>
                <w:color w:val="auto"/>
                <w:highlight w:val="none"/>
              </w:rPr>
            </w:pPr>
            <w:r>
              <w:rPr>
                <w:color w:val="auto"/>
                <w:highlight w:val="none"/>
              </w:rPr>
              <w:t>在室内近似为扩散声场时，按下式计算出靠近室外围护结构处的声压级：</w:t>
            </w:r>
          </w:p>
          <w:p w14:paraId="1B8CACC0">
            <w:pPr>
              <w:pStyle w:val="13"/>
              <w:rPr>
                <w:color w:val="auto"/>
                <w:highlight w:val="none"/>
              </w:rPr>
            </w:pPr>
            <w:r>
              <w:rPr>
                <w:color w:val="auto"/>
                <w:highlight w:val="none"/>
              </w:rPr>
              <w:drawing>
                <wp:inline distT="0" distB="0" distL="114300" distR="114300">
                  <wp:extent cx="2492375" cy="467995"/>
                  <wp:effectExtent l="0" t="0" r="3175" b="8255"/>
                  <wp:docPr id="2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0"/>
                          <pic:cNvPicPr>
                            <a:picLocks noChangeAspect="1"/>
                          </pic:cNvPicPr>
                        </pic:nvPicPr>
                        <pic:blipFill>
                          <a:blip r:embed="rId36"/>
                          <a:srcRect t="9285"/>
                          <a:stretch>
                            <a:fillRect/>
                          </a:stretch>
                        </pic:blipFill>
                        <pic:spPr>
                          <a:xfrm>
                            <a:off x="0" y="0"/>
                            <a:ext cx="2492375" cy="467995"/>
                          </a:xfrm>
                          <a:prstGeom prst="rect">
                            <a:avLst/>
                          </a:prstGeom>
                          <a:noFill/>
                          <a:ln>
                            <a:noFill/>
                          </a:ln>
                        </pic:spPr>
                      </pic:pic>
                    </a:graphicData>
                  </a:graphic>
                </wp:inline>
              </w:drawing>
            </w:r>
          </w:p>
          <w:p w14:paraId="7ECC0F86">
            <w:pPr>
              <w:ind w:firstLine="480"/>
              <w:rPr>
                <w:color w:val="auto"/>
                <w:highlight w:val="none"/>
              </w:rPr>
            </w:pPr>
            <w:r>
              <w:rPr>
                <w:color w:val="auto"/>
                <w:highlight w:val="none"/>
              </w:rPr>
              <w:t>式中：</w:t>
            </w:r>
          </w:p>
          <w:p w14:paraId="757C7659">
            <w:pPr>
              <w:ind w:firstLine="480"/>
              <w:rPr>
                <w:color w:val="auto"/>
                <w:highlight w:val="none"/>
              </w:rPr>
            </w:pPr>
            <w:r>
              <w:rPr>
                <w:color w:val="auto"/>
                <w:highlight w:val="none"/>
              </w:rPr>
              <w:t>L</w:t>
            </w:r>
            <w:r>
              <w:rPr>
                <w:color w:val="auto"/>
                <w:highlight w:val="none"/>
                <w:vertAlign w:val="subscript"/>
              </w:rPr>
              <w:t>p2i</w:t>
            </w:r>
            <w:r>
              <w:rPr>
                <w:rFonts w:hint="eastAsia"/>
                <w:color w:val="auto"/>
                <w:highlight w:val="none"/>
              </w:rPr>
              <w:t>（</w:t>
            </w:r>
            <w:r>
              <w:rPr>
                <w:color w:val="auto"/>
                <w:highlight w:val="none"/>
              </w:rPr>
              <w:t>T</w:t>
            </w:r>
            <w:r>
              <w:rPr>
                <w:rFonts w:hint="eastAsia"/>
                <w:color w:val="auto"/>
                <w:highlight w:val="none"/>
              </w:rPr>
              <w:t>）</w:t>
            </w:r>
            <w:r>
              <w:rPr>
                <w:color w:val="auto"/>
                <w:highlight w:val="none"/>
              </w:rPr>
              <w:t>——靠近围护结构处室外N个声源i倍频带的叠加声压级，dB；</w:t>
            </w:r>
          </w:p>
          <w:p w14:paraId="42D5191C">
            <w:pPr>
              <w:ind w:firstLine="480"/>
              <w:rPr>
                <w:color w:val="auto"/>
                <w:highlight w:val="none"/>
              </w:rPr>
            </w:pPr>
            <w:r>
              <w:rPr>
                <w:color w:val="auto"/>
                <w:highlight w:val="none"/>
              </w:rPr>
              <w:t>TL</w:t>
            </w:r>
            <w:r>
              <w:rPr>
                <w:color w:val="auto"/>
                <w:highlight w:val="none"/>
                <w:vertAlign w:val="subscript"/>
              </w:rPr>
              <w:t>i</w:t>
            </w:r>
            <w:r>
              <w:rPr>
                <w:color w:val="auto"/>
                <w:highlight w:val="none"/>
              </w:rPr>
              <w:t>——围护结构i倍频带的隔声量，dB。</w:t>
            </w:r>
          </w:p>
          <w:p w14:paraId="04312CDB">
            <w:pPr>
              <w:ind w:firstLine="480"/>
              <w:rPr>
                <w:color w:val="auto"/>
                <w:highlight w:val="none"/>
              </w:rPr>
            </w:pPr>
            <w:r>
              <w:rPr>
                <w:color w:val="auto"/>
                <w:highlight w:val="none"/>
              </w:rPr>
              <w:t>然后按下式将室外声源的声压级和透过面积换算成等效的室外声源，计算出中心位置位于透声面积（S）处的等效声源的倍频带声功率级。</w:t>
            </w:r>
          </w:p>
          <w:p w14:paraId="6D926D53">
            <w:pPr>
              <w:pStyle w:val="13"/>
              <w:rPr>
                <w:color w:val="auto"/>
                <w:highlight w:val="none"/>
              </w:rPr>
            </w:pPr>
            <w:r>
              <w:rPr>
                <w:color w:val="auto"/>
                <w:highlight w:val="none"/>
              </w:rPr>
              <w:drawing>
                <wp:inline distT="0" distB="0" distL="114300" distR="114300">
                  <wp:extent cx="1778000" cy="360045"/>
                  <wp:effectExtent l="0" t="0" r="12700" b="1905"/>
                  <wp:docPr id="2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1"/>
                          <pic:cNvPicPr>
                            <a:picLocks noChangeAspect="1"/>
                          </pic:cNvPicPr>
                        </pic:nvPicPr>
                        <pic:blipFill>
                          <a:blip r:embed="rId37"/>
                          <a:stretch>
                            <a:fillRect/>
                          </a:stretch>
                        </pic:blipFill>
                        <pic:spPr>
                          <a:xfrm>
                            <a:off x="0" y="0"/>
                            <a:ext cx="1778000" cy="360045"/>
                          </a:xfrm>
                          <a:prstGeom prst="rect">
                            <a:avLst/>
                          </a:prstGeom>
                          <a:noFill/>
                          <a:ln>
                            <a:noFill/>
                          </a:ln>
                        </pic:spPr>
                      </pic:pic>
                    </a:graphicData>
                  </a:graphic>
                </wp:inline>
              </w:drawing>
            </w:r>
          </w:p>
          <w:p w14:paraId="257909F5">
            <w:pPr>
              <w:ind w:firstLine="480"/>
              <w:rPr>
                <w:color w:val="auto"/>
                <w:highlight w:val="none"/>
              </w:rPr>
            </w:pPr>
            <w:r>
              <w:rPr>
                <w:color w:val="auto"/>
                <w:highlight w:val="none"/>
              </w:rPr>
              <w:t>然后按室外声源预测方法计算预测点处的A声级。</w:t>
            </w:r>
          </w:p>
          <w:p w14:paraId="2F7FB8C6">
            <w:pPr>
              <w:pStyle w:val="4"/>
              <w:ind w:firstLine="482"/>
              <w:rPr>
                <w:color w:val="auto"/>
                <w:highlight w:val="none"/>
              </w:rPr>
            </w:pPr>
            <w:r>
              <w:rPr>
                <w:rFonts w:hint="eastAsia"/>
                <w:color w:val="auto"/>
                <w:highlight w:val="none"/>
              </w:rPr>
              <w:t>③</w:t>
            </w:r>
            <w:r>
              <w:rPr>
                <w:color w:val="auto"/>
                <w:highlight w:val="none"/>
              </w:rPr>
              <w:t>贡献值计算</w:t>
            </w:r>
          </w:p>
          <w:p w14:paraId="51E04351">
            <w:pPr>
              <w:ind w:firstLine="480"/>
              <w:rPr>
                <w:color w:val="auto"/>
                <w:highlight w:val="none"/>
              </w:rPr>
            </w:pPr>
            <w:r>
              <w:rPr>
                <w:color w:val="auto"/>
                <w:highlight w:val="none"/>
              </w:rPr>
              <w:t>设第i个室外声源在预测点产生的A声级为LAi，在T时间内该声源工作时间为ti；第j个等效室外声源在预测点产生的A声级为LAj，在T时间内该声源工作时间为tj，则拟建工程声源对预测点产生的贡献值（Leqg）为：</w:t>
            </w:r>
          </w:p>
          <w:p w14:paraId="23836DE4">
            <w:pPr>
              <w:pStyle w:val="13"/>
              <w:rPr>
                <w:color w:val="auto"/>
                <w:highlight w:val="none"/>
              </w:rPr>
            </w:pPr>
            <w:r>
              <w:rPr>
                <w:color w:val="auto"/>
                <w:highlight w:val="none"/>
              </w:rPr>
              <w:drawing>
                <wp:inline distT="0" distB="0" distL="114300" distR="114300">
                  <wp:extent cx="3347720" cy="648335"/>
                  <wp:effectExtent l="0" t="0" r="5080" b="18415"/>
                  <wp:docPr id="2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2"/>
                          <pic:cNvPicPr>
                            <a:picLocks noChangeAspect="1"/>
                          </pic:cNvPicPr>
                        </pic:nvPicPr>
                        <pic:blipFill>
                          <a:blip r:embed="rId38"/>
                          <a:srcRect b="41283"/>
                          <a:stretch>
                            <a:fillRect/>
                          </a:stretch>
                        </pic:blipFill>
                        <pic:spPr>
                          <a:xfrm>
                            <a:off x="0" y="0"/>
                            <a:ext cx="3347720" cy="648335"/>
                          </a:xfrm>
                          <a:prstGeom prst="rect">
                            <a:avLst/>
                          </a:prstGeom>
                          <a:noFill/>
                          <a:ln>
                            <a:noFill/>
                          </a:ln>
                        </pic:spPr>
                      </pic:pic>
                    </a:graphicData>
                  </a:graphic>
                </wp:inline>
              </w:drawing>
            </w:r>
          </w:p>
          <w:p w14:paraId="041B9A26">
            <w:pPr>
              <w:pStyle w:val="4"/>
              <w:ind w:firstLine="482"/>
              <w:rPr>
                <w:color w:val="auto"/>
                <w:highlight w:val="none"/>
              </w:rPr>
            </w:pPr>
            <w:r>
              <w:rPr>
                <w:rFonts w:hint="eastAsia"/>
                <w:color w:val="auto"/>
                <w:highlight w:val="none"/>
              </w:rPr>
              <w:t>④</w:t>
            </w:r>
            <w:r>
              <w:rPr>
                <w:color w:val="auto"/>
                <w:highlight w:val="none"/>
              </w:rPr>
              <w:t>预测参数</w:t>
            </w:r>
          </w:p>
          <w:p w14:paraId="31F560DF">
            <w:pPr>
              <w:ind w:firstLine="480"/>
              <w:rPr>
                <w:color w:val="auto"/>
                <w:highlight w:val="none"/>
              </w:rPr>
            </w:pPr>
            <w:r>
              <w:rPr>
                <w:color w:val="auto"/>
                <w:highlight w:val="none"/>
              </w:rPr>
              <w:t>经对现有资料整理分析，拟选用如下参数和条件进行计算：</w:t>
            </w:r>
          </w:p>
          <w:p w14:paraId="2D922647">
            <w:pPr>
              <w:ind w:firstLine="480"/>
              <w:rPr>
                <w:color w:val="auto"/>
                <w:highlight w:val="none"/>
              </w:rPr>
            </w:pPr>
            <w:r>
              <w:rPr>
                <w:rFonts w:hint="eastAsia"/>
                <w:color w:val="auto"/>
                <w:highlight w:val="none"/>
              </w:rPr>
              <w:t>A、</w:t>
            </w:r>
            <w:r>
              <w:rPr>
                <w:color w:val="auto"/>
                <w:highlight w:val="none"/>
              </w:rPr>
              <w:t>一般属性：声源离地面高度为0，室内点源位置为地面，房间内壁吸声系数0.01。</w:t>
            </w:r>
          </w:p>
          <w:p w14:paraId="5AD32E69">
            <w:pPr>
              <w:ind w:firstLine="480"/>
              <w:rPr>
                <w:color w:val="auto"/>
                <w:highlight w:val="none"/>
              </w:rPr>
            </w:pPr>
            <w:r>
              <w:rPr>
                <w:rFonts w:hint="eastAsia"/>
                <w:color w:val="auto"/>
                <w:highlight w:val="none"/>
              </w:rPr>
              <w:t>B、</w:t>
            </w:r>
            <w:r>
              <w:rPr>
                <w:color w:val="auto"/>
                <w:highlight w:val="none"/>
              </w:rPr>
              <w:t>发声特性：稳态发声，不分频。</w:t>
            </w:r>
          </w:p>
          <w:p w14:paraId="72A849F5">
            <w:pPr>
              <w:pStyle w:val="3"/>
              <w:ind w:firstLine="482"/>
              <w:rPr>
                <w:color w:val="auto"/>
                <w:highlight w:val="none"/>
              </w:rPr>
            </w:pPr>
            <w:r>
              <w:rPr>
                <w:color w:val="auto"/>
                <w:highlight w:val="none"/>
              </w:rPr>
              <w:t>（</w:t>
            </w:r>
            <w:r>
              <w:rPr>
                <w:rFonts w:hint="eastAsia"/>
                <w:color w:val="auto"/>
                <w:highlight w:val="none"/>
              </w:rPr>
              <w:t>3</w:t>
            </w:r>
            <w:r>
              <w:rPr>
                <w:color w:val="auto"/>
                <w:highlight w:val="none"/>
              </w:rPr>
              <w:t>）厂界噪声达标性分析</w:t>
            </w:r>
          </w:p>
          <w:p w14:paraId="3D2A37B6">
            <w:pPr>
              <w:ind w:firstLine="480"/>
              <w:rPr>
                <w:color w:val="auto"/>
                <w:highlight w:val="none"/>
              </w:rPr>
            </w:pPr>
            <w:r>
              <w:rPr>
                <w:color w:val="auto"/>
                <w:highlight w:val="none"/>
              </w:rPr>
              <w:t>本项目</w:t>
            </w:r>
            <w:r>
              <w:rPr>
                <w:rFonts w:hint="eastAsia"/>
                <w:color w:val="auto"/>
                <w:highlight w:val="none"/>
              </w:rPr>
              <w:t>运营期</w:t>
            </w:r>
            <w:r>
              <w:rPr>
                <w:color w:val="auto"/>
                <w:highlight w:val="none"/>
              </w:rPr>
              <w:t>考虑噪声距离衰减和隔声等措施，项目噪声源对厂界影响预测结果见下表。</w:t>
            </w:r>
          </w:p>
          <w:p w14:paraId="17A816C3">
            <w:pPr>
              <w:pStyle w:val="14"/>
              <w:spacing w:before="156"/>
              <w:rPr>
                <w:color w:val="auto"/>
                <w:highlight w:val="none"/>
              </w:rPr>
            </w:pPr>
            <w:r>
              <w:rPr>
                <w:color w:val="auto"/>
                <w:highlight w:val="none"/>
              </w:rPr>
              <w:t>表4-</w:t>
            </w:r>
            <w:r>
              <w:rPr>
                <w:rFonts w:hint="eastAsia"/>
                <w:color w:val="auto"/>
                <w:highlight w:val="none"/>
                <w:lang w:val="en-US" w:eastAsia="zh-CN"/>
              </w:rPr>
              <w:t>11</w:t>
            </w:r>
            <w:r>
              <w:rPr>
                <w:color w:val="auto"/>
                <w:highlight w:val="none"/>
              </w:rPr>
              <w:t xml:space="preserve">  厂界噪声影响预测结果单位：dB</w:t>
            </w:r>
            <w:r>
              <w:rPr>
                <w:rFonts w:hint="eastAsia"/>
                <w:color w:val="auto"/>
                <w:highlight w:val="none"/>
              </w:rPr>
              <w:t>（</w:t>
            </w:r>
            <w:r>
              <w:rPr>
                <w:color w:val="auto"/>
                <w:highlight w:val="none"/>
              </w:rPr>
              <w:t>A</w:t>
            </w:r>
            <w:r>
              <w:rPr>
                <w:rFonts w:hint="eastAsia"/>
                <w:color w:val="auto"/>
                <w:highlight w:val="none"/>
              </w:rPr>
              <w:t>）</w:t>
            </w:r>
          </w:p>
          <w:tbl>
            <w:tblPr>
              <w:tblStyle w:val="1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8"/>
              <w:gridCol w:w="1810"/>
              <w:gridCol w:w="3620"/>
              <w:gridCol w:w="1811"/>
            </w:tblGrid>
            <w:tr w14:paraId="68F03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9" w:type="pct"/>
                  <w:vMerge w:val="restart"/>
                  <w:vAlign w:val="center"/>
                </w:tcPr>
                <w:p w14:paraId="267E01EB">
                  <w:pPr>
                    <w:pStyle w:val="13"/>
                    <w:rPr>
                      <w:b/>
                      <w:bCs/>
                      <w:color w:val="auto"/>
                      <w:highlight w:val="none"/>
                    </w:rPr>
                  </w:pPr>
                  <w:r>
                    <w:rPr>
                      <w:rFonts w:hint="eastAsia"/>
                      <w:b/>
                      <w:bCs/>
                      <w:color w:val="auto"/>
                      <w:highlight w:val="none"/>
                    </w:rPr>
                    <w:t>厂界</w:t>
                  </w:r>
                </w:p>
              </w:tc>
              <w:tc>
                <w:tcPr>
                  <w:tcW w:w="1000" w:type="pct"/>
                  <w:vMerge w:val="restart"/>
                  <w:vAlign w:val="center"/>
                </w:tcPr>
                <w:p w14:paraId="4B1C6E5C">
                  <w:pPr>
                    <w:pStyle w:val="13"/>
                    <w:rPr>
                      <w:b/>
                      <w:bCs/>
                      <w:color w:val="auto"/>
                      <w:highlight w:val="none"/>
                    </w:rPr>
                  </w:pPr>
                  <w:r>
                    <w:rPr>
                      <w:rFonts w:hint="eastAsia"/>
                      <w:b/>
                      <w:bCs/>
                      <w:color w:val="auto"/>
                      <w:highlight w:val="none"/>
                    </w:rPr>
                    <w:t>最大贡献值</w:t>
                  </w:r>
                </w:p>
              </w:tc>
              <w:tc>
                <w:tcPr>
                  <w:tcW w:w="2000" w:type="pct"/>
                  <w:vAlign w:val="center"/>
                </w:tcPr>
                <w:p w14:paraId="1CC29F08">
                  <w:pPr>
                    <w:pStyle w:val="13"/>
                    <w:rPr>
                      <w:b/>
                      <w:bCs/>
                      <w:color w:val="auto"/>
                      <w:highlight w:val="none"/>
                    </w:rPr>
                  </w:pPr>
                  <w:r>
                    <w:rPr>
                      <w:rFonts w:hint="eastAsia"/>
                      <w:b/>
                      <w:bCs/>
                      <w:color w:val="auto"/>
                      <w:highlight w:val="none"/>
                    </w:rPr>
                    <w:t>排放标准</w:t>
                  </w:r>
                </w:p>
              </w:tc>
              <w:tc>
                <w:tcPr>
                  <w:tcW w:w="1000" w:type="pct"/>
                  <w:vMerge w:val="restart"/>
                  <w:vAlign w:val="center"/>
                </w:tcPr>
                <w:p w14:paraId="715BC70D">
                  <w:pPr>
                    <w:pStyle w:val="13"/>
                    <w:rPr>
                      <w:b/>
                      <w:bCs/>
                      <w:color w:val="auto"/>
                      <w:highlight w:val="none"/>
                    </w:rPr>
                  </w:pPr>
                  <w:r>
                    <w:rPr>
                      <w:rFonts w:hint="eastAsia"/>
                      <w:b/>
                      <w:bCs/>
                      <w:color w:val="auto"/>
                      <w:highlight w:val="none"/>
                    </w:rPr>
                    <w:t>备注</w:t>
                  </w:r>
                </w:p>
              </w:tc>
            </w:tr>
            <w:tr w14:paraId="40ADF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9" w:type="pct"/>
                  <w:vMerge w:val="continue"/>
                  <w:vAlign w:val="center"/>
                </w:tcPr>
                <w:p w14:paraId="61E3B1AB">
                  <w:pPr>
                    <w:pStyle w:val="13"/>
                    <w:rPr>
                      <w:color w:val="auto"/>
                      <w:highlight w:val="none"/>
                    </w:rPr>
                  </w:pPr>
                </w:p>
              </w:tc>
              <w:tc>
                <w:tcPr>
                  <w:tcW w:w="1000" w:type="pct"/>
                  <w:vMerge w:val="continue"/>
                  <w:vAlign w:val="center"/>
                </w:tcPr>
                <w:p w14:paraId="7723EA8C">
                  <w:pPr>
                    <w:pStyle w:val="13"/>
                    <w:rPr>
                      <w:color w:val="auto"/>
                      <w:highlight w:val="none"/>
                    </w:rPr>
                  </w:pPr>
                </w:p>
              </w:tc>
              <w:tc>
                <w:tcPr>
                  <w:tcW w:w="2000" w:type="pct"/>
                  <w:vAlign w:val="center"/>
                </w:tcPr>
                <w:p w14:paraId="37E9FF9C">
                  <w:pPr>
                    <w:pStyle w:val="13"/>
                    <w:rPr>
                      <w:b/>
                      <w:bCs/>
                      <w:color w:val="auto"/>
                      <w:highlight w:val="none"/>
                    </w:rPr>
                  </w:pPr>
                  <w:r>
                    <w:rPr>
                      <w:rFonts w:hint="eastAsia"/>
                      <w:b/>
                      <w:bCs/>
                      <w:color w:val="auto"/>
                      <w:highlight w:val="none"/>
                    </w:rPr>
                    <w:t>昼间</w:t>
                  </w:r>
                </w:p>
              </w:tc>
              <w:tc>
                <w:tcPr>
                  <w:tcW w:w="1000" w:type="pct"/>
                  <w:vMerge w:val="continue"/>
                  <w:vAlign w:val="center"/>
                </w:tcPr>
                <w:p w14:paraId="26FFDC2A">
                  <w:pPr>
                    <w:pStyle w:val="13"/>
                    <w:rPr>
                      <w:color w:val="auto"/>
                      <w:highlight w:val="none"/>
                    </w:rPr>
                  </w:pPr>
                </w:p>
              </w:tc>
            </w:tr>
            <w:tr w14:paraId="0CF34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9" w:type="pct"/>
                  <w:vAlign w:val="center"/>
                </w:tcPr>
                <w:p w14:paraId="6E0CBDB2">
                  <w:pPr>
                    <w:pStyle w:val="13"/>
                    <w:rPr>
                      <w:color w:val="auto"/>
                      <w:highlight w:val="none"/>
                    </w:rPr>
                  </w:pPr>
                  <w:r>
                    <w:rPr>
                      <w:rFonts w:hint="eastAsia"/>
                      <w:color w:val="auto"/>
                      <w:highlight w:val="none"/>
                    </w:rPr>
                    <w:t>厂界东</w:t>
                  </w:r>
                </w:p>
              </w:tc>
              <w:tc>
                <w:tcPr>
                  <w:tcW w:w="1000" w:type="pct"/>
                  <w:vAlign w:val="center"/>
                </w:tcPr>
                <w:p w14:paraId="79D64381">
                  <w:pPr>
                    <w:pStyle w:val="13"/>
                    <w:rPr>
                      <w:color w:val="auto"/>
                      <w:highlight w:val="none"/>
                    </w:rPr>
                  </w:pPr>
                  <w:r>
                    <w:rPr>
                      <w:rFonts w:hint="eastAsia"/>
                      <w:color w:val="auto"/>
                      <w:highlight w:val="none"/>
                    </w:rPr>
                    <w:t>50</w:t>
                  </w:r>
                </w:p>
              </w:tc>
              <w:tc>
                <w:tcPr>
                  <w:tcW w:w="2000" w:type="pct"/>
                  <w:vMerge w:val="restart"/>
                  <w:vAlign w:val="center"/>
                </w:tcPr>
                <w:p w14:paraId="2BE8B728">
                  <w:pPr>
                    <w:pStyle w:val="13"/>
                    <w:rPr>
                      <w:rFonts w:hint="default" w:eastAsia="宋体"/>
                      <w:color w:val="auto"/>
                      <w:highlight w:val="none"/>
                      <w:lang w:val="en-US" w:eastAsia="zh-CN"/>
                    </w:rPr>
                  </w:pPr>
                  <w:r>
                    <w:rPr>
                      <w:rFonts w:hint="eastAsia"/>
                      <w:color w:val="auto"/>
                      <w:highlight w:val="none"/>
                      <w:lang w:val="en-US" w:eastAsia="zh-CN"/>
                    </w:rPr>
                    <w:t>60</w:t>
                  </w:r>
                </w:p>
              </w:tc>
              <w:tc>
                <w:tcPr>
                  <w:tcW w:w="1000" w:type="pct"/>
                  <w:vAlign w:val="center"/>
                </w:tcPr>
                <w:p w14:paraId="19C746C9">
                  <w:pPr>
                    <w:pStyle w:val="13"/>
                    <w:rPr>
                      <w:color w:val="auto"/>
                      <w:highlight w:val="none"/>
                    </w:rPr>
                  </w:pPr>
                  <w:r>
                    <w:rPr>
                      <w:rFonts w:hint="eastAsia"/>
                      <w:color w:val="auto"/>
                      <w:highlight w:val="none"/>
                    </w:rPr>
                    <w:t>达标</w:t>
                  </w:r>
                </w:p>
              </w:tc>
            </w:tr>
            <w:tr w14:paraId="62C44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9" w:type="pct"/>
                  <w:vAlign w:val="center"/>
                </w:tcPr>
                <w:p w14:paraId="6C8DA7D4">
                  <w:pPr>
                    <w:pStyle w:val="13"/>
                    <w:rPr>
                      <w:color w:val="auto"/>
                      <w:highlight w:val="none"/>
                    </w:rPr>
                  </w:pPr>
                  <w:r>
                    <w:rPr>
                      <w:rFonts w:hint="eastAsia"/>
                      <w:color w:val="auto"/>
                      <w:highlight w:val="none"/>
                    </w:rPr>
                    <w:t>厂界南</w:t>
                  </w:r>
                </w:p>
              </w:tc>
              <w:tc>
                <w:tcPr>
                  <w:tcW w:w="1000" w:type="pct"/>
                  <w:vAlign w:val="center"/>
                </w:tcPr>
                <w:p w14:paraId="116C7265">
                  <w:pPr>
                    <w:pStyle w:val="13"/>
                    <w:rPr>
                      <w:color w:val="auto"/>
                      <w:highlight w:val="none"/>
                    </w:rPr>
                  </w:pPr>
                  <w:r>
                    <w:rPr>
                      <w:rFonts w:hint="eastAsia"/>
                      <w:color w:val="auto"/>
                      <w:highlight w:val="none"/>
                    </w:rPr>
                    <w:t>52</w:t>
                  </w:r>
                </w:p>
              </w:tc>
              <w:tc>
                <w:tcPr>
                  <w:tcW w:w="2000" w:type="pct"/>
                  <w:vMerge w:val="continue"/>
                  <w:vAlign w:val="center"/>
                </w:tcPr>
                <w:p w14:paraId="086D4245">
                  <w:pPr>
                    <w:pStyle w:val="13"/>
                    <w:rPr>
                      <w:color w:val="auto"/>
                      <w:highlight w:val="none"/>
                    </w:rPr>
                  </w:pPr>
                </w:p>
              </w:tc>
              <w:tc>
                <w:tcPr>
                  <w:tcW w:w="1000" w:type="pct"/>
                  <w:vAlign w:val="center"/>
                </w:tcPr>
                <w:p w14:paraId="6293FFAC">
                  <w:pPr>
                    <w:pStyle w:val="13"/>
                    <w:rPr>
                      <w:color w:val="auto"/>
                      <w:highlight w:val="none"/>
                    </w:rPr>
                  </w:pPr>
                  <w:r>
                    <w:rPr>
                      <w:rFonts w:hint="eastAsia"/>
                      <w:color w:val="auto"/>
                      <w:highlight w:val="none"/>
                    </w:rPr>
                    <w:t>达标</w:t>
                  </w:r>
                </w:p>
              </w:tc>
            </w:tr>
            <w:tr w14:paraId="6FEA9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9" w:type="pct"/>
                  <w:vAlign w:val="center"/>
                </w:tcPr>
                <w:p w14:paraId="1E3ADA1F">
                  <w:pPr>
                    <w:pStyle w:val="13"/>
                    <w:rPr>
                      <w:color w:val="auto"/>
                      <w:highlight w:val="none"/>
                    </w:rPr>
                  </w:pPr>
                  <w:r>
                    <w:rPr>
                      <w:rFonts w:hint="eastAsia"/>
                      <w:color w:val="auto"/>
                      <w:highlight w:val="none"/>
                    </w:rPr>
                    <w:t>厂界西</w:t>
                  </w:r>
                </w:p>
              </w:tc>
              <w:tc>
                <w:tcPr>
                  <w:tcW w:w="1000" w:type="pct"/>
                  <w:vAlign w:val="center"/>
                </w:tcPr>
                <w:p w14:paraId="52CE8D22">
                  <w:pPr>
                    <w:pStyle w:val="13"/>
                    <w:rPr>
                      <w:color w:val="auto"/>
                      <w:highlight w:val="none"/>
                    </w:rPr>
                  </w:pPr>
                  <w:r>
                    <w:rPr>
                      <w:rFonts w:hint="eastAsia"/>
                      <w:color w:val="auto"/>
                      <w:highlight w:val="none"/>
                    </w:rPr>
                    <w:t>/</w:t>
                  </w:r>
                </w:p>
              </w:tc>
              <w:tc>
                <w:tcPr>
                  <w:tcW w:w="2000" w:type="pct"/>
                  <w:vMerge w:val="continue"/>
                  <w:vAlign w:val="center"/>
                </w:tcPr>
                <w:p w14:paraId="59094231">
                  <w:pPr>
                    <w:pStyle w:val="13"/>
                    <w:rPr>
                      <w:color w:val="auto"/>
                      <w:highlight w:val="none"/>
                    </w:rPr>
                  </w:pPr>
                </w:p>
              </w:tc>
              <w:tc>
                <w:tcPr>
                  <w:tcW w:w="1000" w:type="pct"/>
                  <w:vAlign w:val="center"/>
                </w:tcPr>
                <w:p w14:paraId="533D40C5">
                  <w:pPr>
                    <w:pStyle w:val="13"/>
                    <w:rPr>
                      <w:color w:val="auto"/>
                      <w:highlight w:val="none"/>
                    </w:rPr>
                  </w:pPr>
                  <w:r>
                    <w:rPr>
                      <w:rFonts w:hint="eastAsia"/>
                      <w:color w:val="auto"/>
                      <w:highlight w:val="none"/>
                    </w:rPr>
                    <w:t>达标</w:t>
                  </w:r>
                </w:p>
              </w:tc>
            </w:tr>
            <w:tr w14:paraId="749D8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9" w:type="pct"/>
                  <w:vAlign w:val="center"/>
                </w:tcPr>
                <w:p w14:paraId="170089CF">
                  <w:pPr>
                    <w:pStyle w:val="13"/>
                    <w:rPr>
                      <w:color w:val="auto"/>
                      <w:highlight w:val="none"/>
                    </w:rPr>
                  </w:pPr>
                  <w:r>
                    <w:rPr>
                      <w:rFonts w:hint="eastAsia"/>
                      <w:color w:val="auto"/>
                      <w:highlight w:val="none"/>
                    </w:rPr>
                    <w:t>厂界北</w:t>
                  </w:r>
                </w:p>
              </w:tc>
              <w:tc>
                <w:tcPr>
                  <w:tcW w:w="1000" w:type="pct"/>
                  <w:vAlign w:val="center"/>
                </w:tcPr>
                <w:p w14:paraId="0AB38F10">
                  <w:pPr>
                    <w:pStyle w:val="13"/>
                    <w:rPr>
                      <w:color w:val="auto"/>
                      <w:highlight w:val="none"/>
                    </w:rPr>
                  </w:pPr>
                  <w:r>
                    <w:rPr>
                      <w:rFonts w:hint="eastAsia"/>
                      <w:color w:val="auto"/>
                      <w:highlight w:val="none"/>
                    </w:rPr>
                    <w:t>/</w:t>
                  </w:r>
                </w:p>
              </w:tc>
              <w:tc>
                <w:tcPr>
                  <w:tcW w:w="2000" w:type="pct"/>
                  <w:vMerge w:val="continue"/>
                  <w:vAlign w:val="center"/>
                </w:tcPr>
                <w:p w14:paraId="25840985">
                  <w:pPr>
                    <w:pStyle w:val="13"/>
                    <w:rPr>
                      <w:color w:val="auto"/>
                      <w:highlight w:val="none"/>
                    </w:rPr>
                  </w:pPr>
                </w:p>
              </w:tc>
              <w:tc>
                <w:tcPr>
                  <w:tcW w:w="1000" w:type="pct"/>
                  <w:vAlign w:val="center"/>
                </w:tcPr>
                <w:p w14:paraId="556DE957">
                  <w:pPr>
                    <w:pStyle w:val="13"/>
                    <w:rPr>
                      <w:color w:val="auto"/>
                      <w:highlight w:val="none"/>
                    </w:rPr>
                  </w:pPr>
                  <w:r>
                    <w:rPr>
                      <w:rFonts w:hint="eastAsia"/>
                      <w:color w:val="auto"/>
                      <w:highlight w:val="none"/>
                    </w:rPr>
                    <w:t>达标</w:t>
                  </w:r>
                </w:p>
              </w:tc>
            </w:tr>
          </w:tbl>
          <w:p w14:paraId="5A51B18B">
            <w:pPr>
              <w:ind w:firstLine="480"/>
              <w:rPr>
                <w:color w:val="auto"/>
                <w:highlight w:val="none"/>
              </w:rPr>
            </w:pPr>
            <w:r>
              <w:rPr>
                <w:color w:val="auto"/>
                <w:highlight w:val="none"/>
              </w:rPr>
              <w:t>由上表可知，建设项目正常</w:t>
            </w:r>
            <w:r>
              <w:rPr>
                <w:rFonts w:hint="eastAsia"/>
                <w:color w:val="auto"/>
                <w:highlight w:val="none"/>
              </w:rPr>
              <w:t>运营</w:t>
            </w:r>
            <w:r>
              <w:rPr>
                <w:color w:val="auto"/>
                <w:highlight w:val="none"/>
              </w:rPr>
              <w:t>后，厂界噪声可达《工业企业厂界环境噪声排放标准》（GB</w:t>
            </w:r>
            <w:r>
              <w:rPr>
                <w:rFonts w:hint="eastAsia"/>
                <w:color w:val="auto"/>
                <w:highlight w:val="none"/>
              </w:rPr>
              <w:t xml:space="preserve"> </w:t>
            </w:r>
            <w:r>
              <w:rPr>
                <w:color w:val="auto"/>
                <w:highlight w:val="none"/>
              </w:rPr>
              <w:t>12348-2008）中的</w:t>
            </w:r>
            <w:r>
              <w:rPr>
                <w:rFonts w:hint="eastAsia"/>
                <w:color w:val="auto"/>
                <w:highlight w:val="none"/>
                <w:lang w:eastAsia="zh-CN"/>
              </w:rPr>
              <w:t>2类</w:t>
            </w:r>
            <w:r>
              <w:rPr>
                <w:color w:val="auto"/>
                <w:highlight w:val="none"/>
              </w:rPr>
              <w:t>标准的要求。</w:t>
            </w:r>
          </w:p>
          <w:p w14:paraId="0B14FC8A">
            <w:pPr>
              <w:pStyle w:val="3"/>
              <w:ind w:firstLine="482"/>
              <w:rPr>
                <w:color w:val="auto"/>
                <w:highlight w:val="none"/>
              </w:rPr>
            </w:pPr>
            <w:r>
              <w:rPr>
                <w:color w:val="auto"/>
                <w:highlight w:val="none"/>
              </w:rPr>
              <w:t>（</w:t>
            </w:r>
            <w:r>
              <w:rPr>
                <w:rFonts w:hint="eastAsia"/>
                <w:color w:val="auto"/>
                <w:highlight w:val="none"/>
              </w:rPr>
              <w:t>4</w:t>
            </w:r>
            <w:r>
              <w:rPr>
                <w:color w:val="auto"/>
                <w:highlight w:val="none"/>
              </w:rPr>
              <w:t>）监测计划</w:t>
            </w:r>
          </w:p>
          <w:p w14:paraId="3F28E1D8">
            <w:pPr>
              <w:ind w:firstLine="480"/>
              <w:rPr>
                <w:color w:val="auto"/>
                <w:highlight w:val="none"/>
              </w:rPr>
            </w:pPr>
            <w:r>
              <w:rPr>
                <w:color w:val="auto"/>
                <w:highlight w:val="none"/>
              </w:rPr>
              <w:t>根据《排污许可证申请与核发技术规范 工业噪声》（HJ 1301-2023）、《排污单位自行监测技术指南 总则》（HJ819-2017）中5.4.2节监测频次，厂界环境噪声每季度至少开展一次监测，夜间生产的要监测夜间噪声，项目</w:t>
            </w:r>
            <w:r>
              <w:rPr>
                <w:rFonts w:hint="eastAsia"/>
                <w:color w:val="auto"/>
                <w:highlight w:val="none"/>
              </w:rPr>
              <w:t>噪声</w:t>
            </w:r>
            <w:r>
              <w:rPr>
                <w:color w:val="auto"/>
                <w:highlight w:val="none"/>
              </w:rPr>
              <w:t>监测点位设置、监测频次及最低监测频次按</w:t>
            </w:r>
            <w:r>
              <w:rPr>
                <w:rFonts w:hint="eastAsia"/>
                <w:color w:val="auto"/>
                <w:highlight w:val="none"/>
              </w:rPr>
              <w:t>下表</w:t>
            </w:r>
            <w:r>
              <w:rPr>
                <w:color w:val="auto"/>
                <w:highlight w:val="none"/>
              </w:rPr>
              <w:t>执行。</w:t>
            </w:r>
          </w:p>
          <w:p w14:paraId="1E6CFFA6">
            <w:pPr>
              <w:pStyle w:val="14"/>
              <w:spacing w:before="156"/>
              <w:rPr>
                <w:color w:val="auto"/>
                <w:highlight w:val="none"/>
              </w:rPr>
            </w:pPr>
            <w:r>
              <w:rPr>
                <w:color w:val="auto"/>
                <w:highlight w:val="none"/>
              </w:rPr>
              <w:t>表4-</w:t>
            </w:r>
            <w:r>
              <w:rPr>
                <w:rFonts w:hint="eastAsia"/>
                <w:color w:val="auto"/>
                <w:highlight w:val="none"/>
                <w:lang w:val="en-US" w:eastAsia="zh-CN"/>
              </w:rPr>
              <w:t>12</w:t>
            </w:r>
            <w:r>
              <w:rPr>
                <w:color w:val="auto"/>
                <w:highlight w:val="none"/>
              </w:rPr>
              <w:t xml:space="preserve">  声环境监测计划一览表</w:t>
            </w:r>
          </w:p>
          <w:tbl>
            <w:tblPr>
              <w:tblStyle w:val="9"/>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670"/>
              <w:gridCol w:w="1220"/>
              <w:gridCol w:w="1220"/>
              <w:gridCol w:w="1220"/>
              <w:gridCol w:w="1223"/>
              <w:gridCol w:w="3491"/>
            </w:tblGrid>
            <w:tr w14:paraId="3D86E5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370" w:type="pct"/>
                  <w:tcBorders>
                    <w:tl2br w:val="nil"/>
                    <w:tr2bl w:val="nil"/>
                  </w:tcBorders>
                  <w:vAlign w:val="center"/>
                </w:tcPr>
                <w:p w14:paraId="56985786">
                  <w:pPr>
                    <w:pStyle w:val="13"/>
                    <w:rPr>
                      <w:b/>
                      <w:bCs/>
                      <w:color w:val="auto"/>
                      <w:highlight w:val="none"/>
                    </w:rPr>
                  </w:pPr>
                  <w:r>
                    <w:rPr>
                      <w:b/>
                      <w:bCs/>
                      <w:color w:val="auto"/>
                      <w:highlight w:val="none"/>
                    </w:rPr>
                    <w:t>序号</w:t>
                  </w:r>
                </w:p>
              </w:tc>
              <w:tc>
                <w:tcPr>
                  <w:tcW w:w="674" w:type="pct"/>
                  <w:tcBorders>
                    <w:tl2br w:val="nil"/>
                    <w:tr2bl w:val="nil"/>
                  </w:tcBorders>
                  <w:vAlign w:val="center"/>
                </w:tcPr>
                <w:p w14:paraId="2D628FD0">
                  <w:pPr>
                    <w:pStyle w:val="13"/>
                    <w:rPr>
                      <w:b/>
                      <w:bCs/>
                      <w:color w:val="auto"/>
                      <w:highlight w:val="none"/>
                    </w:rPr>
                  </w:pPr>
                  <w:r>
                    <w:rPr>
                      <w:b/>
                      <w:bCs/>
                      <w:color w:val="auto"/>
                      <w:highlight w:val="none"/>
                    </w:rPr>
                    <w:t>监测点位</w:t>
                  </w:r>
                </w:p>
              </w:tc>
              <w:tc>
                <w:tcPr>
                  <w:tcW w:w="674" w:type="pct"/>
                  <w:tcBorders>
                    <w:tl2br w:val="nil"/>
                    <w:tr2bl w:val="nil"/>
                  </w:tcBorders>
                  <w:vAlign w:val="center"/>
                </w:tcPr>
                <w:p w14:paraId="3933FA20">
                  <w:pPr>
                    <w:pStyle w:val="13"/>
                    <w:rPr>
                      <w:b/>
                      <w:bCs/>
                      <w:color w:val="auto"/>
                      <w:highlight w:val="none"/>
                    </w:rPr>
                  </w:pPr>
                  <w:r>
                    <w:rPr>
                      <w:b/>
                      <w:bCs/>
                      <w:color w:val="auto"/>
                      <w:highlight w:val="none"/>
                    </w:rPr>
                    <w:t>监测项目</w:t>
                  </w:r>
                </w:p>
              </w:tc>
              <w:tc>
                <w:tcPr>
                  <w:tcW w:w="674" w:type="pct"/>
                  <w:tcBorders>
                    <w:tl2br w:val="nil"/>
                    <w:tr2bl w:val="nil"/>
                  </w:tcBorders>
                  <w:vAlign w:val="center"/>
                </w:tcPr>
                <w:p w14:paraId="1A0F761E">
                  <w:pPr>
                    <w:pStyle w:val="13"/>
                    <w:rPr>
                      <w:b/>
                      <w:bCs/>
                      <w:color w:val="auto"/>
                      <w:highlight w:val="none"/>
                    </w:rPr>
                  </w:pPr>
                  <w:r>
                    <w:rPr>
                      <w:b/>
                      <w:bCs/>
                      <w:color w:val="auto"/>
                      <w:highlight w:val="none"/>
                    </w:rPr>
                    <w:t>频率</w:t>
                  </w:r>
                </w:p>
              </w:tc>
              <w:tc>
                <w:tcPr>
                  <w:tcW w:w="676" w:type="pct"/>
                  <w:tcBorders>
                    <w:tl2br w:val="nil"/>
                    <w:tr2bl w:val="nil"/>
                  </w:tcBorders>
                  <w:vAlign w:val="center"/>
                </w:tcPr>
                <w:p w14:paraId="5E33243B">
                  <w:pPr>
                    <w:pStyle w:val="13"/>
                    <w:rPr>
                      <w:b/>
                      <w:bCs/>
                      <w:color w:val="auto"/>
                      <w:highlight w:val="none"/>
                    </w:rPr>
                  </w:pPr>
                  <w:r>
                    <w:rPr>
                      <w:b/>
                      <w:bCs/>
                      <w:color w:val="auto"/>
                      <w:highlight w:val="none"/>
                    </w:rPr>
                    <w:t>实施单位</w:t>
                  </w:r>
                </w:p>
              </w:tc>
              <w:tc>
                <w:tcPr>
                  <w:tcW w:w="1929" w:type="pct"/>
                  <w:tcBorders>
                    <w:tl2br w:val="nil"/>
                    <w:tr2bl w:val="nil"/>
                  </w:tcBorders>
                  <w:vAlign w:val="center"/>
                </w:tcPr>
                <w:p w14:paraId="6B01C246">
                  <w:pPr>
                    <w:pStyle w:val="13"/>
                    <w:rPr>
                      <w:b/>
                      <w:bCs/>
                      <w:color w:val="auto"/>
                      <w:highlight w:val="none"/>
                    </w:rPr>
                  </w:pPr>
                  <w:r>
                    <w:rPr>
                      <w:b/>
                      <w:bCs/>
                      <w:color w:val="auto"/>
                      <w:highlight w:val="none"/>
                    </w:rPr>
                    <w:t>执行标准</w:t>
                  </w:r>
                </w:p>
              </w:tc>
            </w:tr>
            <w:tr w14:paraId="7CD82C9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370" w:type="pct"/>
                  <w:tcBorders>
                    <w:tl2br w:val="nil"/>
                    <w:tr2bl w:val="nil"/>
                  </w:tcBorders>
                  <w:vAlign w:val="center"/>
                </w:tcPr>
                <w:p w14:paraId="7B16935B">
                  <w:pPr>
                    <w:pStyle w:val="13"/>
                    <w:rPr>
                      <w:color w:val="auto"/>
                      <w:highlight w:val="none"/>
                    </w:rPr>
                  </w:pPr>
                  <w:r>
                    <w:rPr>
                      <w:rFonts w:hint="eastAsia"/>
                      <w:color w:val="auto"/>
                      <w:highlight w:val="none"/>
                    </w:rPr>
                    <w:t>1</w:t>
                  </w:r>
                </w:p>
              </w:tc>
              <w:tc>
                <w:tcPr>
                  <w:tcW w:w="674" w:type="pct"/>
                  <w:tcBorders>
                    <w:tl2br w:val="nil"/>
                    <w:tr2bl w:val="nil"/>
                  </w:tcBorders>
                  <w:vAlign w:val="center"/>
                </w:tcPr>
                <w:p w14:paraId="2C1FFD99">
                  <w:pPr>
                    <w:pStyle w:val="13"/>
                    <w:rPr>
                      <w:color w:val="auto"/>
                      <w:highlight w:val="none"/>
                    </w:rPr>
                  </w:pPr>
                  <w:r>
                    <w:rPr>
                      <w:rFonts w:hint="eastAsia"/>
                      <w:color w:val="auto"/>
                      <w:highlight w:val="none"/>
                    </w:rPr>
                    <w:t>厂界东</w:t>
                  </w:r>
                </w:p>
              </w:tc>
              <w:tc>
                <w:tcPr>
                  <w:tcW w:w="674" w:type="pct"/>
                  <w:vMerge w:val="restart"/>
                  <w:tcBorders>
                    <w:tl2br w:val="nil"/>
                    <w:tr2bl w:val="nil"/>
                  </w:tcBorders>
                  <w:vAlign w:val="center"/>
                </w:tcPr>
                <w:p w14:paraId="6250B404">
                  <w:pPr>
                    <w:pStyle w:val="13"/>
                    <w:rPr>
                      <w:color w:val="auto"/>
                      <w:highlight w:val="none"/>
                    </w:rPr>
                  </w:pPr>
                  <w:r>
                    <w:rPr>
                      <w:rFonts w:hint="eastAsia"/>
                      <w:color w:val="auto"/>
                      <w:highlight w:val="none"/>
                    </w:rPr>
                    <w:t>等效连续A声级（Leq）</w:t>
                  </w:r>
                </w:p>
              </w:tc>
              <w:tc>
                <w:tcPr>
                  <w:tcW w:w="674" w:type="pct"/>
                  <w:vMerge w:val="restart"/>
                  <w:tcBorders>
                    <w:tl2br w:val="nil"/>
                    <w:tr2bl w:val="nil"/>
                  </w:tcBorders>
                  <w:vAlign w:val="center"/>
                </w:tcPr>
                <w:p w14:paraId="4D16EAB3">
                  <w:pPr>
                    <w:pStyle w:val="13"/>
                    <w:rPr>
                      <w:color w:val="auto"/>
                      <w:highlight w:val="none"/>
                    </w:rPr>
                  </w:pPr>
                  <w:r>
                    <w:rPr>
                      <w:color w:val="auto"/>
                      <w:highlight w:val="none"/>
                    </w:rPr>
                    <w:t>1次</w:t>
                  </w:r>
                  <w:r>
                    <w:rPr>
                      <w:rFonts w:hint="eastAsia"/>
                      <w:color w:val="auto"/>
                      <w:highlight w:val="none"/>
                    </w:rPr>
                    <w:t>/季度</w:t>
                  </w:r>
                </w:p>
              </w:tc>
              <w:tc>
                <w:tcPr>
                  <w:tcW w:w="676" w:type="pct"/>
                  <w:vMerge w:val="restart"/>
                  <w:tcBorders>
                    <w:tl2br w:val="nil"/>
                    <w:tr2bl w:val="nil"/>
                  </w:tcBorders>
                  <w:vAlign w:val="center"/>
                </w:tcPr>
                <w:p w14:paraId="0336A86D">
                  <w:pPr>
                    <w:pStyle w:val="13"/>
                    <w:rPr>
                      <w:color w:val="auto"/>
                      <w:highlight w:val="none"/>
                    </w:rPr>
                  </w:pPr>
                  <w:r>
                    <w:rPr>
                      <w:color w:val="auto"/>
                      <w:highlight w:val="none"/>
                    </w:rPr>
                    <w:t>有资质的监测单位</w:t>
                  </w:r>
                </w:p>
              </w:tc>
              <w:tc>
                <w:tcPr>
                  <w:tcW w:w="1929" w:type="pct"/>
                  <w:vMerge w:val="restart"/>
                  <w:tcBorders>
                    <w:tl2br w:val="nil"/>
                    <w:tr2bl w:val="nil"/>
                  </w:tcBorders>
                  <w:vAlign w:val="center"/>
                </w:tcPr>
                <w:p w14:paraId="62E81771">
                  <w:pPr>
                    <w:pStyle w:val="13"/>
                    <w:rPr>
                      <w:color w:val="auto"/>
                      <w:highlight w:val="none"/>
                    </w:rPr>
                  </w:pPr>
                  <w:r>
                    <w:rPr>
                      <w:color w:val="auto"/>
                      <w:highlight w:val="none"/>
                    </w:rPr>
                    <w:t>《工业企业厂界环境噪声排放标准》（GB</w:t>
                  </w:r>
                  <w:r>
                    <w:rPr>
                      <w:rFonts w:hint="eastAsia"/>
                      <w:color w:val="auto"/>
                      <w:highlight w:val="none"/>
                    </w:rPr>
                    <w:t xml:space="preserve"> </w:t>
                  </w:r>
                  <w:r>
                    <w:rPr>
                      <w:color w:val="auto"/>
                      <w:highlight w:val="none"/>
                    </w:rPr>
                    <w:t>12348-2008）</w:t>
                  </w:r>
                  <w:r>
                    <w:rPr>
                      <w:rFonts w:hint="eastAsia"/>
                      <w:color w:val="auto"/>
                      <w:highlight w:val="none"/>
                      <w:lang w:eastAsia="zh-CN"/>
                    </w:rPr>
                    <w:t>2类</w:t>
                  </w:r>
                  <w:r>
                    <w:rPr>
                      <w:color w:val="auto"/>
                      <w:highlight w:val="none"/>
                    </w:rPr>
                    <w:t>标准</w:t>
                  </w:r>
                </w:p>
              </w:tc>
            </w:tr>
            <w:tr w14:paraId="262188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370" w:type="pct"/>
                  <w:tcBorders>
                    <w:tl2br w:val="nil"/>
                    <w:tr2bl w:val="nil"/>
                  </w:tcBorders>
                  <w:vAlign w:val="center"/>
                </w:tcPr>
                <w:p w14:paraId="0C333B81">
                  <w:pPr>
                    <w:pStyle w:val="13"/>
                    <w:rPr>
                      <w:color w:val="auto"/>
                      <w:highlight w:val="none"/>
                    </w:rPr>
                  </w:pPr>
                  <w:r>
                    <w:rPr>
                      <w:rFonts w:hint="eastAsia"/>
                      <w:color w:val="auto"/>
                      <w:highlight w:val="none"/>
                    </w:rPr>
                    <w:t>2</w:t>
                  </w:r>
                </w:p>
              </w:tc>
              <w:tc>
                <w:tcPr>
                  <w:tcW w:w="674" w:type="pct"/>
                  <w:tcBorders>
                    <w:tl2br w:val="nil"/>
                    <w:tr2bl w:val="nil"/>
                  </w:tcBorders>
                  <w:vAlign w:val="center"/>
                </w:tcPr>
                <w:p w14:paraId="247E8295">
                  <w:pPr>
                    <w:pStyle w:val="13"/>
                    <w:rPr>
                      <w:color w:val="auto"/>
                      <w:highlight w:val="none"/>
                    </w:rPr>
                  </w:pPr>
                  <w:r>
                    <w:rPr>
                      <w:rFonts w:hint="eastAsia"/>
                      <w:color w:val="auto"/>
                      <w:highlight w:val="none"/>
                    </w:rPr>
                    <w:t>厂界南</w:t>
                  </w:r>
                </w:p>
              </w:tc>
              <w:tc>
                <w:tcPr>
                  <w:tcW w:w="674" w:type="pct"/>
                  <w:vMerge w:val="continue"/>
                  <w:tcBorders>
                    <w:tl2br w:val="nil"/>
                    <w:tr2bl w:val="nil"/>
                  </w:tcBorders>
                  <w:vAlign w:val="center"/>
                </w:tcPr>
                <w:p w14:paraId="246442E1">
                  <w:pPr>
                    <w:pStyle w:val="13"/>
                    <w:rPr>
                      <w:color w:val="auto"/>
                      <w:highlight w:val="none"/>
                    </w:rPr>
                  </w:pPr>
                </w:p>
              </w:tc>
              <w:tc>
                <w:tcPr>
                  <w:tcW w:w="674" w:type="pct"/>
                  <w:vMerge w:val="continue"/>
                  <w:tcBorders>
                    <w:tl2br w:val="nil"/>
                    <w:tr2bl w:val="nil"/>
                  </w:tcBorders>
                  <w:vAlign w:val="center"/>
                </w:tcPr>
                <w:p w14:paraId="356686C8">
                  <w:pPr>
                    <w:pStyle w:val="13"/>
                    <w:rPr>
                      <w:color w:val="auto"/>
                      <w:highlight w:val="none"/>
                    </w:rPr>
                  </w:pPr>
                </w:p>
              </w:tc>
              <w:tc>
                <w:tcPr>
                  <w:tcW w:w="676" w:type="pct"/>
                  <w:vMerge w:val="continue"/>
                  <w:tcBorders>
                    <w:tl2br w:val="nil"/>
                    <w:tr2bl w:val="nil"/>
                  </w:tcBorders>
                  <w:vAlign w:val="center"/>
                </w:tcPr>
                <w:p w14:paraId="394D86B7">
                  <w:pPr>
                    <w:pStyle w:val="13"/>
                    <w:rPr>
                      <w:color w:val="auto"/>
                      <w:highlight w:val="none"/>
                    </w:rPr>
                  </w:pPr>
                </w:p>
              </w:tc>
              <w:tc>
                <w:tcPr>
                  <w:tcW w:w="1929" w:type="pct"/>
                  <w:vMerge w:val="continue"/>
                  <w:tcBorders>
                    <w:tl2br w:val="nil"/>
                    <w:tr2bl w:val="nil"/>
                  </w:tcBorders>
                  <w:vAlign w:val="center"/>
                </w:tcPr>
                <w:p w14:paraId="6E35EF12">
                  <w:pPr>
                    <w:pStyle w:val="13"/>
                    <w:rPr>
                      <w:color w:val="auto"/>
                      <w:highlight w:val="none"/>
                    </w:rPr>
                  </w:pPr>
                </w:p>
              </w:tc>
            </w:tr>
            <w:tr w14:paraId="09C7C5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370" w:type="pct"/>
                  <w:tcBorders>
                    <w:tl2br w:val="nil"/>
                    <w:tr2bl w:val="nil"/>
                  </w:tcBorders>
                  <w:vAlign w:val="center"/>
                </w:tcPr>
                <w:p w14:paraId="6F7EF6E8">
                  <w:pPr>
                    <w:pStyle w:val="13"/>
                    <w:rPr>
                      <w:color w:val="auto"/>
                      <w:highlight w:val="none"/>
                    </w:rPr>
                  </w:pPr>
                  <w:r>
                    <w:rPr>
                      <w:rFonts w:hint="eastAsia"/>
                      <w:color w:val="auto"/>
                      <w:highlight w:val="none"/>
                    </w:rPr>
                    <w:t>3</w:t>
                  </w:r>
                </w:p>
              </w:tc>
              <w:tc>
                <w:tcPr>
                  <w:tcW w:w="674" w:type="pct"/>
                  <w:tcBorders>
                    <w:tl2br w:val="nil"/>
                    <w:tr2bl w:val="nil"/>
                  </w:tcBorders>
                  <w:vAlign w:val="center"/>
                </w:tcPr>
                <w:p w14:paraId="74D32301">
                  <w:pPr>
                    <w:pStyle w:val="13"/>
                    <w:rPr>
                      <w:color w:val="auto"/>
                      <w:highlight w:val="none"/>
                    </w:rPr>
                  </w:pPr>
                  <w:r>
                    <w:rPr>
                      <w:rFonts w:hint="eastAsia"/>
                      <w:color w:val="auto"/>
                      <w:highlight w:val="none"/>
                    </w:rPr>
                    <w:t>厂界西</w:t>
                  </w:r>
                </w:p>
              </w:tc>
              <w:tc>
                <w:tcPr>
                  <w:tcW w:w="674" w:type="pct"/>
                  <w:vMerge w:val="continue"/>
                  <w:tcBorders>
                    <w:tl2br w:val="nil"/>
                    <w:tr2bl w:val="nil"/>
                  </w:tcBorders>
                  <w:vAlign w:val="center"/>
                </w:tcPr>
                <w:p w14:paraId="62F2DFF6">
                  <w:pPr>
                    <w:pStyle w:val="13"/>
                    <w:rPr>
                      <w:color w:val="auto"/>
                      <w:highlight w:val="none"/>
                    </w:rPr>
                  </w:pPr>
                </w:p>
              </w:tc>
              <w:tc>
                <w:tcPr>
                  <w:tcW w:w="674" w:type="pct"/>
                  <w:vMerge w:val="continue"/>
                  <w:tcBorders>
                    <w:tl2br w:val="nil"/>
                    <w:tr2bl w:val="nil"/>
                  </w:tcBorders>
                  <w:vAlign w:val="center"/>
                </w:tcPr>
                <w:p w14:paraId="1A86D149">
                  <w:pPr>
                    <w:pStyle w:val="13"/>
                    <w:rPr>
                      <w:color w:val="auto"/>
                      <w:highlight w:val="none"/>
                    </w:rPr>
                  </w:pPr>
                </w:p>
              </w:tc>
              <w:tc>
                <w:tcPr>
                  <w:tcW w:w="676" w:type="pct"/>
                  <w:vMerge w:val="continue"/>
                  <w:tcBorders>
                    <w:tl2br w:val="nil"/>
                    <w:tr2bl w:val="nil"/>
                  </w:tcBorders>
                  <w:vAlign w:val="center"/>
                </w:tcPr>
                <w:p w14:paraId="4117AD18">
                  <w:pPr>
                    <w:pStyle w:val="13"/>
                    <w:rPr>
                      <w:color w:val="auto"/>
                      <w:highlight w:val="none"/>
                    </w:rPr>
                  </w:pPr>
                </w:p>
              </w:tc>
              <w:tc>
                <w:tcPr>
                  <w:tcW w:w="1929" w:type="pct"/>
                  <w:vMerge w:val="continue"/>
                  <w:tcBorders>
                    <w:tl2br w:val="nil"/>
                    <w:tr2bl w:val="nil"/>
                  </w:tcBorders>
                  <w:vAlign w:val="center"/>
                </w:tcPr>
                <w:p w14:paraId="445847D0">
                  <w:pPr>
                    <w:pStyle w:val="13"/>
                    <w:rPr>
                      <w:color w:val="auto"/>
                      <w:highlight w:val="none"/>
                    </w:rPr>
                  </w:pPr>
                </w:p>
              </w:tc>
            </w:tr>
            <w:tr w14:paraId="40316B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40" w:hRule="atLeast"/>
                <w:jc w:val="center"/>
              </w:trPr>
              <w:tc>
                <w:tcPr>
                  <w:tcW w:w="370" w:type="pct"/>
                  <w:tcBorders>
                    <w:tl2br w:val="nil"/>
                    <w:tr2bl w:val="nil"/>
                  </w:tcBorders>
                  <w:vAlign w:val="center"/>
                </w:tcPr>
                <w:p w14:paraId="4FE0C49E">
                  <w:pPr>
                    <w:pStyle w:val="13"/>
                    <w:rPr>
                      <w:color w:val="auto"/>
                      <w:highlight w:val="none"/>
                    </w:rPr>
                  </w:pPr>
                  <w:r>
                    <w:rPr>
                      <w:rFonts w:hint="eastAsia"/>
                      <w:color w:val="auto"/>
                      <w:highlight w:val="none"/>
                    </w:rPr>
                    <w:t>4</w:t>
                  </w:r>
                </w:p>
              </w:tc>
              <w:tc>
                <w:tcPr>
                  <w:tcW w:w="674" w:type="pct"/>
                  <w:tcBorders>
                    <w:tl2br w:val="nil"/>
                    <w:tr2bl w:val="nil"/>
                  </w:tcBorders>
                  <w:vAlign w:val="center"/>
                </w:tcPr>
                <w:p w14:paraId="7CE3C340">
                  <w:pPr>
                    <w:pStyle w:val="13"/>
                    <w:rPr>
                      <w:color w:val="auto"/>
                      <w:highlight w:val="none"/>
                    </w:rPr>
                  </w:pPr>
                  <w:r>
                    <w:rPr>
                      <w:rFonts w:hint="eastAsia"/>
                      <w:color w:val="auto"/>
                      <w:highlight w:val="none"/>
                    </w:rPr>
                    <w:t>厂界北</w:t>
                  </w:r>
                </w:p>
              </w:tc>
              <w:tc>
                <w:tcPr>
                  <w:tcW w:w="674" w:type="pct"/>
                  <w:vMerge w:val="continue"/>
                  <w:tcBorders>
                    <w:tl2br w:val="nil"/>
                    <w:tr2bl w:val="nil"/>
                  </w:tcBorders>
                  <w:vAlign w:val="center"/>
                </w:tcPr>
                <w:p w14:paraId="48C676FE">
                  <w:pPr>
                    <w:pStyle w:val="13"/>
                    <w:rPr>
                      <w:color w:val="auto"/>
                      <w:highlight w:val="none"/>
                    </w:rPr>
                  </w:pPr>
                </w:p>
              </w:tc>
              <w:tc>
                <w:tcPr>
                  <w:tcW w:w="674" w:type="pct"/>
                  <w:vMerge w:val="continue"/>
                  <w:tcBorders>
                    <w:tl2br w:val="nil"/>
                    <w:tr2bl w:val="nil"/>
                  </w:tcBorders>
                  <w:vAlign w:val="center"/>
                </w:tcPr>
                <w:p w14:paraId="00CFDB26">
                  <w:pPr>
                    <w:pStyle w:val="13"/>
                    <w:rPr>
                      <w:color w:val="auto"/>
                      <w:highlight w:val="none"/>
                    </w:rPr>
                  </w:pPr>
                </w:p>
              </w:tc>
              <w:tc>
                <w:tcPr>
                  <w:tcW w:w="676" w:type="pct"/>
                  <w:vMerge w:val="continue"/>
                  <w:tcBorders>
                    <w:tl2br w:val="nil"/>
                    <w:tr2bl w:val="nil"/>
                  </w:tcBorders>
                  <w:vAlign w:val="center"/>
                </w:tcPr>
                <w:p w14:paraId="4116F15C">
                  <w:pPr>
                    <w:pStyle w:val="13"/>
                    <w:rPr>
                      <w:color w:val="auto"/>
                      <w:highlight w:val="none"/>
                    </w:rPr>
                  </w:pPr>
                </w:p>
              </w:tc>
              <w:tc>
                <w:tcPr>
                  <w:tcW w:w="1929" w:type="pct"/>
                  <w:vMerge w:val="continue"/>
                  <w:tcBorders>
                    <w:tl2br w:val="nil"/>
                    <w:tr2bl w:val="nil"/>
                  </w:tcBorders>
                  <w:vAlign w:val="center"/>
                </w:tcPr>
                <w:p w14:paraId="283624E0">
                  <w:pPr>
                    <w:pStyle w:val="13"/>
                    <w:rPr>
                      <w:color w:val="auto"/>
                      <w:highlight w:val="none"/>
                    </w:rPr>
                  </w:pPr>
                </w:p>
              </w:tc>
            </w:tr>
          </w:tbl>
          <w:p w14:paraId="42E7D550">
            <w:pPr>
              <w:ind w:firstLine="480"/>
              <w:rPr>
                <w:color w:val="auto"/>
                <w:highlight w:val="none"/>
              </w:rPr>
            </w:pPr>
          </w:p>
          <w:p w14:paraId="52EF2F5C">
            <w:pPr>
              <w:ind w:firstLine="480"/>
              <w:rPr>
                <w:color w:val="auto"/>
                <w:highlight w:val="none"/>
              </w:rPr>
            </w:pPr>
          </w:p>
          <w:p w14:paraId="3CF8B955">
            <w:pPr>
              <w:ind w:firstLine="480"/>
              <w:rPr>
                <w:color w:val="auto"/>
                <w:highlight w:val="none"/>
              </w:rPr>
            </w:pPr>
          </w:p>
        </w:tc>
      </w:tr>
    </w:tbl>
    <w:p w14:paraId="47EF13FF">
      <w:pPr>
        <w:ind w:firstLine="480"/>
        <w:rPr>
          <w:color w:val="auto"/>
          <w:highlight w:val="none"/>
        </w:rPr>
        <w:sectPr>
          <w:pgSz w:w="11906" w:h="16838"/>
          <w:pgMar w:top="1134" w:right="1247" w:bottom="1247" w:left="1134" w:header="851" w:footer="850" w:gutter="0"/>
          <w:cols w:space="425" w:num="1"/>
          <w:docGrid w:type="lines" w:linePitch="312" w:charSpace="0"/>
        </w:sectPr>
      </w:pPr>
    </w:p>
    <w:tbl>
      <w:tblPr>
        <w:tblStyle w:val="9"/>
        <w:tblW w:w="499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52"/>
        <w:gridCol w:w="14218"/>
      </w:tblGrid>
      <w:tr w14:paraId="66D5CC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4" w:type="pct"/>
            <w:vAlign w:val="center"/>
          </w:tcPr>
          <w:p w14:paraId="39DEFB39">
            <w:pPr>
              <w:spacing w:line="240" w:lineRule="auto"/>
              <w:ind w:firstLine="0" w:firstLineChars="0"/>
              <w:jc w:val="center"/>
              <w:rPr>
                <w:color w:val="auto"/>
                <w:highlight w:val="none"/>
              </w:rPr>
            </w:pPr>
            <w:r>
              <w:rPr>
                <w:rFonts w:hint="eastAsia"/>
                <w:b/>
                <w:bCs/>
                <w:color w:val="auto"/>
                <w:highlight w:val="none"/>
              </w:rPr>
              <w:t>运营期</w:t>
            </w:r>
            <w:r>
              <w:rPr>
                <w:b/>
                <w:bCs/>
                <w:color w:val="auto"/>
                <w:highlight w:val="none"/>
              </w:rPr>
              <w:t>环境影响和保护措施</w:t>
            </w:r>
          </w:p>
        </w:tc>
        <w:tc>
          <w:tcPr>
            <w:tcW w:w="4845" w:type="pct"/>
          </w:tcPr>
          <w:p w14:paraId="3A588E87">
            <w:pPr>
              <w:pStyle w:val="2"/>
              <w:ind w:firstLine="482"/>
              <w:rPr>
                <w:color w:val="auto"/>
                <w:highlight w:val="none"/>
              </w:rPr>
            </w:pPr>
            <w:r>
              <w:rPr>
                <w:rFonts w:hint="eastAsia"/>
                <w:color w:val="auto"/>
                <w:highlight w:val="none"/>
              </w:rPr>
              <w:t>4</w:t>
            </w:r>
            <w:r>
              <w:rPr>
                <w:color w:val="auto"/>
                <w:highlight w:val="none"/>
              </w:rPr>
              <w:t>、固体废物环境影响及保护措施</w:t>
            </w:r>
          </w:p>
          <w:p w14:paraId="72609C31">
            <w:pPr>
              <w:pStyle w:val="2"/>
              <w:ind w:firstLine="482"/>
              <w:rPr>
                <w:color w:val="auto"/>
                <w:highlight w:val="none"/>
              </w:rPr>
            </w:pPr>
            <w:r>
              <w:rPr>
                <w:rFonts w:hint="eastAsia"/>
                <w:color w:val="auto"/>
                <w:highlight w:val="none"/>
              </w:rPr>
              <w:t>（1）固废产生情况</w:t>
            </w:r>
          </w:p>
          <w:p w14:paraId="7F550B1E">
            <w:pPr>
              <w:ind w:firstLine="480"/>
              <w:rPr>
                <w:color w:val="auto"/>
                <w:highlight w:val="none"/>
              </w:rPr>
            </w:pPr>
            <w:r>
              <w:rPr>
                <w:color w:val="auto"/>
                <w:highlight w:val="none"/>
              </w:rPr>
              <w:t>项目运营过程中固体废物主要包括一般工业固废（</w:t>
            </w:r>
            <w:r>
              <w:rPr>
                <w:rFonts w:hint="eastAsia"/>
                <w:color w:val="auto"/>
                <w:highlight w:val="none"/>
              </w:rPr>
              <w:t>筛分杂质、磁选杂质、废包装材料、炉渣、除尘粉尘</w:t>
            </w:r>
            <w:r>
              <w:rPr>
                <w:color w:val="auto"/>
                <w:highlight w:val="none"/>
              </w:rPr>
              <w:t>）</w:t>
            </w:r>
            <w:r>
              <w:rPr>
                <w:rFonts w:hint="eastAsia"/>
                <w:color w:val="auto"/>
                <w:highlight w:val="none"/>
              </w:rPr>
              <w:t>、</w:t>
            </w:r>
            <w:r>
              <w:rPr>
                <w:color w:val="auto"/>
                <w:highlight w:val="none"/>
              </w:rPr>
              <w:t>危险废物（</w:t>
            </w:r>
            <w:r>
              <w:rPr>
                <w:rFonts w:hint="eastAsia"/>
                <w:color w:val="auto"/>
                <w:highlight w:val="none"/>
              </w:rPr>
              <w:t>废矿物油</w:t>
            </w:r>
            <w:r>
              <w:rPr>
                <w:color w:val="auto"/>
                <w:highlight w:val="none"/>
              </w:rPr>
              <w:t>）以及生活垃圾。项目生产过程中产生的固体废物产生情况及排放信息一览表如下表所示：</w:t>
            </w:r>
          </w:p>
          <w:p w14:paraId="7C987FE5">
            <w:pPr>
              <w:pStyle w:val="14"/>
              <w:spacing w:before="156"/>
              <w:rPr>
                <w:color w:val="auto"/>
                <w:highlight w:val="none"/>
              </w:rPr>
            </w:pPr>
            <w:r>
              <w:rPr>
                <w:color w:val="auto"/>
                <w:highlight w:val="none"/>
              </w:rPr>
              <w:t>表4-</w:t>
            </w:r>
            <w:r>
              <w:rPr>
                <w:rFonts w:hint="eastAsia"/>
                <w:color w:val="auto"/>
                <w:highlight w:val="none"/>
                <w:lang w:val="en-US" w:eastAsia="zh-CN"/>
              </w:rPr>
              <w:t>13</w:t>
            </w:r>
            <w:r>
              <w:rPr>
                <w:color w:val="auto"/>
                <w:highlight w:val="none"/>
              </w:rPr>
              <w:t xml:space="preserve">  项目固体废物产生情况汇总</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335"/>
              <w:gridCol w:w="1081"/>
              <w:gridCol w:w="4995"/>
              <w:gridCol w:w="2235"/>
              <w:gridCol w:w="733"/>
              <w:gridCol w:w="929"/>
              <w:gridCol w:w="1080"/>
              <w:gridCol w:w="901"/>
            </w:tblGrid>
            <w:tr w14:paraId="630BE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48" w:type="pct"/>
                  <w:tcBorders>
                    <w:tl2br w:val="nil"/>
                    <w:tr2bl w:val="nil"/>
                  </w:tcBorders>
                  <w:vAlign w:val="center"/>
                </w:tcPr>
                <w:p w14:paraId="016F7A18">
                  <w:pPr>
                    <w:pStyle w:val="13"/>
                    <w:rPr>
                      <w:b/>
                      <w:bCs/>
                      <w:color w:val="auto"/>
                      <w:highlight w:val="none"/>
                    </w:rPr>
                  </w:pPr>
                  <w:r>
                    <w:rPr>
                      <w:rFonts w:hint="eastAsia"/>
                      <w:b/>
                      <w:bCs/>
                      <w:color w:val="auto"/>
                      <w:highlight w:val="none"/>
                    </w:rPr>
                    <w:t>序号</w:t>
                  </w:r>
                </w:p>
              </w:tc>
              <w:tc>
                <w:tcPr>
                  <w:tcW w:w="477" w:type="pct"/>
                  <w:tcBorders>
                    <w:tl2br w:val="nil"/>
                    <w:tr2bl w:val="nil"/>
                  </w:tcBorders>
                  <w:vAlign w:val="center"/>
                </w:tcPr>
                <w:p w14:paraId="2CAB8E9C">
                  <w:pPr>
                    <w:pStyle w:val="13"/>
                    <w:rPr>
                      <w:b/>
                      <w:bCs/>
                      <w:color w:val="auto"/>
                      <w:highlight w:val="none"/>
                    </w:rPr>
                  </w:pPr>
                  <w:r>
                    <w:rPr>
                      <w:rFonts w:hint="eastAsia"/>
                      <w:b/>
                      <w:bCs/>
                      <w:color w:val="auto"/>
                      <w:highlight w:val="none"/>
                    </w:rPr>
                    <w:t>固废名称</w:t>
                  </w:r>
                </w:p>
              </w:tc>
              <w:tc>
                <w:tcPr>
                  <w:tcW w:w="386" w:type="pct"/>
                  <w:tcBorders>
                    <w:tl2br w:val="nil"/>
                    <w:tr2bl w:val="nil"/>
                  </w:tcBorders>
                  <w:vAlign w:val="center"/>
                </w:tcPr>
                <w:p w14:paraId="4C8AD0BD">
                  <w:pPr>
                    <w:pStyle w:val="13"/>
                    <w:rPr>
                      <w:b/>
                      <w:bCs/>
                      <w:color w:val="auto"/>
                      <w:highlight w:val="none"/>
                    </w:rPr>
                  </w:pPr>
                  <w:r>
                    <w:rPr>
                      <w:rFonts w:hint="eastAsia"/>
                      <w:b/>
                      <w:bCs/>
                      <w:color w:val="auto"/>
                      <w:highlight w:val="none"/>
                    </w:rPr>
                    <w:t>产生环节</w:t>
                  </w:r>
                </w:p>
              </w:tc>
              <w:tc>
                <w:tcPr>
                  <w:tcW w:w="1785" w:type="pct"/>
                  <w:tcBorders>
                    <w:tl2br w:val="nil"/>
                    <w:tr2bl w:val="nil"/>
                  </w:tcBorders>
                  <w:vAlign w:val="center"/>
                </w:tcPr>
                <w:p w14:paraId="0476AE61">
                  <w:pPr>
                    <w:pStyle w:val="13"/>
                    <w:rPr>
                      <w:b/>
                      <w:bCs/>
                      <w:color w:val="auto"/>
                      <w:highlight w:val="none"/>
                    </w:rPr>
                  </w:pPr>
                  <w:r>
                    <w:rPr>
                      <w:rFonts w:hint="eastAsia"/>
                      <w:b/>
                      <w:bCs/>
                      <w:color w:val="auto"/>
                      <w:highlight w:val="none"/>
                    </w:rPr>
                    <w:t>固废属性</w:t>
                  </w:r>
                </w:p>
              </w:tc>
              <w:tc>
                <w:tcPr>
                  <w:tcW w:w="799" w:type="pct"/>
                  <w:tcBorders>
                    <w:tl2br w:val="nil"/>
                    <w:tr2bl w:val="nil"/>
                  </w:tcBorders>
                  <w:vAlign w:val="center"/>
                </w:tcPr>
                <w:p w14:paraId="580C7496">
                  <w:pPr>
                    <w:pStyle w:val="13"/>
                    <w:rPr>
                      <w:b/>
                      <w:bCs/>
                      <w:color w:val="auto"/>
                      <w:highlight w:val="none"/>
                    </w:rPr>
                  </w:pPr>
                  <w:r>
                    <w:rPr>
                      <w:rFonts w:hint="eastAsia"/>
                      <w:b/>
                      <w:bCs/>
                      <w:color w:val="auto"/>
                      <w:highlight w:val="none"/>
                    </w:rPr>
                    <w:t>主要成分</w:t>
                  </w:r>
                </w:p>
              </w:tc>
              <w:tc>
                <w:tcPr>
                  <w:tcW w:w="262" w:type="pct"/>
                  <w:tcBorders>
                    <w:tl2br w:val="nil"/>
                    <w:tr2bl w:val="nil"/>
                  </w:tcBorders>
                  <w:vAlign w:val="center"/>
                </w:tcPr>
                <w:p w14:paraId="70E184EB">
                  <w:pPr>
                    <w:pStyle w:val="13"/>
                    <w:rPr>
                      <w:b/>
                      <w:bCs/>
                      <w:color w:val="auto"/>
                      <w:highlight w:val="none"/>
                    </w:rPr>
                  </w:pPr>
                  <w:r>
                    <w:rPr>
                      <w:rFonts w:hint="eastAsia"/>
                      <w:b/>
                      <w:bCs/>
                      <w:color w:val="auto"/>
                      <w:highlight w:val="none"/>
                    </w:rPr>
                    <w:t>物理性状</w:t>
                  </w:r>
                </w:p>
              </w:tc>
              <w:tc>
                <w:tcPr>
                  <w:tcW w:w="332" w:type="pct"/>
                  <w:tcBorders>
                    <w:tl2br w:val="nil"/>
                    <w:tr2bl w:val="nil"/>
                  </w:tcBorders>
                  <w:vAlign w:val="center"/>
                </w:tcPr>
                <w:p w14:paraId="16B510D4">
                  <w:pPr>
                    <w:pStyle w:val="13"/>
                    <w:rPr>
                      <w:b/>
                      <w:bCs/>
                      <w:color w:val="auto"/>
                      <w:highlight w:val="none"/>
                    </w:rPr>
                  </w:pPr>
                  <w:r>
                    <w:rPr>
                      <w:rFonts w:hint="eastAsia"/>
                      <w:b/>
                      <w:bCs/>
                      <w:color w:val="auto"/>
                      <w:highlight w:val="none"/>
                    </w:rPr>
                    <w:t>环境危险特性</w:t>
                  </w:r>
                </w:p>
              </w:tc>
              <w:tc>
                <w:tcPr>
                  <w:tcW w:w="386" w:type="pct"/>
                  <w:tcBorders>
                    <w:tl2br w:val="nil"/>
                    <w:tr2bl w:val="nil"/>
                  </w:tcBorders>
                  <w:vAlign w:val="center"/>
                </w:tcPr>
                <w:p w14:paraId="3B534665">
                  <w:pPr>
                    <w:pStyle w:val="13"/>
                    <w:rPr>
                      <w:b/>
                      <w:bCs/>
                      <w:color w:val="auto"/>
                      <w:highlight w:val="none"/>
                    </w:rPr>
                  </w:pPr>
                  <w:r>
                    <w:rPr>
                      <w:rFonts w:hint="eastAsia"/>
                      <w:b/>
                      <w:bCs/>
                      <w:color w:val="auto"/>
                      <w:highlight w:val="none"/>
                    </w:rPr>
                    <w:t>年产生量（t/a）</w:t>
                  </w:r>
                </w:p>
              </w:tc>
              <w:tc>
                <w:tcPr>
                  <w:tcW w:w="322" w:type="pct"/>
                  <w:tcBorders>
                    <w:tl2br w:val="nil"/>
                    <w:tr2bl w:val="nil"/>
                  </w:tcBorders>
                  <w:vAlign w:val="center"/>
                </w:tcPr>
                <w:p w14:paraId="04C05F12">
                  <w:pPr>
                    <w:pStyle w:val="13"/>
                    <w:rPr>
                      <w:b/>
                      <w:bCs/>
                      <w:color w:val="auto"/>
                      <w:highlight w:val="none"/>
                    </w:rPr>
                  </w:pPr>
                  <w:r>
                    <w:rPr>
                      <w:rFonts w:hint="eastAsia"/>
                      <w:b/>
                      <w:bCs/>
                      <w:color w:val="auto"/>
                      <w:highlight w:val="none"/>
                    </w:rPr>
                    <w:t>贮存方式</w:t>
                  </w:r>
                </w:p>
              </w:tc>
            </w:tr>
            <w:tr w14:paraId="28D77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48" w:type="pct"/>
                  <w:tcBorders>
                    <w:tl2br w:val="nil"/>
                    <w:tr2bl w:val="nil"/>
                  </w:tcBorders>
                  <w:vAlign w:val="center"/>
                </w:tcPr>
                <w:p w14:paraId="5AF15062">
                  <w:pPr>
                    <w:pStyle w:val="13"/>
                    <w:rPr>
                      <w:color w:val="auto"/>
                      <w:highlight w:val="none"/>
                    </w:rPr>
                  </w:pPr>
                  <w:r>
                    <w:rPr>
                      <w:rFonts w:hint="eastAsia"/>
                      <w:color w:val="auto"/>
                      <w:highlight w:val="none"/>
                    </w:rPr>
                    <w:t>1</w:t>
                  </w:r>
                </w:p>
              </w:tc>
              <w:tc>
                <w:tcPr>
                  <w:tcW w:w="477" w:type="pct"/>
                  <w:tcBorders>
                    <w:tl2br w:val="nil"/>
                    <w:tr2bl w:val="nil"/>
                  </w:tcBorders>
                  <w:vAlign w:val="center"/>
                </w:tcPr>
                <w:p w14:paraId="76A5A13B">
                  <w:pPr>
                    <w:pStyle w:val="13"/>
                    <w:rPr>
                      <w:color w:val="auto"/>
                      <w:highlight w:val="none"/>
                    </w:rPr>
                  </w:pPr>
                  <w:r>
                    <w:rPr>
                      <w:rFonts w:hint="eastAsia" w:cs="Times New Roman"/>
                      <w:color w:val="auto"/>
                      <w:highlight w:val="none"/>
                    </w:rPr>
                    <w:t>筛分杂质</w:t>
                  </w:r>
                </w:p>
              </w:tc>
              <w:tc>
                <w:tcPr>
                  <w:tcW w:w="386" w:type="pct"/>
                  <w:tcBorders>
                    <w:tl2br w:val="nil"/>
                    <w:tr2bl w:val="nil"/>
                  </w:tcBorders>
                  <w:vAlign w:val="center"/>
                </w:tcPr>
                <w:p w14:paraId="4B274846">
                  <w:pPr>
                    <w:pStyle w:val="13"/>
                    <w:rPr>
                      <w:color w:val="auto"/>
                      <w:highlight w:val="none"/>
                    </w:rPr>
                  </w:pPr>
                  <w:r>
                    <w:rPr>
                      <w:rFonts w:hint="eastAsia" w:cs="Times New Roman"/>
                      <w:color w:val="auto"/>
                      <w:highlight w:val="none"/>
                    </w:rPr>
                    <w:t>筛分</w:t>
                  </w:r>
                </w:p>
              </w:tc>
              <w:tc>
                <w:tcPr>
                  <w:tcW w:w="1785" w:type="pct"/>
                  <w:tcBorders>
                    <w:tl2br w:val="nil"/>
                    <w:tr2bl w:val="nil"/>
                  </w:tcBorders>
                  <w:vAlign w:val="center"/>
                </w:tcPr>
                <w:p w14:paraId="3D0C7860">
                  <w:pPr>
                    <w:pStyle w:val="13"/>
                    <w:rPr>
                      <w:color w:val="auto"/>
                      <w:highlight w:val="none"/>
                    </w:rPr>
                  </w:pPr>
                  <w:r>
                    <w:rPr>
                      <w:rFonts w:hint="eastAsia"/>
                      <w:color w:val="auto"/>
                      <w:highlight w:val="none"/>
                    </w:rPr>
                    <w:t>SW59 其他工业固体废物--非特定行业--900-099-S59</w:t>
                  </w:r>
                </w:p>
              </w:tc>
              <w:tc>
                <w:tcPr>
                  <w:tcW w:w="799" w:type="pct"/>
                  <w:tcBorders>
                    <w:tl2br w:val="nil"/>
                    <w:tr2bl w:val="nil"/>
                  </w:tcBorders>
                  <w:vAlign w:val="center"/>
                </w:tcPr>
                <w:p w14:paraId="2272D7A3">
                  <w:pPr>
                    <w:pStyle w:val="13"/>
                    <w:rPr>
                      <w:color w:val="auto"/>
                      <w:highlight w:val="none"/>
                    </w:rPr>
                  </w:pPr>
                  <w:r>
                    <w:rPr>
                      <w:rFonts w:hint="eastAsia" w:cs="Times New Roman"/>
                      <w:color w:val="auto"/>
                      <w:highlight w:val="none"/>
                    </w:rPr>
                    <w:t>石块、泥块、麻袋头、线头等杂物</w:t>
                  </w:r>
                </w:p>
              </w:tc>
              <w:tc>
                <w:tcPr>
                  <w:tcW w:w="262" w:type="pct"/>
                  <w:tcBorders>
                    <w:tl2br w:val="nil"/>
                    <w:tr2bl w:val="nil"/>
                  </w:tcBorders>
                  <w:vAlign w:val="center"/>
                </w:tcPr>
                <w:p w14:paraId="2AC75D1C">
                  <w:pPr>
                    <w:pStyle w:val="13"/>
                    <w:rPr>
                      <w:color w:val="auto"/>
                      <w:highlight w:val="none"/>
                    </w:rPr>
                  </w:pPr>
                  <w:r>
                    <w:rPr>
                      <w:rFonts w:hint="eastAsia"/>
                      <w:color w:val="auto"/>
                      <w:highlight w:val="none"/>
                    </w:rPr>
                    <w:t>固态</w:t>
                  </w:r>
                </w:p>
              </w:tc>
              <w:tc>
                <w:tcPr>
                  <w:tcW w:w="929" w:type="dxa"/>
                  <w:tcBorders>
                    <w:tl2br w:val="nil"/>
                    <w:tr2bl w:val="nil"/>
                  </w:tcBorders>
                  <w:vAlign w:val="center"/>
                </w:tcPr>
                <w:p w14:paraId="3D4BCD4B">
                  <w:pPr>
                    <w:pStyle w:val="13"/>
                    <w:rPr>
                      <w:color w:val="auto"/>
                      <w:highlight w:val="none"/>
                    </w:rPr>
                  </w:pPr>
                  <w:r>
                    <w:rPr>
                      <w:rFonts w:hint="eastAsia"/>
                      <w:color w:val="auto"/>
                      <w:highlight w:val="none"/>
                    </w:rPr>
                    <w:t>/</w:t>
                  </w:r>
                </w:p>
              </w:tc>
              <w:tc>
                <w:tcPr>
                  <w:tcW w:w="386" w:type="pct"/>
                  <w:tcBorders>
                    <w:tl2br w:val="nil"/>
                    <w:tr2bl w:val="nil"/>
                  </w:tcBorders>
                  <w:vAlign w:val="center"/>
                </w:tcPr>
                <w:p w14:paraId="200F9316">
                  <w:pPr>
                    <w:pStyle w:val="13"/>
                    <w:rPr>
                      <w:color w:val="auto"/>
                      <w:highlight w:val="none"/>
                    </w:rPr>
                  </w:pPr>
                  <w:r>
                    <w:rPr>
                      <w:rFonts w:hint="eastAsia"/>
                      <w:color w:val="auto"/>
                      <w:highlight w:val="none"/>
                    </w:rPr>
                    <w:t>10</w:t>
                  </w:r>
                </w:p>
              </w:tc>
              <w:tc>
                <w:tcPr>
                  <w:tcW w:w="322" w:type="pct"/>
                  <w:tcBorders>
                    <w:tl2br w:val="nil"/>
                    <w:tr2bl w:val="nil"/>
                  </w:tcBorders>
                  <w:vAlign w:val="center"/>
                </w:tcPr>
                <w:p w14:paraId="108A687F">
                  <w:pPr>
                    <w:pStyle w:val="13"/>
                    <w:rPr>
                      <w:color w:val="auto"/>
                      <w:highlight w:val="none"/>
                    </w:rPr>
                  </w:pPr>
                  <w:r>
                    <w:rPr>
                      <w:rFonts w:hint="eastAsia"/>
                      <w:color w:val="auto"/>
                      <w:highlight w:val="none"/>
                    </w:rPr>
                    <w:t>袋装</w:t>
                  </w:r>
                </w:p>
              </w:tc>
            </w:tr>
            <w:tr w14:paraId="66FE0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48" w:type="pct"/>
                  <w:tcBorders>
                    <w:tl2br w:val="nil"/>
                    <w:tr2bl w:val="nil"/>
                  </w:tcBorders>
                  <w:vAlign w:val="center"/>
                </w:tcPr>
                <w:p w14:paraId="6D1AC423">
                  <w:pPr>
                    <w:pStyle w:val="13"/>
                    <w:rPr>
                      <w:color w:val="auto"/>
                      <w:highlight w:val="none"/>
                    </w:rPr>
                  </w:pPr>
                  <w:r>
                    <w:rPr>
                      <w:rFonts w:hint="eastAsia"/>
                      <w:color w:val="auto"/>
                      <w:highlight w:val="none"/>
                    </w:rPr>
                    <w:t>2</w:t>
                  </w:r>
                </w:p>
              </w:tc>
              <w:tc>
                <w:tcPr>
                  <w:tcW w:w="477" w:type="pct"/>
                  <w:tcBorders>
                    <w:tl2br w:val="nil"/>
                    <w:tr2bl w:val="nil"/>
                  </w:tcBorders>
                  <w:vAlign w:val="center"/>
                </w:tcPr>
                <w:p w14:paraId="36E3716B">
                  <w:pPr>
                    <w:pStyle w:val="13"/>
                    <w:rPr>
                      <w:color w:val="auto"/>
                      <w:highlight w:val="none"/>
                    </w:rPr>
                  </w:pPr>
                  <w:r>
                    <w:rPr>
                      <w:rFonts w:hint="eastAsia" w:cs="Times New Roman"/>
                      <w:color w:val="auto"/>
                      <w:highlight w:val="none"/>
                    </w:rPr>
                    <w:t>磁选杂质</w:t>
                  </w:r>
                </w:p>
              </w:tc>
              <w:tc>
                <w:tcPr>
                  <w:tcW w:w="386" w:type="pct"/>
                  <w:tcBorders>
                    <w:tl2br w:val="nil"/>
                    <w:tr2bl w:val="nil"/>
                  </w:tcBorders>
                  <w:vAlign w:val="center"/>
                </w:tcPr>
                <w:p w14:paraId="4E82F5B4">
                  <w:pPr>
                    <w:pStyle w:val="13"/>
                    <w:rPr>
                      <w:color w:val="auto"/>
                      <w:highlight w:val="none"/>
                    </w:rPr>
                  </w:pPr>
                  <w:r>
                    <w:rPr>
                      <w:rFonts w:hint="eastAsia" w:cs="Times New Roman"/>
                      <w:color w:val="auto"/>
                      <w:highlight w:val="none"/>
                    </w:rPr>
                    <w:t>磁选</w:t>
                  </w:r>
                </w:p>
              </w:tc>
              <w:tc>
                <w:tcPr>
                  <w:tcW w:w="1785" w:type="pct"/>
                  <w:tcBorders>
                    <w:tl2br w:val="nil"/>
                    <w:tr2bl w:val="nil"/>
                  </w:tcBorders>
                  <w:vAlign w:val="center"/>
                </w:tcPr>
                <w:p w14:paraId="1118E072">
                  <w:pPr>
                    <w:pStyle w:val="13"/>
                    <w:rPr>
                      <w:color w:val="auto"/>
                      <w:highlight w:val="none"/>
                    </w:rPr>
                  </w:pPr>
                  <w:r>
                    <w:rPr>
                      <w:rFonts w:hint="eastAsia"/>
                      <w:color w:val="auto"/>
                      <w:highlight w:val="none"/>
                    </w:rPr>
                    <w:t>SW17 可再生类废物物--非特定行业--900-001-S17</w:t>
                  </w:r>
                </w:p>
              </w:tc>
              <w:tc>
                <w:tcPr>
                  <w:tcW w:w="799" w:type="pct"/>
                  <w:tcBorders>
                    <w:tl2br w:val="nil"/>
                    <w:tr2bl w:val="nil"/>
                  </w:tcBorders>
                  <w:vAlign w:val="center"/>
                </w:tcPr>
                <w:p w14:paraId="02673808">
                  <w:pPr>
                    <w:pStyle w:val="13"/>
                    <w:rPr>
                      <w:color w:val="auto"/>
                      <w:highlight w:val="none"/>
                    </w:rPr>
                  </w:pPr>
                  <w:r>
                    <w:rPr>
                      <w:rFonts w:cs="Times New Roman"/>
                      <w:color w:val="auto"/>
                      <w:highlight w:val="none"/>
                    </w:rPr>
                    <w:t>废铁</w:t>
                  </w:r>
                </w:p>
              </w:tc>
              <w:tc>
                <w:tcPr>
                  <w:tcW w:w="262" w:type="pct"/>
                  <w:tcBorders>
                    <w:tl2br w:val="nil"/>
                    <w:tr2bl w:val="nil"/>
                  </w:tcBorders>
                  <w:vAlign w:val="center"/>
                </w:tcPr>
                <w:p w14:paraId="4CDD2A60">
                  <w:pPr>
                    <w:pStyle w:val="13"/>
                    <w:rPr>
                      <w:color w:val="auto"/>
                      <w:highlight w:val="none"/>
                    </w:rPr>
                  </w:pPr>
                  <w:r>
                    <w:rPr>
                      <w:rFonts w:hint="eastAsia"/>
                      <w:color w:val="auto"/>
                      <w:highlight w:val="none"/>
                    </w:rPr>
                    <w:t>固态</w:t>
                  </w:r>
                </w:p>
              </w:tc>
              <w:tc>
                <w:tcPr>
                  <w:tcW w:w="929" w:type="dxa"/>
                  <w:tcBorders>
                    <w:tl2br w:val="nil"/>
                    <w:tr2bl w:val="nil"/>
                  </w:tcBorders>
                  <w:vAlign w:val="center"/>
                </w:tcPr>
                <w:p w14:paraId="5BAF89CE">
                  <w:pPr>
                    <w:pStyle w:val="13"/>
                    <w:rPr>
                      <w:color w:val="auto"/>
                      <w:highlight w:val="none"/>
                    </w:rPr>
                  </w:pPr>
                  <w:r>
                    <w:rPr>
                      <w:rFonts w:hint="eastAsia"/>
                      <w:color w:val="auto"/>
                      <w:highlight w:val="none"/>
                    </w:rPr>
                    <w:t>/</w:t>
                  </w:r>
                </w:p>
              </w:tc>
              <w:tc>
                <w:tcPr>
                  <w:tcW w:w="386" w:type="pct"/>
                  <w:tcBorders>
                    <w:tl2br w:val="nil"/>
                    <w:tr2bl w:val="nil"/>
                  </w:tcBorders>
                  <w:vAlign w:val="center"/>
                </w:tcPr>
                <w:p w14:paraId="78468803">
                  <w:pPr>
                    <w:pStyle w:val="13"/>
                    <w:rPr>
                      <w:color w:val="auto"/>
                      <w:highlight w:val="none"/>
                    </w:rPr>
                  </w:pPr>
                  <w:r>
                    <w:rPr>
                      <w:rFonts w:hint="eastAsia"/>
                      <w:color w:val="auto"/>
                      <w:highlight w:val="none"/>
                    </w:rPr>
                    <w:t>1</w:t>
                  </w:r>
                </w:p>
              </w:tc>
              <w:tc>
                <w:tcPr>
                  <w:tcW w:w="322" w:type="pct"/>
                  <w:tcBorders>
                    <w:tl2br w:val="nil"/>
                    <w:tr2bl w:val="nil"/>
                  </w:tcBorders>
                  <w:vAlign w:val="center"/>
                </w:tcPr>
                <w:p w14:paraId="44DCD5AC">
                  <w:pPr>
                    <w:pStyle w:val="13"/>
                    <w:rPr>
                      <w:color w:val="auto"/>
                      <w:highlight w:val="none"/>
                    </w:rPr>
                  </w:pPr>
                  <w:r>
                    <w:rPr>
                      <w:rFonts w:hint="eastAsia"/>
                      <w:color w:val="auto"/>
                      <w:highlight w:val="none"/>
                    </w:rPr>
                    <w:t>袋装</w:t>
                  </w:r>
                </w:p>
              </w:tc>
            </w:tr>
            <w:tr w14:paraId="34812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48" w:type="pct"/>
                  <w:tcBorders>
                    <w:tl2br w:val="nil"/>
                    <w:tr2bl w:val="nil"/>
                  </w:tcBorders>
                  <w:vAlign w:val="center"/>
                </w:tcPr>
                <w:p w14:paraId="3A7713F6">
                  <w:pPr>
                    <w:pStyle w:val="13"/>
                    <w:rPr>
                      <w:color w:val="auto"/>
                      <w:highlight w:val="none"/>
                    </w:rPr>
                  </w:pPr>
                  <w:r>
                    <w:rPr>
                      <w:rFonts w:hint="eastAsia"/>
                      <w:color w:val="auto"/>
                      <w:highlight w:val="none"/>
                    </w:rPr>
                    <w:t>3</w:t>
                  </w:r>
                </w:p>
              </w:tc>
              <w:tc>
                <w:tcPr>
                  <w:tcW w:w="477" w:type="pct"/>
                  <w:tcBorders>
                    <w:tl2br w:val="nil"/>
                    <w:tr2bl w:val="nil"/>
                  </w:tcBorders>
                  <w:vAlign w:val="center"/>
                </w:tcPr>
                <w:p w14:paraId="05459CDD">
                  <w:pPr>
                    <w:pStyle w:val="13"/>
                    <w:rPr>
                      <w:color w:val="auto"/>
                      <w:highlight w:val="none"/>
                    </w:rPr>
                  </w:pPr>
                  <w:r>
                    <w:rPr>
                      <w:rFonts w:hint="eastAsia" w:cs="Times New Roman"/>
                      <w:color w:val="auto"/>
                      <w:highlight w:val="none"/>
                    </w:rPr>
                    <w:t>废包装材料</w:t>
                  </w:r>
                </w:p>
              </w:tc>
              <w:tc>
                <w:tcPr>
                  <w:tcW w:w="386" w:type="pct"/>
                  <w:tcBorders>
                    <w:tl2br w:val="nil"/>
                    <w:tr2bl w:val="nil"/>
                  </w:tcBorders>
                  <w:vAlign w:val="center"/>
                </w:tcPr>
                <w:p w14:paraId="5A9F6B41">
                  <w:pPr>
                    <w:pStyle w:val="13"/>
                    <w:rPr>
                      <w:color w:val="auto"/>
                      <w:highlight w:val="none"/>
                    </w:rPr>
                  </w:pPr>
                  <w:r>
                    <w:rPr>
                      <w:rFonts w:hint="eastAsia" w:cs="Times New Roman"/>
                      <w:color w:val="auto"/>
                      <w:highlight w:val="none"/>
                    </w:rPr>
                    <w:t>/</w:t>
                  </w:r>
                </w:p>
              </w:tc>
              <w:tc>
                <w:tcPr>
                  <w:tcW w:w="1785" w:type="pct"/>
                  <w:tcBorders>
                    <w:tl2br w:val="nil"/>
                    <w:tr2bl w:val="nil"/>
                  </w:tcBorders>
                  <w:vAlign w:val="center"/>
                </w:tcPr>
                <w:p w14:paraId="30E27375">
                  <w:pPr>
                    <w:pStyle w:val="13"/>
                    <w:rPr>
                      <w:color w:val="auto"/>
                      <w:highlight w:val="none"/>
                    </w:rPr>
                  </w:pPr>
                  <w:r>
                    <w:rPr>
                      <w:rFonts w:hint="eastAsia"/>
                      <w:color w:val="auto"/>
                      <w:highlight w:val="none"/>
                    </w:rPr>
                    <w:t>SW59 可再生类废物--非特定行业--900-099-S59</w:t>
                  </w:r>
                </w:p>
              </w:tc>
              <w:tc>
                <w:tcPr>
                  <w:tcW w:w="799" w:type="pct"/>
                  <w:tcBorders>
                    <w:tl2br w:val="nil"/>
                    <w:tr2bl w:val="nil"/>
                  </w:tcBorders>
                  <w:vAlign w:val="center"/>
                </w:tcPr>
                <w:p w14:paraId="7A7416FB">
                  <w:pPr>
                    <w:pStyle w:val="13"/>
                    <w:rPr>
                      <w:color w:val="auto"/>
                      <w:highlight w:val="none"/>
                    </w:rPr>
                  </w:pPr>
                  <w:r>
                    <w:rPr>
                      <w:rFonts w:cs="Times New Roman"/>
                      <w:color w:val="auto"/>
                      <w:highlight w:val="none"/>
                    </w:rPr>
                    <w:t>废包装材料</w:t>
                  </w:r>
                </w:p>
              </w:tc>
              <w:tc>
                <w:tcPr>
                  <w:tcW w:w="262" w:type="pct"/>
                  <w:tcBorders>
                    <w:tl2br w:val="nil"/>
                    <w:tr2bl w:val="nil"/>
                  </w:tcBorders>
                  <w:vAlign w:val="center"/>
                </w:tcPr>
                <w:p w14:paraId="52A2A653">
                  <w:pPr>
                    <w:pStyle w:val="13"/>
                    <w:rPr>
                      <w:color w:val="auto"/>
                      <w:highlight w:val="none"/>
                    </w:rPr>
                  </w:pPr>
                  <w:r>
                    <w:rPr>
                      <w:rFonts w:hint="eastAsia"/>
                      <w:color w:val="auto"/>
                      <w:highlight w:val="none"/>
                    </w:rPr>
                    <w:t>固态</w:t>
                  </w:r>
                </w:p>
              </w:tc>
              <w:tc>
                <w:tcPr>
                  <w:tcW w:w="929" w:type="dxa"/>
                  <w:tcBorders>
                    <w:tl2br w:val="nil"/>
                    <w:tr2bl w:val="nil"/>
                  </w:tcBorders>
                  <w:vAlign w:val="center"/>
                </w:tcPr>
                <w:p w14:paraId="44D3A3D4">
                  <w:pPr>
                    <w:pStyle w:val="13"/>
                    <w:rPr>
                      <w:color w:val="auto"/>
                      <w:highlight w:val="none"/>
                    </w:rPr>
                  </w:pPr>
                  <w:r>
                    <w:rPr>
                      <w:rFonts w:hint="eastAsia"/>
                      <w:color w:val="auto"/>
                      <w:highlight w:val="none"/>
                    </w:rPr>
                    <w:t>/</w:t>
                  </w:r>
                </w:p>
              </w:tc>
              <w:tc>
                <w:tcPr>
                  <w:tcW w:w="386" w:type="pct"/>
                  <w:tcBorders>
                    <w:tl2br w:val="nil"/>
                    <w:tr2bl w:val="nil"/>
                  </w:tcBorders>
                  <w:vAlign w:val="center"/>
                </w:tcPr>
                <w:p w14:paraId="0640E884">
                  <w:pPr>
                    <w:pStyle w:val="13"/>
                    <w:rPr>
                      <w:color w:val="auto"/>
                      <w:highlight w:val="none"/>
                    </w:rPr>
                  </w:pPr>
                  <w:r>
                    <w:rPr>
                      <w:rFonts w:hint="eastAsia"/>
                      <w:color w:val="auto"/>
                      <w:highlight w:val="none"/>
                    </w:rPr>
                    <w:t>0.5</w:t>
                  </w:r>
                </w:p>
              </w:tc>
              <w:tc>
                <w:tcPr>
                  <w:tcW w:w="322" w:type="pct"/>
                  <w:tcBorders>
                    <w:tl2br w:val="nil"/>
                    <w:tr2bl w:val="nil"/>
                  </w:tcBorders>
                  <w:vAlign w:val="center"/>
                </w:tcPr>
                <w:p w14:paraId="0324C408">
                  <w:pPr>
                    <w:pStyle w:val="13"/>
                    <w:rPr>
                      <w:color w:val="auto"/>
                      <w:highlight w:val="none"/>
                    </w:rPr>
                  </w:pPr>
                  <w:r>
                    <w:rPr>
                      <w:rFonts w:hint="eastAsia"/>
                      <w:color w:val="auto"/>
                      <w:highlight w:val="none"/>
                    </w:rPr>
                    <w:t>袋装</w:t>
                  </w:r>
                </w:p>
              </w:tc>
            </w:tr>
            <w:tr w14:paraId="2D0EF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48" w:type="pct"/>
                  <w:tcBorders>
                    <w:tl2br w:val="nil"/>
                    <w:tr2bl w:val="nil"/>
                  </w:tcBorders>
                  <w:vAlign w:val="center"/>
                </w:tcPr>
                <w:p w14:paraId="593F835E">
                  <w:pPr>
                    <w:pStyle w:val="13"/>
                    <w:rPr>
                      <w:color w:val="auto"/>
                      <w:highlight w:val="none"/>
                    </w:rPr>
                  </w:pPr>
                  <w:r>
                    <w:rPr>
                      <w:rFonts w:hint="eastAsia"/>
                      <w:color w:val="auto"/>
                      <w:highlight w:val="none"/>
                    </w:rPr>
                    <w:t>4</w:t>
                  </w:r>
                </w:p>
              </w:tc>
              <w:tc>
                <w:tcPr>
                  <w:tcW w:w="477" w:type="pct"/>
                  <w:tcBorders>
                    <w:tl2br w:val="nil"/>
                    <w:tr2bl w:val="nil"/>
                  </w:tcBorders>
                  <w:vAlign w:val="center"/>
                </w:tcPr>
                <w:p w14:paraId="749F955F">
                  <w:pPr>
                    <w:pStyle w:val="13"/>
                    <w:rPr>
                      <w:rFonts w:cs="Times New Roman"/>
                      <w:color w:val="auto"/>
                      <w:highlight w:val="none"/>
                    </w:rPr>
                  </w:pPr>
                  <w:r>
                    <w:rPr>
                      <w:rFonts w:hint="eastAsia" w:cs="Times New Roman"/>
                      <w:color w:val="auto"/>
                      <w:highlight w:val="none"/>
                    </w:rPr>
                    <w:t>炉渣</w:t>
                  </w:r>
                </w:p>
              </w:tc>
              <w:tc>
                <w:tcPr>
                  <w:tcW w:w="386" w:type="pct"/>
                  <w:tcBorders>
                    <w:tl2br w:val="nil"/>
                    <w:tr2bl w:val="nil"/>
                  </w:tcBorders>
                  <w:vAlign w:val="center"/>
                </w:tcPr>
                <w:p w14:paraId="293250C1">
                  <w:pPr>
                    <w:pStyle w:val="13"/>
                    <w:rPr>
                      <w:color w:val="auto"/>
                      <w:highlight w:val="none"/>
                    </w:rPr>
                  </w:pPr>
                  <w:r>
                    <w:rPr>
                      <w:rFonts w:hint="eastAsia" w:cs="Times New Roman"/>
                      <w:color w:val="auto"/>
                      <w:highlight w:val="none"/>
                    </w:rPr>
                    <w:t>蒸汽锅炉</w:t>
                  </w:r>
                </w:p>
              </w:tc>
              <w:tc>
                <w:tcPr>
                  <w:tcW w:w="1785" w:type="pct"/>
                  <w:tcBorders>
                    <w:tl2br w:val="nil"/>
                    <w:tr2bl w:val="nil"/>
                  </w:tcBorders>
                  <w:vAlign w:val="center"/>
                </w:tcPr>
                <w:p w14:paraId="0A50BDAE">
                  <w:pPr>
                    <w:pStyle w:val="13"/>
                    <w:rPr>
                      <w:color w:val="auto"/>
                      <w:highlight w:val="none"/>
                    </w:rPr>
                  </w:pPr>
                  <w:r>
                    <w:rPr>
                      <w:rFonts w:hint="eastAsia"/>
                      <w:color w:val="auto"/>
                      <w:highlight w:val="none"/>
                    </w:rPr>
                    <w:t>SW03 炉渣--非特定行业--900-099-S03</w:t>
                  </w:r>
                </w:p>
              </w:tc>
              <w:tc>
                <w:tcPr>
                  <w:tcW w:w="799" w:type="pct"/>
                  <w:tcBorders>
                    <w:tl2br w:val="nil"/>
                    <w:tr2bl w:val="nil"/>
                  </w:tcBorders>
                  <w:vAlign w:val="center"/>
                </w:tcPr>
                <w:p w14:paraId="56896D37">
                  <w:pPr>
                    <w:pStyle w:val="13"/>
                    <w:rPr>
                      <w:rFonts w:hint="default" w:eastAsia="宋体"/>
                      <w:color w:val="auto"/>
                      <w:highlight w:val="none"/>
                      <w:lang w:val="en-US" w:eastAsia="zh-CN"/>
                    </w:rPr>
                  </w:pPr>
                  <w:r>
                    <w:rPr>
                      <w:rFonts w:hint="eastAsia"/>
                      <w:color w:val="auto"/>
                      <w:highlight w:val="none"/>
                    </w:rPr>
                    <w:t>炉渣</w:t>
                  </w:r>
                  <w:r>
                    <w:rPr>
                      <w:rFonts w:hint="eastAsia"/>
                      <w:color w:val="auto"/>
                      <w:highlight w:val="none"/>
                      <w:lang w:eastAsia="zh-CN"/>
                    </w:rPr>
                    <w:t>、</w:t>
                  </w:r>
                  <w:r>
                    <w:rPr>
                      <w:rFonts w:hint="eastAsia"/>
                      <w:color w:val="auto"/>
                      <w:highlight w:val="none"/>
                      <w:lang w:val="en-US" w:eastAsia="zh-CN"/>
                    </w:rPr>
                    <w:t>锅炉除尘器粉尘</w:t>
                  </w:r>
                </w:p>
              </w:tc>
              <w:tc>
                <w:tcPr>
                  <w:tcW w:w="262" w:type="pct"/>
                  <w:tcBorders>
                    <w:tl2br w:val="nil"/>
                    <w:tr2bl w:val="nil"/>
                  </w:tcBorders>
                  <w:vAlign w:val="center"/>
                </w:tcPr>
                <w:p w14:paraId="712FA8E0">
                  <w:pPr>
                    <w:pStyle w:val="13"/>
                    <w:rPr>
                      <w:color w:val="auto"/>
                      <w:highlight w:val="none"/>
                    </w:rPr>
                  </w:pPr>
                  <w:r>
                    <w:rPr>
                      <w:rFonts w:hint="eastAsia"/>
                      <w:color w:val="auto"/>
                      <w:highlight w:val="none"/>
                    </w:rPr>
                    <w:t>固态</w:t>
                  </w:r>
                </w:p>
              </w:tc>
              <w:tc>
                <w:tcPr>
                  <w:tcW w:w="929" w:type="dxa"/>
                  <w:tcBorders>
                    <w:tl2br w:val="nil"/>
                    <w:tr2bl w:val="nil"/>
                  </w:tcBorders>
                  <w:vAlign w:val="center"/>
                </w:tcPr>
                <w:p w14:paraId="4C6E87AB">
                  <w:pPr>
                    <w:pStyle w:val="13"/>
                    <w:rPr>
                      <w:color w:val="auto"/>
                      <w:highlight w:val="none"/>
                    </w:rPr>
                  </w:pPr>
                  <w:r>
                    <w:rPr>
                      <w:rFonts w:hint="eastAsia"/>
                      <w:color w:val="auto"/>
                      <w:highlight w:val="none"/>
                    </w:rPr>
                    <w:t>/</w:t>
                  </w:r>
                </w:p>
              </w:tc>
              <w:tc>
                <w:tcPr>
                  <w:tcW w:w="386" w:type="pct"/>
                  <w:tcBorders>
                    <w:tl2br w:val="nil"/>
                    <w:tr2bl w:val="nil"/>
                  </w:tcBorders>
                  <w:vAlign w:val="center"/>
                </w:tcPr>
                <w:p w14:paraId="47579359">
                  <w:pPr>
                    <w:pStyle w:val="13"/>
                    <w:rPr>
                      <w:color w:val="auto"/>
                      <w:highlight w:val="none"/>
                    </w:rPr>
                  </w:pPr>
                  <w:r>
                    <w:rPr>
                      <w:rFonts w:hint="eastAsia"/>
                      <w:color w:val="auto"/>
                      <w:highlight w:val="none"/>
                      <w:lang w:val="en-US" w:eastAsia="zh-CN"/>
                    </w:rPr>
                    <w:t>1.0371</w:t>
                  </w:r>
                </w:p>
              </w:tc>
              <w:tc>
                <w:tcPr>
                  <w:tcW w:w="322" w:type="pct"/>
                  <w:tcBorders>
                    <w:tl2br w:val="nil"/>
                    <w:tr2bl w:val="nil"/>
                  </w:tcBorders>
                  <w:vAlign w:val="center"/>
                </w:tcPr>
                <w:p w14:paraId="05BC8A36">
                  <w:pPr>
                    <w:pStyle w:val="13"/>
                    <w:rPr>
                      <w:color w:val="auto"/>
                      <w:highlight w:val="none"/>
                    </w:rPr>
                  </w:pPr>
                  <w:r>
                    <w:rPr>
                      <w:rFonts w:hint="eastAsia"/>
                      <w:color w:val="auto"/>
                      <w:highlight w:val="none"/>
                    </w:rPr>
                    <w:t>袋装</w:t>
                  </w:r>
                </w:p>
              </w:tc>
            </w:tr>
            <w:tr w14:paraId="48EB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48" w:type="pct"/>
                  <w:tcBorders>
                    <w:tl2br w:val="nil"/>
                    <w:tr2bl w:val="nil"/>
                  </w:tcBorders>
                  <w:vAlign w:val="center"/>
                </w:tcPr>
                <w:p w14:paraId="32C12B56">
                  <w:pPr>
                    <w:pStyle w:val="13"/>
                    <w:rPr>
                      <w:color w:val="auto"/>
                      <w:highlight w:val="none"/>
                    </w:rPr>
                  </w:pPr>
                  <w:r>
                    <w:rPr>
                      <w:rFonts w:hint="eastAsia"/>
                      <w:color w:val="auto"/>
                      <w:highlight w:val="none"/>
                    </w:rPr>
                    <w:t>5</w:t>
                  </w:r>
                </w:p>
              </w:tc>
              <w:tc>
                <w:tcPr>
                  <w:tcW w:w="477" w:type="pct"/>
                  <w:tcBorders>
                    <w:tl2br w:val="nil"/>
                    <w:tr2bl w:val="nil"/>
                  </w:tcBorders>
                  <w:vAlign w:val="center"/>
                </w:tcPr>
                <w:p w14:paraId="37A85C62">
                  <w:pPr>
                    <w:pStyle w:val="13"/>
                    <w:rPr>
                      <w:rFonts w:cs="Times New Roman"/>
                      <w:color w:val="auto"/>
                      <w:highlight w:val="none"/>
                    </w:rPr>
                  </w:pPr>
                  <w:r>
                    <w:rPr>
                      <w:rFonts w:hint="eastAsia" w:cs="Times New Roman"/>
                      <w:color w:val="auto"/>
                      <w:highlight w:val="none"/>
                    </w:rPr>
                    <w:t>除尘粉尘</w:t>
                  </w:r>
                </w:p>
              </w:tc>
              <w:tc>
                <w:tcPr>
                  <w:tcW w:w="386" w:type="pct"/>
                  <w:tcBorders>
                    <w:tl2br w:val="nil"/>
                    <w:tr2bl w:val="nil"/>
                  </w:tcBorders>
                  <w:vAlign w:val="center"/>
                </w:tcPr>
                <w:p w14:paraId="50ECE2C8">
                  <w:pPr>
                    <w:pStyle w:val="13"/>
                    <w:rPr>
                      <w:color w:val="auto"/>
                      <w:highlight w:val="none"/>
                    </w:rPr>
                  </w:pPr>
                  <w:r>
                    <w:rPr>
                      <w:rFonts w:hint="eastAsia" w:cs="Times New Roman"/>
                      <w:color w:val="auto"/>
                      <w:highlight w:val="none"/>
                    </w:rPr>
                    <w:t>废气处理</w:t>
                  </w:r>
                </w:p>
              </w:tc>
              <w:tc>
                <w:tcPr>
                  <w:tcW w:w="1785" w:type="pct"/>
                  <w:tcBorders>
                    <w:tl2br w:val="nil"/>
                    <w:tr2bl w:val="nil"/>
                  </w:tcBorders>
                  <w:vAlign w:val="center"/>
                </w:tcPr>
                <w:p w14:paraId="2AC501ED">
                  <w:pPr>
                    <w:pStyle w:val="13"/>
                    <w:rPr>
                      <w:color w:val="auto"/>
                      <w:highlight w:val="none"/>
                    </w:rPr>
                  </w:pPr>
                  <w:r>
                    <w:rPr>
                      <w:rFonts w:hint="eastAsia"/>
                      <w:color w:val="auto"/>
                      <w:highlight w:val="none"/>
                    </w:rPr>
                    <w:t>SW59 其他工业固体废物--非特定行业--900-099-S59</w:t>
                  </w:r>
                </w:p>
              </w:tc>
              <w:tc>
                <w:tcPr>
                  <w:tcW w:w="799" w:type="pct"/>
                  <w:tcBorders>
                    <w:tl2br w:val="nil"/>
                    <w:tr2bl w:val="nil"/>
                  </w:tcBorders>
                  <w:vAlign w:val="center"/>
                </w:tcPr>
                <w:p w14:paraId="62E7B0D2">
                  <w:pPr>
                    <w:pStyle w:val="13"/>
                    <w:rPr>
                      <w:color w:val="auto"/>
                      <w:highlight w:val="none"/>
                    </w:rPr>
                  </w:pPr>
                  <w:r>
                    <w:rPr>
                      <w:rFonts w:hint="eastAsia" w:cs="Times New Roman"/>
                      <w:color w:val="auto"/>
                      <w:highlight w:val="none"/>
                    </w:rPr>
                    <w:t>除尘器粉尘</w:t>
                  </w:r>
                </w:p>
              </w:tc>
              <w:tc>
                <w:tcPr>
                  <w:tcW w:w="262" w:type="pct"/>
                  <w:tcBorders>
                    <w:tl2br w:val="nil"/>
                    <w:tr2bl w:val="nil"/>
                  </w:tcBorders>
                  <w:vAlign w:val="center"/>
                </w:tcPr>
                <w:p w14:paraId="6D774C51">
                  <w:pPr>
                    <w:pStyle w:val="13"/>
                    <w:rPr>
                      <w:color w:val="auto"/>
                      <w:highlight w:val="none"/>
                    </w:rPr>
                  </w:pPr>
                  <w:r>
                    <w:rPr>
                      <w:rFonts w:hint="eastAsia"/>
                      <w:color w:val="auto"/>
                      <w:highlight w:val="none"/>
                    </w:rPr>
                    <w:t>固态</w:t>
                  </w:r>
                </w:p>
              </w:tc>
              <w:tc>
                <w:tcPr>
                  <w:tcW w:w="929" w:type="dxa"/>
                  <w:tcBorders>
                    <w:tl2br w:val="nil"/>
                    <w:tr2bl w:val="nil"/>
                  </w:tcBorders>
                  <w:vAlign w:val="center"/>
                </w:tcPr>
                <w:p w14:paraId="14B7AC13">
                  <w:pPr>
                    <w:pStyle w:val="13"/>
                    <w:rPr>
                      <w:color w:val="auto"/>
                      <w:highlight w:val="none"/>
                    </w:rPr>
                  </w:pPr>
                  <w:r>
                    <w:rPr>
                      <w:rFonts w:hint="eastAsia"/>
                      <w:color w:val="auto"/>
                      <w:highlight w:val="none"/>
                    </w:rPr>
                    <w:t>/</w:t>
                  </w:r>
                </w:p>
              </w:tc>
              <w:tc>
                <w:tcPr>
                  <w:tcW w:w="386" w:type="pct"/>
                  <w:tcBorders>
                    <w:tl2br w:val="nil"/>
                    <w:tr2bl w:val="nil"/>
                  </w:tcBorders>
                  <w:vAlign w:val="center"/>
                </w:tcPr>
                <w:p w14:paraId="65511710">
                  <w:pPr>
                    <w:pStyle w:val="13"/>
                    <w:rPr>
                      <w:rFonts w:hint="eastAsia" w:eastAsia="宋体"/>
                      <w:color w:val="auto"/>
                      <w:highlight w:val="none"/>
                      <w:lang w:eastAsia="zh-CN"/>
                    </w:rPr>
                  </w:pPr>
                  <w:r>
                    <w:rPr>
                      <w:rFonts w:hint="eastAsia"/>
                      <w:color w:val="auto"/>
                      <w:highlight w:val="none"/>
                    </w:rPr>
                    <w:t>86.3181</w:t>
                  </w:r>
                </w:p>
              </w:tc>
              <w:tc>
                <w:tcPr>
                  <w:tcW w:w="322" w:type="pct"/>
                  <w:tcBorders>
                    <w:tl2br w:val="nil"/>
                    <w:tr2bl w:val="nil"/>
                  </w:tcBorders>
                  <w:vAlign w:val="center"/>
                </w:tcPr>
                <w:p w14:paraId="72EEA98F">
                  <w:pPr>
                    <w:pStyle w:val="13"/>
                    <w:rPr>
                      <w:color w:val="auto"/>
                      <w:highlight w:val="none"/>
                    </w:rPr>
                  </w:pPr>
                  <w:r>
                    <w:rPr>
                      <w:rFonts w:hint="eastAsia"/>
                      <w:color w:val="auto"/>
                      <w:highlight w:val="none"/>
                    </w:rPr>
                    <w:t>袋装</w:t>
                  </w:r>
                </w:p>
              </w:tc>
            </w:tr>
            <w:tr w14:paraId="4E02A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48" w:type="pct"/>
                  <w:tcBorders>
                    <w:tl2br w:val="nil"/>
                    <w:tr2bl w:val="nil"/>
                  </w:tcBorders>
                  <w:vAlign w:val="center"/>
                </w:tcPr>
                <w:p w14:paraId="19AE9551">
                  <w:pPr>
                    <w:pStyle w:val="13"/>
                    <w:rPr>
                      <w:color w:val="auto"/>
                      <w:highlight w:val="none"/>
                    </w:rPr>
                  </w:pPr>
                  <w:r>
                    <w:rPr>
                      <w:rFonts w:hint="eastAsia"/>
                      <w:color w:val="auto"/>
                      <w:highlight w:val="none"/>
                    </w:rPr>
                    <w:t>6</w:t>
                  </w:r>
                </w:p>
              </w:tc>
              <w:tc>
                <w:tcPr>
                  <w:tcW w:w="477" w:type="pct"/>
                  <w:tcBorders>
                    <w:tl2br w:val="nil"/>
                    <w:tr2bl w:val="nil"/>
                  </w:tcBorders>
                  <w:vAlign w:val="center"/>
                </w:tcPr>
                <w:p w14:paraId="59A2F115">
                  <w:pPr>
                    <w:pStyle w:val="13"/>
                    <w:rPr>
                      <w:color w:val="auto"/>
                      <w:highlight w:val="none"/>
                    </w:rPr>
                  </w:pPr>
                  <w:r>
                    <w:rPr>
                      <w:rFonts w:hint="eastAsia" w:cs="Times New Roman"/>
                      <w:color w:val="auto"/>
                      <w:highlight w:val="none"/>
                    </w:rPr>
                    <w:t>废矿物油</w:t>
                  </w:r>
                </w:p>
              </w:tc>
              <w:tc>
                <w:tcPr>
                  <w:tcW w:w="386" w:type="pct"/>
                  <w:tcBorders>
                    <w:tl2br w:val="nil"/>
                    <w:tr2bl w:val="nil"/>
                  </w:tcBorders>
                  <w:vAlign w:val="center"/>
                </w:tcPr>
                <w:p w14:paraId="5B07965B">
                  <w:pPr>
                    <w:pStyle w:val="13"/>
                    <w:rPr>
                      <w:color w:val="auto"/>
                      <w:highlight w:val="none"/>
                    </w:rPr>
                  </w:pPr>
                  <w:r>
                    <w:rPr>
                      <w:rFonts w:hint="eastAsia" w:cs="Times New Roman"/>
                      <w:color w:val="auto"/>
                      <w:highlight w:val="none"/>
                    </w:rPr>
                    <w:t>设备维护</w:t>
                  </w:r>
                </w:p>
              </w:tc>
              <w:tc>
                <w:tcPr>
                  <w:tcW w:w="1785" w:type="pct"/>
                  <w:tcBorders>
                    <w:tl2br w:val="nil"/>
                    <w:tr2bl w:val="nil"/>
                  </w:tcBorders>
                  <w:vAlign w:val="center"/>
                </w:tcPr>
                <w:p w14:paraId="4D201832">
                  <w:pPr>
                    <w:pStyle w:val="13"/>
                    <w:rPr>
                      <w:color w:val="auto"/>
                      <w:highlight w:val="none"/>
                    </w:rPr>
                  </w:pPr>
                  <w:r>
                    <w:rPr>
                      <w:rFonts w:hint="eastAsia"/>
                      <w:color w:val="auto"/>
                      <w:highlight w:val="none"/>
                    </w:rPr>
                    <w:t>HW49 其他废物，代码：900-039-49</w:t>
                  </w:r>
                </w:p>
              </w:tc>
              <w:tc>
                <w:tcPr>
                  <w:tcW w:w="799" w:type="pct"/>
                  <w:tcBorders>
                    <w:tl2br w:val="nil"/>
                    <w:tr2bl w:val="nil"/>
                  </w:tcBorders>
                  <w:vAlign w:val="center"/>
                </w:tcPr>
                <w:p w14:paraId="634D08A9">
                  <w:pPr>
                    <w:pStyle w:val="13"/>
                    <w:rPr>
                      <w:color w:val="auto"/>
                      <w:highlight w:val="none"/>
                    </w:rPr>
                  </w:pPr>
                  <w:r>
                    <w:rPr>
                      <w:rFonts w:hint="eastAsia" w:cs="Times New Roman"/>
                      <w:color w:val="auto"/>
                      <w:highlight w:val="none"/>
                    </w:rPr>
                    <w:t>废机油、废液压油</w:t>
                  </w:r>
                </w:p>
              </w:tc>
              <w:tc>
                <w:tcPr>
                  <w:tcW w:w="262" w:type="pct"/>
                  <w:tcBorders>
                    <w:tl2br w:val="nil"/>
                    <w:tr2bl w:val="nil"/>
                  </w:tcBorders>
                  <w:vAlign w:val="center"/>
                </w:tcPr>
                <w:p w14:paraId="1D5214B6">
                  <w:pPr>
                    <w:pStyle w:val="13"/>
                    <w:rPr>
                      <w:color w:val="auto"/>
                      <w:highlight w:val="none"/>
                    </w:rPr>
                  </w:pPr>
                  <w:r>
                    <w:rPr>
                      <w:rFonts w:hint="eastAsia"/>
                      <w:color w:val="auto"/>
                      <w:highlight w:val="none"/>
                      <w:lang w:val="en-US" w:eastAsia="zh-CN"/>
                    </w:rPr>
                    <w:t>液</w:t>
                  </w:r>
                  <w:r>
                    <w:rPr>
                      <w:rFonts w:hint="eastAsia"/>
                      <w:color w:val="auto"/>
                      <w:highlight w:val="none"/>
                    </w:rPr>
                    <w:t>态</w:t>
                  </w:r>
                </w:p>
              </w:tc>
              <w:tc>
                <w:tcPr>
                  <w:tcW w:w="332" w:type="pct"/>
                  <w:tcBorders>
                    <w:tl2br w:val="nil"/>
                    <w:tr2bl w:val="nil"/>
                  </w:tcBorders>
                  <w:vAlign w:val="center"/>
                </w:tcPr>
                <w:p w14:paraId="70F1515F">
                  <w:pPr>
                    <w:pStyle w:val="13"/>
                    <w:rPr>
                      <w:color w:val="auto"/>
                      <w:highlight w:val="none"/>
                    </w:rPr>
                  </w:pPr>
                  <w:r>
                    <w:rPr>
                      <w:rFonts w:hint="eastAsia"/>
                      <w:color w:val="auto"/>
                      <w:highlight w:val="none"/>
                    </w:rPr>
                    <w:t>T/In</w:t>
                  </w:r>
                </w:p>
              </w:tc>
              <w:tc>
                <w:tcPr>
                  <w:tcW w:w="386" w:type="pct"/>
                  <w:tcBorders>
                    <w:tl2br w:val="nil"/>
                    <w:tr2bl w:val="nil"/>
                  </w:tcBorders>
                  <w:vAlign w:val="center"/>
                </w:tcPr>
                <w:p w14:paraId="74CB9FBF">
                  <w:pPr>
                    <w:pStyle w:val="13"/>
                    <w:rPr>
                      <w:color w:val="auto"/>
                      <w:highlight w:val="none"/>
                    </w:rPr>
                  </w:pPr>
                  <w:r>
                    <w:rPr>
                      <w:rFonts w:hint="eastAsia"/>
                      <w:color w:val="auto"/>
                      <w:highlight w:val="none"/>
                    </w:rPr>
                    <w:t>1.05</w:t>
                  </w:r>
                </w:p>
              </w:tc>
              <w:tc>
                <w:tcPr>
                  <w:tcW w:w="322" w:type="pct"/>
                  <w:tcBorders>
                    <w:tl2br w:val="nil"/>
                    <w:tr2bl w:val="nil"/>
                  </w:tcBorders>
                  <w:vAlign w:val="center"/>
                </w:tcPr>
                <w:p w14:paraId="42BC5481">
                  <w:pPr>
                    <w:pStyle w:val="13"/>
                    <w:rPr>
                      <w:color w:val="auto"/>
                      <w:highlight w:val="none"/>
                    </w:rPr>
                  </w:pPr>
                  <w:r>
                    <w:rPr>
                      <w:rFonts w:hint="eastAsia"/>
                      <w:color w:val="auto"/>
                      <w:highlight w:val="none"/>
                    </w:rPr>
                    <w:t>桶装</w:t>
                  </w:r>
                </w:p>
              </w:tc>
            </w:tr>
            <w:tr w14:paraId="05577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48" w:type="pct"/>
                  <w:tcBorders>
                    <w:tl2br w:val="nil"/>
                    <w:tr2bl w:val="nil"/>
                  </w:tcBorders>
                  <w:vAlign w:val="center"/>
                </w:tcPr>
                <w:p w14:paraId="567D8CDB">
                  <w:pPr>
                    <w:pStyle w:val="13"/>
                    <w:rPr>
                      <w:color w:val="auto"/>
                      <w:highlight w:val="none"/>
                    </w:rPr>
                  </w:pPr>
                  <w:r>
                    <w:rPr>
                      <w:rFonts w:hint="eastAsia"/>
                      <w:color w:val="auto"/>
                      <w:highlight w:val="none"/>
                    </w:rPr>
                    <w:t>7</w:t>
                  </w:r>
                </w:p>
              </w:tc>
              <w:tc>
                <w:tcPr>
                  <w:tcW w:w="477" w:type="pct"/>
                  <w:tcBorders>
                    <w:tl2br w:val="nil"/>
                    <w:tr2bl w:val="nil"/>
                  </w:tcBorders>
                  <w:vAlign w:val="center"/>
                </w:tcPr>
                <w:p w14:paraId="2991A452">
                  <w:pPr>
                    <w:pStyle w:val="13"/>
                    <w:rPr>
                      <w:color w:val="auto"/>
                      <w:highlight w:val="none"/>
                    </w:rPr>
                  </w:pPr>
                  <w:r>
                    <w:rPr>
                      <w:rFonts w:cs="Times New Roman"/>
                      <w:color w:val="auto"/>
                      <w:highlight w:val="none"/>
                    </w:rPr>
                    <w:t>生活垃圾</w:t>
                  </w:r>
                </w:p>
              </w:tc>
              <w:tc>
                <w:tcPr>
                  <w:tcW w:w="386" w:type="pct"/>
                  <w:tcBorders>
                    <w:tl2br w:val="nil"/>
                    <w:tr2bl w:val="nil"/>
                  </w:tcBorders>
                  <w:vAlign w:val="center"/>
                </w:tcPr>
                <w:p w14:paraId="5359B3CE">
                  <w:pPr>
                    <w:pStyle w:val="13"/>
                    <w:rPr>
                      <w:color w:val="auto"/>
                      <w:highlight w:val="none"/>
                    </w:rPr>
                  </w:pPr>
                  <w:r>
                    <w:rPr>
                      <w:rFonts w:cs="Times New Roman"/>
                      <w:color w:val="auto"/>
                      <w:highlight w:val="none"/>
                    </w:rPr>
                    <w:t>员工生活</w:t>
                  </w:r>
                </w:p>
              </w:tc>
              <w:tc>
                <w:tcPr>
                  <w:tcW w:w="1785" w:type="pct"/>
                  <w:tcBorders>
                    <w:tl2br w:val="nil"/>
                    <w:tr2bl w:val="nil"/>
                  </w:tcBorders>
                  <w:vAlign w:val="center"/>
                </w:tcPr>
                <w:p w14:paraId="3353D3C2">
                  <w:pPr>
                    <w:pStyle w:val="13"/>
                    <w:rPr>
                      <w:color w:val="auto"/>
                      <w:highlight w:val="none"/>
                    </w:rPr>
                  </w:pPr>
                  <w:r>
                    <w:rPr>
                      <w:rFonts w:hint="eastAsia"/>
                      <w:color w:val="auto"/>
                      <w:highlight w:val="none"/>
                    </w:rPr>
                    <w:t>/</w:t>
                  </w:r>
                </w:p>
              </w:tc>
              <w:tc>
                <w:tcPr>
                  <w:tcW w:w="799" w:type="pct"/>
                  <w:tcBorders>
                    <w:tl2br w:val="nil"/>
                    <w:tr2bl w:val="nil"/>
                  </w:tcBorders>
                  <w:vAlign w:val="center"/>
                </w:tcPr>
                <w:p w14:paraId="31EF7EDD">
                  <w:pPr>
                    <w:pStyle w:val="13"/>
                    <w:rPr>
                      <w:color w:val="auto"/>
                      <w:highlight w:val="none"/>
                    </w:rPr>
                  </w:pPr>
                  <w:r>
                    <w:rPr>
                      <w:rFonts w:cs="Times New Roman"/>
                      <w:color w:val="auto"/>
                      <w:highlight w:val="none"/>
                    </w:rPr>
                    <w:t>生活垃圾</w:t>
                  </w:r>
                </w:p>
              </w:tc>
              <w:tc>
                <w:tcPr>
                  <w:tcW w:w="262" w:type="pct"/>
                  <w:tcBorders>
                    <w:tl2br w:val="nil"/>
                    <w:tr2bl w:val="nil"/>
                  </w:tcBorders>
                  <w:vAlign w:val="center"/>
                </w:tcPr>
                <w:p w14:paraId="4BE29F67">
                  <w:pPr>
                    <w:pStyle w:val="13"/>
                    <w:rPr>
                      <w:color w:val="auto"/>
                      <w:highlight w:val="none"/>
                    </w:rPr>
                  </w:pPr>
                  <w:r>
                    <w:rPr>
                      <w:rFonts w:hint="eastAsia"/>
                      <w:color w:val="auto"/>
                      <w:highlight w:val="none"/>
                    </w:rPr>
                    <w:t>固态</w:t>
                  </w:r>
                </w:p>
              </w:tc>
              <w:tc>
                <w:tcPr>
                  <w:tcW w:w="332" w:type="pct"/>
                  <w:tcBorders>
                    <w:tl2br w:val="nil"/>
                    <w:tr2bl w:val="nil"/>
                  </w:tcBorders>
                  <w:vAlign w:val="center"/>
                </w:tcPr>
                <w:p w14:paraId="500A1852">
                  <w:pPr>
                    <w:pStyle w:val="13"/>
                    <w:rPr>
                      <w:color w:val="auto"/>
                      <w:highlight w:val="none"/>
                    </w:rPr>
                  </w:pPr>
                  <w:r>
                    <w:rPr>
                      <w:rFonts w:hint="eastAsia"/>
                      <w:color w:val="auto"/>
                      <w:highlight w:val="none"/>
                    </w:rPr>
                    <w:t>/</w:t>
                  </w:r>
                </w:p>
              </w:tc>
              <w:tc>
                <w:tcPr>
                  <w:tcW w:w="386" w:type="pct"/>
                  <w:tcBorders>
                    <w:tl2br w:val="nil"/>
                    <w:tr2bl w:val="nil"/>
                  </w:tcBorders>
                  <w:vAlign w:val="center"/>
                </w:tcPr>
                <w:p w14:paraId="2E53DCD4">
                  <w:pPr>
                    <w:pStyle w:val="13"/>
                    <w:rPr>
                      <w:color w:val="auto"/>
                      <w:highlight w:val="none"/>
                    </w:rPr>
                  </w:pPr>
                  <w:r>
                    <w:rPr>
                      <w:rFonts w:hint="eastAsia"/>
                      <w:color w:val="auto"/>
                      <w:highlight w:val="none"/>
                    </w:rPr>
                    <w:t>3</w:t>
                  </w:r>
                </w:p>
              </w:tc>
              <w:tc>
                <w:tcPr>
                  <w:tcW w:w="322" w:type="pct"/>
                  <w:tcBorders>
                    <w:tl2br w:val="nil"/>
                    <w:tr2bl w:val="nil"/>
                  </w:tcBorders>
                  <w:vAlign w:val="center"/>
                </w:tcPr>
                <w:p w14:paraId="624B7F17">
                  <w:pPr>
                    <w:pStyle w:val="13"/>
                    <w:rPr>
                      <w:color w:val="auto"/>
                      <w:highlight w:val="none"/>
                    </w:rPr>
                  </w:pPr>
                  <w:r>
                    <w:rPr>
                      <w:rFonts w:hint="eastAsia"/>
                      <w:color w:val="auto"/>
                      <w:highlight w:val="none"/>
                    </w:rPr>
                    <w:t>垃圾桶</w:t>
                  </w:r>
                </w:p>
              </w:tc>
            </w:tr>
          </w:tbl>
          <w:p w14:paraId="07DE50FE">
            <w:pPr>
              <w:pStyle w:val="14"/>
              <w:spacing w:before="156"/>
              <w:rPr>
                <w:color w:val="auto"/>
                <w:highlight w:val="none"/>
              </w:rPr>
            </w:pPr>
            <w:r>
              <w:rPr>
                <w:color w:val="auto"/>
                <w:highlight w:val="none"/>
              </w:rPr>
              <w:t>表4-</w:t>
            </w:r>
            <w:r>
              <w:rPr>
                <w:rFonts w:hint="eastAsia"/>
                <w:color w:val="auto"/>
                <w:highlight w:val="none"/>
              </w:rPr>
              <w:t>1</w:t>
            </w:r>
            <w:r>
              <w:rPr>
                <w:rFonts w:hint="eastAsia"/>
                <w:color w:val="auto"/>
                <w:highlight w:val="none"/>
                <w:lang w:val="en-US" w:eastAsia="zh-CN"/>
              </w:rPr>
              <w:t>4</w:t>
            </w:r>
            <w:r>
              <w:rPr>
                <w:color w:val="auto"/>
                <w:highlight w:val="none"/>
              </w:rPr>
              <w:t xml:space="preserve">  项目固废排放信息一览表</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2191"/>
              <w:gridCol w:w="3324"/>
              <w:gridCol w:w="1095"/>
              <w:gridCol w:w="1080"/>
              <w:gridCol w:w="1094"/>
              <w:gridCol w:w="1768"/>
              <w:gridCol w:w="1748"/>
              <w:gridCol w:w="917"/>
            </w:tblGrid>
            <w:tr w14:paraId="0E6BE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74" w:type="pct"/>
                  <w:vMerge w:val="restart"/>
                  <w:tcBorders>
                    <w:tl2br w:val="nil"/>
                    <w:tr2bl w:val="nil"/>
                  </w:tcBorders>
                  <w:vAlign w:val="center"/>
                </w:tcPr>
                <w:p w14:paraId="76D5DA0A">
                  <w:pPr>
                    <w:pStyle w:val="13"/>
                    <w:rPr>
                      <w:b/>
                      <w:bCs/>
                      <w:color w:val="auto"/>
                      <w:highlight w:val="none"/>
                    </w:rPr>
                  </w:pPr>
                  <w:r>
                    <w:rPr>
                      <w:rFonts w:hint="eastAsia"/>
                      <w:b/>
                      <w:bCs/>
                      <w:color w:val="auto"/>
                      <w:highlight w:val="none"/>
                    </w:rPr>
                    <w:t>序号</w:t>
                  </w:r>
                </w:p>
              </w:tc>
              <w:tc>
                <w:tcPr>
                  <w:tcW w:w="783" w:type="pct"/>
                  <w:vMerge w:val="restart"/>
                  <w:tcBorders>
                    <w:tl2br w:val="nil"/>
                    <w:tr2bl w:val="nil"/>
                  </w:tcBorders>
                  <w:vAlign w:val="center"/>
                </w:tcPr>
                <w:p w14:paraId="051AB390">
                  <w:pPr>
                    <w:pStyle w:val="13"/>
                    <w:rPr>
                      <w:b/>
                      <w:bCs/>
                      <w:color w:val="auto"/>
                      <w:highlight w:val="none"/>
                    </w:rPr>
                  </w:pPr>
                  <w:r>
                    <w:rPr>
                      <w:rFonts w:hint="eastAsia"/>
                      <w:b/>
                      <w:bCs/>
                      <w:color w:val="auto"/>
                      <w:highlight w:val="none"/>
                    </w:rPr>
                    <w:t>固废名称</w:t>
                  </w:r>
                </w:p>
              </w:tc>
              <w:tc>
                <w:tcPr>
                  <w:tcW w:w="1188" w:type="pct"/>
                  <w:vMerge w:val="restart"/>
                  <w:tcBorders>
                    <w:tl2br w:val="nil"/>
                    <w:tr2bl w:val="nil"/>
                  </w:tcBorders>
                  <w:vAlign w:val="center"/>
                </w:tcPr>
                <w:p w14:paraId="6C674D96">
                  <w:pPr>
                    <w:pStyle w:val="13"/>
                    <w:rPr>
                      <w:b/>
                      <w:bCs/>
                      <w:color w:val="auto"/>
                      <w:highlight w:val="none"/>
                    </w:rPr>
                  </w:pPr>
                  <w:r>
                    <w:rPr>
                      <w:rFonts w:hint="eastAsia"/>
                      <w:b/>
                      <w:bCs/>
                      <w:color w:val="auto"/>
                      <w:highlight w:val="none"/>
                    </w:rPr>
                    <w:t>处置方式</w:t>
                  </w:r>
                </w:p>
              </w:tc>
              <w:tc>
                <w:tcPr>
                  <w:tcW w:w="2753" w:type="pct"/>
                  <w:gridSpan w:val="6"/>
                  <w:tcBorders>
                    <w:tl2br w:val="nil"/>
                    <w:tr2bl w:val="nil"/>
                  </w:tcBorders>
                  <w:vAlign w:val="center"/>
                </w:tcPr>
                <w:p w14:paraId="52186F20">
                  <w:pPr>
                    <w:pStyle w:val="13"/>
                    <w:rPr>
                      <w:b/>
                      <w:bCs/>
                      <w:color w:val="auto"/>
                      <w:highlight w:val="none"/>
                    </w:rPr>
                  </w:pPr>
                  <w:r>
                    <w:rPr>
                      <w:rFonts w:hint="eastAsia"/>
                      <w:b/>
                      <w:bCs/>
                      <w:color w:val="auto"/>
                      <w:highlight w:val="none"/>
                    </w:rPr>
                    <w:t>处置去向</w:t>
                  </w:r>
                </w:p>
              </w:tc>
            </w:tr>
            <w:tr w14:paraId="2895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74" w:type="pct"/>
                  <w:vMerge w:val="continue"/>
                  <w:tcBorders>
                    <w:tl2br w:val="nil"/>
                    <w:tr2bl w:val="nil"/>
                  </w:tcBorders>
                  <w:vAlign w:val="center"/>
                </w:tcPr>
                <w:p w14:paraId="5D7E520B">
                  <w:pPr>
                    <w:pStyle w:val="13"/>
                    <w:rPr>
                      <w:b/>
                      <w:bCs/>
                      <w:color w:val="auto"/>
                      <w:highlight w:val="none"/>
                    </w:rPr>
                  </w:pPr>
                </w:p>
              </w:tc>
              <w:tc>
                <w:tcPr>
                  <w:tcW w:w="783" w:type="pct"/>
                  <w:vMerge w:val="continue"/>
                  <w:tcBorders>
                    <w:tl2br w:val="nil"/>
                    <w:tr2bl w:val="nil"/>
                  </w:tcBorders>
                  <w:vAlign w:val="center"/>
                </w:tcPr>
                <w:p w14:paraId="521E457D">
                  <w:pPr>
                    <w:pStyle w:val="13"/>
                    <w:rPr>
                      <w:b/>
                      <w:bCs/>
                      <w:color w:val="auto"/>
                      <w:highlight w:val="none"/>
                    </w:rPr>
                  </w:pPr>
                </w:p>
              </w:tc>
              <w:tc>
                <w:tcPr>
                  <w:tcW w:w="1188" w:type="pct"/>
                  <w:vMerge w:val="continue"/>
                  <w:tcBorders>
                    <w:tl2br w:val="nil"/>
                    <w:tr2bl w:val="nil"/>
                  </w:tcBorders>
                  <w:vAlign w:val="center"/>
                </w:tcPr>
                <w:p w14:paraId="6E5CAFEA">
                  <w:pPr>
                    <w:pStyle w:val="13"/>
                    <w:rPr>
                      <w:b/>
                      <w:bCs/>
                      <w:color w:val="auto"/>
                      <w:highlight w:val="none"/>
                    </w:rPr>
                  </w:pPr>
                </w:p>
              </w:tc>
              <w:tc>
                <w:tcPr>
                  <w:tcW w:w="391" w:type="pct"/>
                  <w:vMerge w:val="restart"/>
                  <w:tcBorders>
                    <w:tl2br w:val="nil"/>
                    <w:tr2bl w:val="nil"/>
                  </w:tcBorders>
                  <w:vAlign w:val="center"/>
                </w:tcPr>
                <w:p w14:paraId="74D5863C">
                  <w:pPr>
                    <w:pStyle w:val="13"/>
                    <w:rPr>
                      <w:b/>
                      <w:bCs/>
                      <w:color w:val="auto"/>
                      <w:highlight w:val="none"/>
                    </w:rPr>
                  </w:pPr>
                  <w:r>
                    <w:rPr>
                      <w:rFonts w:hint="eastAsia"/>
                      <w:b/>
                      <w:bCs/>
                      <w:color w:val="auto"/>
                      <w:highlight w:val="none"/>
                    </w:rPr>
                    <w:t>自行贮存量（t/a）</w:t>
                  </w:r>
                </w:p>
              </w:tc>
              <w:tc>
                <w:tcPr>
                  <w:tcW w:w="386" w:type="pct"/>
                  <w:vMerge w:val="restart"/>
                  <w:tcBorders>
                    <w:tl2br w:val="nil"/>
                    <w:tr2bl w:val="nil"/>
                  </w:tcBorders>
                  <w:vAlign w:val="center"/>
                </w:tcPr>
                <w:p w14:paraId="3E8BB118">
                  <w:pPr>
                    <w:pStyle w:val="13"/>
                    <w:rPr>
                      <w:b/>
                      <w:bCs/>
                      <w:color w:val="auto"/>
                      <w:highlight w:val="none"/>
                    </w:rPr>
                  </w:pPr>
                  <w:r>
                    <w:rPr>
                      <w:rFonts w:hint="eastAsia"/>
                      <w:b/>
                      <w:bCs/>
                      <w:color w:val="auto"/>
                      <w:highlight w:val="none"/>
                    </w:rPr>
                    <w:t>自行利用量（t/a）</w:t>
                  </w:r>
                </w:p>
              </w:tc>
              <w:tc>
                <w:tcPr>
                  <w:tcW w:w="391" w:type="pct"/>
                  <w:vMerge w:val="restart"/>
                  <w:tcBorders>
                    <w:tl2br w:val="nil"/>
                    <w:tr2bl w:val="nil"/>
                  </w:tcBorders>
                  <w:vAlign w:val="center"/>
                </w:tcPr>
                <w:p w14:paraId="1015C4F5">
                  <w:pPr>
                    <w:pStyle w:val="13"/>
                    <w:rPr>
                      <w:b/>
                      <w:bCs/>
                      <w:color w:val="auto"/>
                      <w:highlight w:val="none"/>
                    </w:rPr>
                  </w:pPr>
                  <w:r>
                    <w:rPr>
                      <w:rFonts w:hint="eastAsia"/>
                      <w:b/>
                      <w:bCs/>
                      <w:color w:val="auto"/>
                      <w:highlight w:val="none"/>
                    </w:rPr>
                    <w:t>自行处置量（t/a）</w:t>
                  </w:r>
                </w:p>
              </w:tc>
              <w:tc>
                <w:tcPr>
                  <w:tcW w:w="1257" w:type="pct"/>
                  <w:gridSpan w:val="2"/>
                  <w:tcBorders>
                    <w:tl2br w:val="nil"/>
                    <w:tr2bl w:val="nil"/>
                  </w:tcBorders>
                  <w:vAlign w:val="center"/>
                </w:tcPr>
                <w:p w14:paraId="2E319950">
                  <w:pPr>
                    <w:pStyle w:val="13"/>
                    <w:rPr>
                      <w:b/>
                      <w:bCs/>
                      <w:color w:val="auto"/>
                      <w:highlight w:val="none"/>
                    </w:rPr>
                  </w:pPr>
                  <w:r>
                    <w:rPr>
                      <w:rFonts w:hint="eastAsia"/>
                      <w:b/>
                      <w:bCs/>
                      <w:color w:val="auto"/>
                      <w:highlight w:val="none"/>
                    </w:rPr>
                    <w:t>转移量</w:t>
                  </w:r>
                </w:p>
              </w:tc>
              <w:tc>
                <w:tcPr>
                  <w:tcW w:w="327" w:type="pct"/>
                  <w:vMerge w:val="restart"/>
                  <w:tcBorders>
                    <w:tl2br w:val="nil"/>
                    <w:tr2bl w:val="nil"/>
                  </w:tcBorders>
                  <w:vAlign w:val="center"/>
                </w:tcPr>
                <w:p w14:paraId="3FD34F47">
                  <w:pPr>
                    <w:pStyle w:val="13"/>
                    <w:rPr>
                      <w:b/>
                      <w:bCs/>
                      <w:color w:val="auto"/>
                      <w:highlight w:val="none"/>
                    </w:rPr>
                  </w:pPr>
                  <w:r>
                    <w:rPr>
                      <w:rFonts w:hint="eastAsia"/>
                      <w:b/>
                      <w:bCs/>
                      <w:color w:val="auto"/>
                      <w:highlight w:val="none"/>
                    </w:rPr>
                    <w:t>排放量（t/a）</w:t>
                  </w:r>
                </w:p>
              </w:tc>
            </w:tr>
            <w:tr w14:paraId="77AEA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74" w:type="pct"/>
                  <w:vMerge w:val="continue"/>
                  <w:tcBorders>
                    <w:tl2br w:val="nil"/>
                    <w:tr2bl w:val="nil"/>
                  </w:tcBorders>
                  <w:vAlign w:val="center"/>
                </w:tcPr>
                <w:p w14:paraId="00C4CE04">
                  <w:pPr>
                    <w:pStyle w:val="13"/>
                    <w:rPr>
                      <w:color w:val="auto"/>
                      <w:highlight w:val="none"/>
                    </w:rPr>
                  </w:pPr>
                </w:p>
              </w:tc>
              <w:tc>
                <w:tcPr>
                  <w:tcW w:w="783" w:type="pct"/>
                  <w:vMerge w:val="continue"/>
                  <w:tcBorders>
                    <w:tl2br w:val="nil"/>
                    <w:tr2bl w:val="nil"/>
                  </w:tcBorders>
                  <w:vAlign w:val="center"/>
                </w:tcPr>
                <w:p w14:paraId="192021A8">
                  <w:pPr>
                    <w:pStyle w:val="13"/>
                    <w:rPr>
                      <w:color w:val="auto"/>
                      <w:highlight w:val="none"/>
                    </w:rPr>
                  </w:pPr>
                </w:p>
              </w:tc>
              <w:tc>
                <w:tcPr>
                  <w:tcW w:w="1188" w:type="pct"/>
                  <w:vMerge w:val="continue"/>
                  <w:tcBorders>
                    <w:tl2br w:val="nil"/>
                    <w:tr2bl w:val="nil"/>
                  </w:tcBorders>
                  <w:vAlign w:val="center"/>
                </w:tcPr>
                <w:p w14:paraId="00B7F856">
                  <w:pPr>
                    <w:pStyle w:val="13"/>
                    <w:rPr>
                      <w:color w:val="auto"/>
                      <w:highlight w:val="none"/>
                    </w:rPr>
                  </w:pPr>
                </w:p>
              </w:tc>
              <w:tc>
                <w:tcPr>
                  <w:tcW w:w="391" w:type="pct"/>
                  <w:vMerge w:val="continue"/>
                  <w:tcBorders>
                    <w:tl2br w:val="nil"/>
                    <w:tr2bl w:val="nil"/>
                  </w:tcBorders>
                  <w:vAlign w:val="center"/>
                </w:tcPr>
                <w:p w14:paraId="2CBEB31A">
                  <w:pPr>
                    <w:pStyle w:val="13"/>
                    <w:rPr>
                      <w:color w:val="auto"/>
                      <w:highlight w:val="none"/>
                    </w:rPr>
                  </w:pPr>
                </w:p>
              </w:tc>
              <w:tc>
                <w:tcPr>
                  <w:tcW w:w="386" w:type="pct"/>
                  <w:vMerge w:val="continue"/>
                  <w:tcBorders>
                    <w:tl2br w:val="nil"/>
                    <w:tr2bl w:val="nil"/>
                  </w:tcBorders>
                  <w:vAlign w:val="center"/>
                </w:tcPr>
                <w:p w14:paraId="2AE9C2F4">
                  <w:pPr>
                    <w:pStyle w:val="13"/>
                    <w:rPr>
                      <w:color w:val="auto"/>
                      <w:highlight w:val="none"/>
                    </w:rPr>
                  </w:pPr>
                </w:p>
              </w:tc>
              <w:tc>
                <w:tcPr>
                  <w:tcW w:w="391" w:type="pct"/>
                  <w:vMerge w:val="continue"/>
                  <w:tcBorders>
                    <w:tl2br w:val="nil"/>
                    <w:tr2bl w:val="nil"/>
                  </w:tcBorders>
                  <w:vAlign w:val="center"/>
                </w:tcPr>
                <w:p w14:paraId="64E8D172">
                  <w:pPr>
                    <w:pStyle w:val="13"/>
                    <w:rPr>
                      <w:color w:val="auto"/>
                      <w:highlight w:val="none"/>
                    </w:rPr>
                  </w:pPr>
                </w:p>
              </w:tc>
              <w:tc>
                <w:tcPr>
                  <w:tcW w:w="632" w:type="pct"/>
                  <w:tcBorders>
                    <w:tl2br w:val="nil"/>
                    <w:tr2bl w:val="nil"/>
                  </w:tcBorders>
                  <w:vAlign w:val="center"/>
                </w:tcPr>
                <w:p w14:paraId="52B7F534">
                  <w:pPr>
                    <w:pStyle w:val="13"/>
                    <w:rPr>
                      <w:b/>
                      <w:bCs/>
                      <w:color w:val="auto"/>
                      <w:highlight w:val="none"/>
                    </w:rPr>
                  </w:pPr>
                  <w:r>
                    <w:rPr>
                      <w:rFonts w:hint="eastAsia"/>
                      <w:b/>
                      <w:bCs/>
                      <w:color w:val="auto"/>
                      <w:highlight w:val="none"/>
                    </w:rPr>
                    <w:t>委托利用量（t/a）</w:t>
                  </w:r>
                </w:p>
              </w:tc>
              <w:tc>
                <w:tcPr>
                  <w:tcW w:w="625" w:type="pct"/>
                  <w:tcBorders>
                    <w:tl2br w:val="nil"/>
                    <w:tr2bl w:val="nil"/>
                  </w:tcBorders>
                  <w:vAlign w:val="center"/>
                </w:tcPr>
                <w:p w14:paraId="7646B037">
                  <w:pPr>
                    <w:pStyle w:val="13"/>
                    <w:rPr>
                      <w:b/>
                      <w:bCs/>
                      <w:color w:val="auto"/>
                      <w:highlight w:val="none"/>
                    </w:rPr>
                  </w:pPr>
                  <w:r>
                    <w:rPr>
                      <w:rFonts w:hint="eastAsia"/>
                      <w:b/>
                      <w:bCs/>
                      <w:color w:val="auto"/>
                      <w:highlight w:val="none"/>
                    </w:rPr>
                    <w:t>委托处置量（t/a）</w:t>
                  </w:r>
                </w:p>
              </w:tc>
              <w:tc>
                <w:tcPr>
                  <w:tcW w:w="327" w:type="pct"/>
                  <w:vMerge w:val="continue"/>
                  <w:tcBorders>
                    <w:tl2br w:val="nil"/>
                    <w:tr2bl w:val="nil"/>
                  </w:tcBorders>
                  <w:vAlign w:val="center"/>
                </w:tcPr>
                <w:p w14:paraId="10E33681">
                  <w:pPr>
                    <w:pStyle w:val="13"/>
                    <w:rPr>
                      <w:color w:val="auto"/>
                      <w:highlight w:val="none"/>
                    </w:rPr>
                  </w:pPr>
                </w:p>
              </w:tc>
            </w:tr>
            <w:tr w14:paraId="543ED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74" w:type="pct"/>
                  <w:tcBorders>
                    <w:tl2br w:val="nil"/>
                    <w:tr2bl w:val="nil"/>
                  </w:tcBorders>
                  <w:vAlign w:val="center"/>
                </w:tcPr>
                <w:p w14:paraId="01EB2C63">
                  <w:pPr>
                    <w:pStyle w:val="13"/>
                    <w:rPr>
                      <w:color w:val="auto"/>
                      <w:highlight w:val="none"/>
                    </w:rPr>
                  </w:pPr>
                  <w:r>
                    <w:rPr>
                      <w:rFonts w:hint="eastAsia"/>
                      <w:color w:val="auto"/>
                      <w:highlight w:val="none"/>
                    </w:rPr>
                    <w:t>1</w:t>
                  </w:r>
                </w:p>
              </w:tc>
              <w:tc>
                <w:tcPr>
                  <w:tcW w:w="783" w:type="pct"/>
                  <w:tcBorders>
                    <w:tl2br w:val="nil"/>
                    <w:tr2bl w:val="nil"/>
                  </w:tcBorders>
                  <w:vAlign w:val="center"/>
                </w:tcPr>
                <w:p w14:paraId="361274F5">
                  <w:pPr>
                    <w:pStyle w:val="13"/>
                    <w:rPr>
                      <w:color w:val="auto"/>
                      <w:highlight w:val="none"/>
                    </w:rPr>
                  </w:pPr>
                  <w:r>
                    <w:rPr>
                      <w:rFonts w:hint="eastAsia" w:cs="Times New Roman"/>
                      <w:color w:val="auto"/>
                      <w:highlight w:val="none"/>
                    </w:rPr>
                    <w:t>筛分杂质</w:t>
                  </w:r>
                </w:p>
              </w:tc>
              <w:tc>
                <w:tcPr>
                  <w:tcW w:w="1188" w:type="pct"/>
                  <w:vMerge w:val="restart"/>
                  <w:tcBorders>
                    <w:tl2br w:val="nil"/>
                    <w:tr2bl w:val="nil"/>
                  </w:tcBorders>
                  <w:vAlign w:val="center"/>
                </w:tcPr>
                <w:p w14:paraId="7D1DAE2C">
                  <w:pPr>
                    <w:pStyle w:val="13"/>
                    <w:rPr>
                      <w:color w:val="auto"/>
                      <w:highlight w:val="none"/>
                    </w:rPr>
                  </w:pPr>
                  <w:r>
                    <w:rPr>
                      <w:rFonts w:hint="eastAsia"/>
                      <w:color w:val="auto"/>
                      <w:highlight w:val="none"/>
                    </w:rPr>
                    <w:t>收集暂存于固废库，</w:t>
                  </w:r>
                  <w:bookmarkStart w:id="3" w:name="OLE_LINK4"/>
                  <w:r>
                    <w:rPr>
                      <w:rFonts w:hint="eastAsia"/>
                      <w:color w:val="auto"/>
                      <w:highlight w:val="none"/>
                    </w:rPr>
                    <w:t>委托有资质单位定期处置。</w:t>
                  </w:r>
                  <w:bookmarkEnd w:id="3"/>
                </w:p>
              </w:tc>
              <w:tc>
                <w:tcPr>
                  <w:tcW w:w="1095" w:type="dxa"/>
                  <w:tcBorders>
                    <w:tl2br w:val="nil"/>
                    <w:tr2bl w:val="nil"/>
                  </w:tcBorders>
                  <w:vAlign w:val="center"/>
                </w:tcPr>
                <w:p w14:paraId="76AFD6A7">
                  <w:pPr>
                    <w:pStyle w:val="13"/>
                    <w:ind w:firstLine="0" w:firstLineChars="0"/>
                    <w:rPr>
                      <w:color w:val="auto"/>
                      <w:highlight w:val="none"/>
                    </w:rPr>
                  </w:pPr>
                  <w:r>
                    <w:rPr>
                      <w:rFonts w:hint="eastAsia"/>
                      <w:color w:val="auto"/>
                      <w:highlight w:val="none"/>
                    </w:rPr>
                    <w:t>10</w:t>
                  </w:r>
                </w:p>
              </w:tc>
              <w:tc>
                <w:tcPr>
                  <w:tcW w:w="1080" w:type="dxa"/>
                  <w:tcBorders>
                    <w:tl2br w:val="nil"/>
                    <w:tr2bl w:val="nil"/>
                  </w:tcBorders>
                  <w:vAlign w:val="center"/>
                </w:tcPr>
                <w:p w14:paraId="52CAAA7F">
                  <w:pPr>
                    <w:pStyle w:val="13"/>
                    <w:ind w:firstLine="0" w:firstLineChars="0"/>
                    <w:rPr>
                      <w:color w:val="auto"/>
                      <w:highlight w:val="none"/>
                    </w:rPr>
                  </w:pPr>
                  <w:r>
                    <w:rPr>
                      <w:rFonts w:hint="eastAsia"/>
                      <w:color w:val="auto"/>
                      <w:highlight w:val="none"/>
                    </w:rPr>
                    <w:t>0</w:t>
                  </w:r>
                </w:p>
              </w:tc>
              <w:tc>
                <w:tcPr>
                  <w:tcW w:w="391" w:type="pct"/>
                  <w:tcBorders>
                    <w:tl2br w:val="nil"/>
                    <w:tr2bl w:val="nil"/>
                  </w:tcBorders>
                  <w:vAlign w:val="center"/>
                </w:tcPr>
                <w:p w14:paraId="43FB9E48">
                  <w:pPr>
                    <w:pStyle w:val="13"/>
                    <w:rPr>
                      <w:color w:val="auto"/>
                      <w:highlight w:val="none"/>
                    </w:rPr>
                  </w:pPr>
                  <w:r>
                    <w:rPr>
                      <w:rFonts w:hint="eastAsia"/>
                      <w:color w:val="auto"/>
                      <w:highlight w:val="none"/>
                    </w:rPr>
                    <w:t>0</w:t>
                  </w:r>
                </w:p>
              </w:tc>
              <w:tc>
                <w:tcPr>
                  <w:tcW w:w="632" w:type="pct"/>
                  <w:tcBorders>
                    <w:tl2br w:val="nil"/>
                    <w:tr2bl w:val="nil"/>
                  </w:tcBorders>
                  <w:vAlign w:val="center"/>
                </w:tcPr>
                <w:p w14:paraId="26F40953">
                  <w:pPr>
                    <w:pStyle w:val="13"/>
                    <w:rPr>
                      <w:color w:val="auto"/>
                      <w:highlight w:val="none"/>
                    </w:rPr>
                  </w:pPr>
                  <w:r>
                    <w:rPr>
                      <w:rFonts w:hint="eastAsia"/>
                      <w:color w:val="auto"/>
                      <w:highlight w:val="none"/>
                    </w:rPr>
                    <w:t>0</w:t>
                  </w:r>
                </w:p>
              </w:tc>
              <w:tc>
                <w:tcPr>
                  <w:tcW w:w="625" w:type="pct"/>
                  <w:tcBorders>
                    <w:tl2br w:val="nil"/>
                    <w:tr2bl w:val="nil"/>
                  </w:tcBorders>
                  <w:vAlign w:val="center"/>
                </w:tcPr>
                <w:p w14:paraId="7B166E78">
                  <w:pPr>
                    <w:pStyle w:val="13"/>
                    <w:rPr>
                      <w:color w:val="auto"/>
                      <w:highlight w:val="none"/>
                    </w:rPr>
                  </w:pPr>
                  <w:r>
                    <w:rPr>
                      <w:rFonts w:hint="eastAsia"/>
                      <w:color w:val="auto"/>
                      <w:highlight w:val="none"/>
                    </w:rPr>
                    <w:t>10</w:t>
                  </w:r>
                </w:p>
              </w:tc>
              <w:tc>
                <w:tcPr>
                  <w:tcW w:w="327" w:type="pct"/>
                  <w:tcBorders>
                    <w:tl2br w:val="nil"/>
                    <w:tr2bl w:val="nil"/>
                  </w:tcBorders>
                  <w:vAlign w:val="center"/>
                </w:tcPr>
                <w:p w14:paraId="2698F013">
                  <w:pPr>
                    <w:pStyle w:val="13"/>
                    <w:rPr>
                      <w:color w:val="auto"/>
                      <w:highlight w:val="none"/>
                    </w:rPr>
                  </w:pPr>
                  <w:r>
                    <w:rPr>
                      <w:rFonts w:hint="eastAsia"/>
                      <w:color w:val="auto"/>
                      <w:highlight w:val="none"/>
                    </w:rPr>
                    <w:t>0</w:t>
                  </w:r>
                </w:p>
              </w:tc>
            </w:tr>
            <w:tr w14:paraId="6E5B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74" w:type="pct"/>
                  <w:tcBorders>
                    <w:tl2br w:val="nil"/>
                    <w:tr2bl w:val="nil"/>
                  </w:tcBorders>
                  <w:vAlign w:val="center"/>
                </w:tcPr>
                <w:p w14:paraId="094E7E90">
                  <w:pPr>
                    <w:pStyle w:val="13"/>
                    <w:rPr>
                      <w:color w:val="auto"/>
                      <w:highlight w:val="none"/>
                    </w:rPr>
                  </w:pPr>
                  <w:r>
                    <w:rPr>
                      <w:rFonts w:hint="eastAsia"/>
                      <w:color w:val="auto"/>
                      <w:highlight w:val="none"/>
                    </w:rPr>
                    <w:t>2</w:t>
                  </w:r>
                </w:p>
              </w:tc>
              <w:tc>
                <w:tcPr>
                  <w:tcW w:w="783" w:type="pct"/>
                  <w:tcBorders>
                    <w:tl2br w:val="nil"/>
                    <w:tr2bl w:val="nil"/>
                  </w:tcBorders>
                  <w:vAlign w:val="center"/>
                </w:tcPr>
                <w:p w14:paraId="235A1FEC">
                  <w:pPr>
                    <w:pStyle w:val="13"/>
                    <w:rPr>
                      <w:color w:val="auto"/>
                      <w:highlight w:val="none"/>
                    </w:rPr>
                  </w:pPr>
                  <w:r>
                    <w:rPr>
                      <w:rFonts w:hint="eastAsia" w:cs="Times New Roman"/>
                      <w:color w:val="auto"/>
                      <w:highlight w:val="none"/>
                    </w:rPr>
                    <w:t>磁选杂质</w:t>
                  </w:r>
                </w:p>
              </w:tc>
              <w:tc>
                <w:tcPr>
                  <w:tcW w:w="1188" w:type="pct"/>
                  <w:vMerge w:val="continue"/>
                  <w:tcBorders>
                    <w:tl2br w:val="nil"/>
                    <w:tr2bl w:val="nil"/>
                  </w:tcBorders>
                  <w:vAlign w:val="center"/>
                </w:tcPr>
                <w:p w14:paraId="538770C2">
                  <w:pPr>
                    <w:pStyle w:val="13"/>
                    <w:rPr>
                      <w:color w:val="auto"/>
                      <w:highlight w:val="none"/>
                    </w:rPr>
                  </w:pPr>
                </w:p>
              </w:tc>
              <w:tc>
                <w:tcPr>
                  <w:tcW w:w="1095" w:type="dxa"/>
                  <w:tcBorders>
                    <w:tl2br w:val="nil"/>
                    <w:tr2bl w:val="nil"/>
                  </w:tcBorders>
                  <w:vAlign w:val="center"/>
                </w:tcPr>
                <w:p w14:paraId="0DFD9C05">
                  <w:pPr>
                    <w:pStyle w:val="13"/>
                    <w:ind w:firstLine="0" w:firstLineChars="0"/>
                    <w:rPr>
                      <w:color w:val="auto"/>
                      <w:highlight w:val="none"/>
                    </w:rPr>
                  </w:pPr>
                  <w:r>
                    <w:rPr>
                      <w:rFonts w:hint="eastAsia"/>
                      <w:color w:val="auto"/>
                      <w:highlight w:val="none"/>
                    </w:rPr>
                    <w:t>1</w:t>
                  </w:r>
                </w:p>
              </w:tc>
              <w:tc>
                <w:tcPr>
                  <w:tcW w:w="1080" w:type="dxa"/>
                  <w:tcBorders>
                    <w:tl2br w:val="nil"/>
                    <w:tr2bl w:val="nil"/>
                  </w:tcBorders>
                  <w:vAlign w:val="center"/>
                </w:tcPr>
                <w:p w14:paraId="5557219D">
                  <w:pPr>
                    <w:pStyle w:val="13"/>
                    <w:ind w:firstLine="0" w:firstLineChars="0"/>
                    <w:rPr>
                      <w:color w:val="auto"/>
                      <w:highlight w:val="none"/>
                    </w:rPr>
                  </w:pPr>
                  <w:r>
                    <w:rPr>
                      <w:rFonts w:hint="eastAsia"/>
                      <w:color w:val="auto"/>
                      <w:highlight w:val="none"/>
                    </w:rPr>
                    <w:t>0</w:t>
                  </w:r>
                </w:p>
              </w:tc>
              <w:tc>
                <w:tcPr>
                  <w:tcW w:w="391" w:type="pct"/>
                  <w:tcBorders>
                    <w:tl2br w:val="nil"/>
                    <w:tr2bl w:val="nil"/>
                  </w:tcBorders>
                  <w:vAlign w:val="center"/>
                </w:tcPr>
                <w:p w14:paraId="0AB16DEA">
                  <w:pPr>
                    <w:pStyle w:val="13"/>
                    <w:rPr>
                      <w:color w:val="auto"/>
                      <w:highlight w:val="none"/>
                    </w:rPr>
                  </w:pPr>
                  <w:r>
                    <w:rPr>
                      <w:rFonts w:hint="eastAsia"/>
                      <w:color w:val="auto"/>
                      <w:highlight w:val="none"/>
                    </w:rPr>
                    <w:t>0</w:t>
                  </w:r>
                </w:p>
              </w:tc>
              <w:tc>
                <w:tcPr>
                  <w:tcW w:w="632" w:type="pct"/>
                  <w:tcBorders>
                    <w:tl2br w:val="nil"/>
                    <w:tr2bl w:val="nil"/>
                  </w:tcBorders>
                  <w:vAlign w:val="center"/>
                </w:tcPr>
                <w:p w14:paraId="53D2505F">
                  <w:pPr>
                    <w:pStyle w:val="13"/>
                    <w:rPr>
                      <w:color w:val="auto"/>
                      <w:highlight w:val="none"/>
                    </w:rPr>
                  </w:pPr>
                  <w:r>
                    <w:rPr>
                      <w:rFonts w:hint="eastAsia"/>
                      <w:color w:val="auto"/>
                      <w:highlight w:val="none"/>
                    </w:rPr>
                    <w:t>0</w:t>
                  </w:r>
                </w:p>
              </w:tc>
              <w:tc>
                <w:tcPr>
                  <w:tcW w:w="625" w:type="pct"/>
                  <w:tcBorders>
                    <w:tl2br w:val="nil"/>
                    <w:tr2bl w:val="nil"/>
                  </w:tcBorders>
                  <w:vAlign w:val="center"/>
                </w:tcPr>
                <w:p w14:paraId="4662265A">
                  <w:pPr>
                    <w:pStyle w:val="13"/>
                    <w:rPr>
                      <w:color w:val="auto"/>
                      <w:highlight w:val="none"/>
                    </w:rPr>
                  </w:pPr>
                  <w:r>
                    <w:rPr>
                      <w:rFonts w:hint="eastAsia"/>
                      <w:color w:val="auto"/>
                      <w:highlight w:val="none"/>
                    </w:rPr>
                    <w:t>1</w:t>
                  </w:r>
                </w:p>
              </w:tc>
              <w:tc>
                <w:tcPr>
                  <w:tcW w:w="327" w:type="pct"/>
                  <w:tcBorders>
                    <w:tl2br w:val="nil"/>
                    <w:tr2bl w:val="nil"/>
                  </w:tcBorders>
                  <w:vAlign w:val="center"/>
                </w:tcPr>
                <w:p w14:paraId="3E661C5E">
                  <w:pPr>
                    <w:pStyle w:val="13"/>
                    <w:rPr>
                      <w:color w:val="auto"/>
                      <w:highlight w:val="none"/>
                    </w:rPr>
                  </w:pPr>
                  <w:r>
                    <w:rPr>
                      <w:rFonts w:hint="eastAsia"/>
                      <w:color w:val="auto"/>
                      <w:highlight w:val="none"/>
                    </w:rPr>
                    <w:t>0</w:t>
                  </w:r>
                </w:p>
              </w:tc>
            </w:tr>
            <w:tr w14:paraId="4C3BF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74" w:type="pct"/>
                  <w:tcBorders>
                    <w:tl2br w:val="nil"/>
                    <w:tr2bl w:val="nil"/>
                  </w:tcBorders>
                  <w:vAlign w:val="center"/>
                </w:tcPr>
                <w:p w14:paraId="383C4B5C">
                  <w:pPr>
                    <w:pStyle w:val="13"/>
                    <w:rPr>
                      <w:color w:val="auto"/>
                      <w:highlight w:val="none"/>
                    </w:rPr>
                  </w:pPr>
                  <w:r>
                    <w:rPr>
                      <w:rFonts w:hint="eastAsia"/>
                      <w:color w:val="auto"/>
                      <w:highlight w:val="none"/>
                    </w:rPr>
                    <w:t>3</w:t>
                  </w:r>
                </w:p>
              </w:tc>
              <w:tc>
                <w:tcPr>
                  <w:tcW w:w="783" w:type="pct"/>
                  <w:tcBorders>
                    <w:tl2br w:val="nil"/>
                    <w:tr2bl w:val="nil"/>
                  </w:tcBorders>
                  <w:vAlign w:val="center"/>
                </w:tcPr>
                <w:p w14:paraId="7C23D42C">
                  <w:pPr>
                    <w:pStyle w:val="13"/>
                    <w:rPr>
                      <w:color w:val="auto"/>
                      <w:highlight w:val="none"/>
                    </w:rPr>
                  </w:pPr>
                  <w:r>
                    <w:rPr>
                      <w:rFonts w:hint="eastAsia" w:cs="Times New Roman"/>
                      <w:color w:val="auto"/>
                      <w:highlight w:val="none"/>
                    </w:rPr>
                    <w:t>废包装材料</w:t>
                  </w:r>
                </w:p>
              </w:tc>
              <w:tc>
                <w:tcPr>
                  <w:tcW w:w="1188" w:type="pct"/>
                  <w:vMerge w:val="continue"/>
                  <w:tcBorders>
                    <w:tl2br w:val="nil"/>
                    <w:tr2bl w:val="nil"/>
                  </w:tcBorders>
                  <w:vAlign w:val="center"/>
                </w:tcPr>
                <w:p w14:paraId="058F8E54">
                  <w:pPr>
                    <w:pStyle w:val="13"/>
                    <w:rPr>
                      <w:color w:val="auto"/>
                      <w:highlight w:val="none"/>
                    </w:rPr>
                  </w:pPr>
                </w:p>
              </w:tc>
              <w:tc>
                <w:tcPr>
                  <w:tcW w:w="1095" w:type="dxa"/>
                  <w:tcBorders>
                    <w:tl2br w:val="nil"/>
                    <w:tr2bl w:val="nil"/>
                  </w:tcBorders>
                  <w:vAlign w:val="center"/>
                </w:tcPr>
                <w:p w14:paraId="6F53E72F">
                  <w:pPr>
                    <w:pStyle w:val="13"/>
                    <w:ind w:firstLine="0" w:firstLineChars="0"/>
                    <w:rPr>
                      <w:color w:val="auto"/>
                      <w:highlight w:val="none"/>
                    </w:rPr>
                  </w:pPr>
                  <w:r>
                    <w:rPr>
                      <w:rFonts w:hint="eastAsia"/>
                      <w:color w:val="auto"/>
                      <w:highlight w:val="none"/>
                    </w:rPr>
                    <w:t>0.5</w:t>
                  </w:r>
                </w:p>
              </w:tc>
              <w:tc>
                <w:tcPr>
                  <w:tcW w:w="1080" w:type="dxa"/>
                  <w:tcBorders>
                    <w:tl2br w:val="nil"/>
                    <w:tr2bl w:val="nil"/>
                  </w:tcBorders>
                  <w:vAlign w:val="center"/>
                </w:tcPr>
                <w:p w14:paraId="00D8D889">
                  <w:pPr>
                    <w:pStyle w:val="13"/>
                    <w:ind w:firstLine="0" w:firstLineChars="0"/>
                    <w:rPr>
                      <w:color w:val="auto"/>
                      <w:highlight w:val="none"/>
                    </w:rPr>
                  </w:pPr>
                  <w:r>
                    <w:rPr>
                      <w:rFonts w:hint="eastAsia"/>
                      <w:color w:val="auto"/>
                      <w:highlight w:val="none"/>
                    </w:rPr>
                    <w:t>0</w:t>
                  </w:r>
                </w:p>
              </w:tc>
              <w:tc>
                <w:tcPr>
                  <w:tcW w:w="391" w:type="pct"/>
                  <w:tcBorders>
                    <w:tl2br w:val="nil"/>
                    <w:tr2bl w:val="nil"/>
                  </w:tcBorders>
                  <w:vAlign w:val="center"/>
                </w:tcPr>
                <w:p w14:paraId="19F7A6F6">
                  <w:pPr>
                    <w:pStyle w:val="13"/>
                    <w:rPr>
                      <w:color w:val="auto"/>
                      <w:highlight w:val="none"/>
                    </w:rPr>
                  </w:pPr>
                  <w:r>
                    <w:rPr>
                      <w:rFonts w:hint="eastAsia"/>
                      <w:color w:val="auto"/>
                      <w:highlight w:val="none"/>
                    </w:rPr>
                    <w:t>0</w:t>
                  </w:r>
                </w:p>
              </w:tc>
              <w:tc>
                <w:tcPr>
                  <w:tcW w:w="632" w:type="pct"/>
                  <w:tcBorders>
                    <w:tl2br w:val="nil"/>
                    <w:tr2bl w:val="nil"/>
                  </w:tcBorders>
                  <w:vAlign w:val="center"/>
                </w:tcPr>
                <w:p w14:paraId="4CCCDEC5">
                  <w:pPr>
                    <w:pStyle w:val="13"/>
                    <w:rPr>
                      <w:color w:val="auto"/>
                      <w:highlight w:val="none"/>
                    </w:rPr>
                  </w:pPr>
                  <w:r>
                    <w:rPr>
                      <w:rFonts w:hint="eastAsia"/>
                      <w:color w:val="auto"/>
                      <w:highlight w:val="none"/>
                    </w:rPr>
                    <w:t>0</w:t>
                  </w:r>
                </w:p>
              </w:tc>
              <w:tc>
                <w:tcPr>
                  <w:tcW w:w="625" w:type="pct"/>
                  <w:tcBorders>
                    <w:tl2br w:val="nil"/>
                    <w:tr2bl w:val="nil"/>
                  </w:tcBorders>
                  <w:vAlign w:val="center"/>
                </w:tcPr>
                <w:p w14:paraId="6A8B01C5">
                  <w:pPr>
                    <w:pStyle w:val="13"/>
                    <w:rPr>
                      <w:color w:val="auto"/>
                      <w:highlight w:val="none"/>
                    </w:rPr>
                  </w:pPr>
                  <w:r>
                    <w:rPr>
                      <w:rFonts w:hint="eastAsia"/>
                      <w:color w:val="auto"/>
                      <w:highlight w:val="none"/>
                    </w:rPr>
                    <w:t>0.5</w:t>
                  </w:r>
                </w:p>
              </w:tc>
              <w:tc>
                <w:tcPr>
                  <w:tcW w:w="327" w:type="pct"/>
                  <w:tcBorders>
                    <w:tl2br w:val="nil"/>
                    <w:tr2bl w:val="nil"/>
                  </w:tcBorders>
                  <w:vAlign w:val="center"/>
                </w:tcPr>
                <w:p w14:paraId="71CFCEC3">
                  <w:pPr>
                    <w:pStyle w:val="13"/>
                    <w:rPr>
                      <w:color w:val="auto"/>
                      <w:highlight w:val="none"/>
                    </w:rPr>
                  </w:pPr>
                  <w:r>
                    <w:rPr>
                      <w:rFonts w:hint="eastAsia"/>
                      <w:color w:val="auto"/>
                      <w:highlight w:val="none"/>
                    </w:rPr>
                    <w:t>0</w:t>
                  </w:r>
                </w:p>
              </w:tc>
            </w:tr>
            <w:tr w14:paraId="55EE2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74" w:type="pct"/>
                  <w:tcBorders>
                    <w:tl2br w:val="nil"/>
                    <w:tr2bl w:val="nil"/>
                  </w:tcBorders>
                  <w:vAlign w:val="center"/>
                </w:tcPr>
                <w:p w14:paraId="330399D2">
                  <w:pPr>
                    <w:pStyle w:val="13"/>
                    <w:rPr>
                      <w:color w:val="auto"/>
                      <w:highlight w:val="none"/>
                    </w:rPr>
                  </w:pPr>
                  <w:r>
                    <w:rPr>
                      <w:rFonts w:hint="eastAsia"/>
                      <w:color w:val="auto"/>
                      <w:highlight w:val="none"/>
                    </w:rPr>
                    <w:t>4</w:t>
                  </w:r>
                </w:p>
              </w:tc>
              <w:tc>
                <w:tcPr>
                  <w:tcW w:w="783" w:type="pct"/>
                  <w:tcBorders>
                    <w:tl2br w:val="nil"/>
                    <w:tr2bl w:val="nil"/>
                  </w:tcBorders>
                  <w:vAlign w:val="center"/>
                </w:tcPr>
                <w:p w14:paraId="2C30CB2E">
                  <w:pPr>
                    <w:pStyle w:val="13"/>
                    <w:rPr>
                      <w:rFonts w:cs="Times New Roman"/>
                      <w:color w:val="auto"/>
                      <w:highlight w:val="none"/>
                    </w:rPr>
                  </w:pPr>
                  <w:r>
                    <w:rPr>
                      <w:rFonts w:hint="eastAsia" w:cs="Times New Roman"/>
                      <w:color w:val="auto"/>
                      <w:highlight w:val="none"/>
                    </w:rPr>
                    <w:t>炉渣</w:t>
                  </w:r>
                </w:p>
              </w:tc>
              <w:tc>
                <w:tcPr>
                  <w:tcW w:w="1188" w:type="pct"/>
                  <w:vMerge w:val="continue"/>
                  <w:tcBorders>
                    <w:tl2br w:val="nil"/>
                    <w:tr2bl w:val="nil"/>
                  </w:tcBorders>
                  <w:vAlign w:val="center"/>
                </w:tcPr>
                <w:p w14:paraId="66EF7EE6">
                  <w:pPr>
                    <w:pStyle w:val="13"/>
                    <w:rPr>
                      <w:color w:val="auto"/>
                      <w:highlight w:val="none"/>
                    </w:rPr>
                  </w:pPr>
                </w:p>
              </w:tc>
              <w:tc>
                <w:tcPr>
                  <w:tcW w:w="1095" w:type="dxa"/>
                  <w:tcBorders>
                    <w:tl2br w:val="nil"/>
                    <w:tr2bl w:val="nil"/>
                  </w:tcBorders>
                  <w:vAlign w:val="center"/>
                </w:tcPr>
                <w:p w14:paraId="0CE41992">
                  <w:pPr>
                    <w:pStyle w:val="13"/>
                    <w:ind w:firstLine="0" w:firstLineChars="0"/>
                    <w:rPr>
                      <w:color w:val="auto"/>
                      <w:highlight w:val="none"/>
                    </w:rPr>
                  </w:pPr>
                  <w:r>
                    <w:rPr>
                      <w:rFonts w:hint="eastAsia"/>
                      <w:color w:val="auto"/>
                      <w:highlight w:val="none"/>
                    </w:rPr>
                    <w:t>1</w:t>
                  </w:r>
                </w:p>
              </w:tc>
              <w:tc>
                <w:tcPr>
                  <w:tcW w:w="1080" w:type="dxa"/>
                  <w:tcBorders>
                    <w:tl2br w:val="nil"/>
                    <w:tr2bl w:val="nil"/>
                  </w:tcBorders>
                  <w:vAlign w:val="center"/>
                </w:tcPr>
                <w:p w14:paraId="25B5AB9D">
                  <w:pPr>
                    <w:pStyle w:val="13"/>
                    <w:ind w:firstLine="0" w:firstLineChars="0"/>
                    <w:rPr>
                      <w:color w:val="auto"/>
                      <w:highlight w:val="none"/>
                    </w:rPr>
                  </w:pPr>
                  <w:r>
                    <w:rPr>
                      <w:rFonts w:hint="eastAsia"/>
                      <w:color w:val="auto"/>
                      <w:highlight w:val="none"/>
                    </w:rPr>
                    <w:t>0</w:t>
                  </w:r>
                </w:p>
              </w:tc>
              <w:tc>
                <w:tcPr>
                  <w:tcW w:w="1094" w:type="dxa"/>
                  <w:tcBorders>
                    <w:tl2br w:val="nil"/>
                    <w:tr2bl w:val="nil"/>
                  </w:tcBorders>
                  <w:vAlign w:val="center"/>
                </w:tcPr>
                <w:p w14:paraId="45857B01">
                  <w:pPr>
                    <w:pStyle w:val="13"/>
                    <w:rPr>
                      <w:color w:val="auto"/>
                      <w:highlight w:val="none"/>
                    </w:rPr>
                  </w:pPr>
                  <w:r>
                    <w:rPr>
                      <w:rFonts w:hint="eastAsia"/>
                      <w:color w:val="auto"/>
                      <w:highlight w:val="none"/>
                    </w:rPr>
                    <w:t>0</w:t>
                  </w:r>
                </w:p>
              </w:tc>
              <w:tc>
                <w:tcPr>
                  <w:tcW w:w="1768" w:type="dxa"/>
                  <w:tcBorders>
                    <w:tl2br w:val="nil"/>
                    <w:tr2bl w:val="nil"/>
                  </w:tcBorders>
                  <w:vAlign w:val="center"/>
                </w:tcPr>
                <w:p w14:paraId="2CCCAE74">
                  <w:pPr>
                    <w:pStyle w:val="13"/>
                    <w:rPr>
                      <w:color w:val="auto"/>
                      <w:highlight w:val="none"/>
                    </w:rPr>
                  </w:pPr>
                  <w:r>
                    <w:rPr>
                      <w:rFonts w:hint="eastAsia"/>
                      <w:color w:val="auto"/>
                      <w:highlight w:val="none"/>
                    </w:rPr>
                    <w:t>0</w:t>
                  </w:r>
                </w:p>
              </w:tc>
              <w:tc>
                <w:tcPr>
                  <w:tcW w:w="625" w:type="pct"/>
                  <w:tcBorders>
                    <w:tl2br w:val="nil"/>
                    <w:tr2bl w:val="nil"/>
                  </w:tcBorders>
                  <w:vAlign w:val="center"/>
                </w:tcPr>
                <w:p w14:paraId="434D70DB">
                  <w:pPr>
                    <w:pStyle w:val="13"/>
                    <w:rPr>
                      <w:color w:val="auto"/>
                      <w:highlight w:val="none"/>
                    </w:rPr>
                  </w:pPr>
                  <w:r>
                    <w:rPr>
                      <w:rFonts w:hint="eastAsia"/>
                      <w:color w:val="auto"/>
                      <w:highlight w:val="none"/>
                    </w:rPr>
                    <w:t>1</w:t>
                  </w:r>
                </w:p>
              </w:tc>
              <w:tc>
                <w:tcPr>
                  <w:tcW w:w="327" w:type="pct"/>
                  <w:tcBorders>
                    <w:tl2br w:val="nil"/>
                    <w:tr2bl w:val="nil"/>
                  </w:tcBorders>
                  <w:vAlign w:val="center"/>
                </w:tcPr>
                <w:p w14:paraId="0CEF5DCC">
                  <w:pPr>
                    <w:pStyle w:val="13"/>
                    <w:rPr>
                      <w:rFonts w:hint="eastAsia" w:eastAsia="宋体"/>
                      <w:color w:val="auto"/>
                      <w:highlight w:val="none"/>
                      <w:lang w:val="en-US" w:eastAsia="zh-CN"/>
                    </w:rPr>
                  </w:pPr>
                  <w:r>
                    <w:rPr>
                      <w:rFonts w:hint="eastAsia"/>
                      <w:color w:val="auto"/>
                      <w:highlight w:val="none"/>
                      <w:lang w:val="en-US" w:eastAsia="zh-CN"/>
                    </w:rPr>
                    <w:t>0</w:t>
                  </w:r>
                </w:p>
              </w:tc>
            </w:tr>
            <w:tr w14:paraId="72348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74" w:type="pct"/>
                  <w:tcBorders>
                    <w:tl2br w:val="nil"/>
                    <w:tr2bl w:val="nil"/>
                  </w:tcBorders>
                  <w:vAlign w:val="center"/>
                </w:tcPr>
                <w:p w14:paraId="2C24DA76">
                  <w:pPr>
                    <w:pStyle w:val="13"/>
                    <w:rPr>
                      <w:color w:val="auto"/>
                      <w:highlight w:val="none"/>
                    </w:rPr>
                  </w:pPr>
                  <w:r>
                    <w:rPr>
                      <w:rFonts w:hint="eastAsia"/>
                      <w:color w:val="auto"/>
                      <w:highlight w:val="none"/>
                    </w:rPr>
                    <w:t>5</w:t>
                  </w:r>
                </w:p>
              </w:tc>
              <w:tc>
                <w:tcPr>
                  <w:tcW w:w="783" w:type="pct"/>
                  <w:tcBorders>
                    <w:tl2br w:val="nil"/>
                    <w:tr2bl w:val="nil"/>
                  </w:tcBorders>
                  <w:vAlign w:val="center"/>
                </w:tcPr>
                <w:p w14:paraId="1CDDBB15">
                  <w:pPr>
                    <w:pStyle w:val="13"/>
                    <w:rPr>
                      <w:rFonts w:cs="Times New Roman"/>
                      <w:color w:val="auto"/>
                      <w:highlight w:val="none"/>
                    </w:rPr>
                  </w:pPr>
                  <w:r>
                    <w:rPr>
                      <w:rFonts w:hint="eastAsia" w:cs="Times New Roman"/>
                      <w:color w:val="auto"/>
                      <w:highlight w:val="none"/>
                    </w:rPr>
                    <w:t>除尘粉尘</w:t>
                  </w:r>
                </w:p>
              </w:tc>
              <w:tc>
                <w:tcPr>
                  <w:tcW w:w="1188" w:type="pct"/>
                  <w:tcBorders>
                    <w:tl2br w:val="nil"/>
                    <w:tr2bl w:val="nil"/>
                  </w:tcBorders>
                  <w:vAlign w:val="center"/>
                </w:tcPr>
                <w:p w14:paraId="015EE2C9">
                  <w:pPr>
                    <w:pStyle w:val="13"/>
                    <w:rPr>
                      <w:color w:val="auto"/>
                      <w:highlight w:val="none"/>
                    </w:rPr>
                  </w:pPr>
                  <w:r>
                    <w:rPr>
                      <w:rFonts w:hint="eastAsia"/>
                      <w:color w:val="auto"/>
                      <w:highlight w:val="none"/>
                    </w:rPr>
                    <w:t>收集后回用于生产。</w:t>
                  </w:r>
                </w:p>
              </w:tc>
              <w:tc>
                <w:tcPr>
                  <w:tcW w:w="1095" w:type="dxa"/>
                  <w:tcBorders>
                    <w:tl2br w:val="nil"/>
                    <w:tr2bl w:val="nil"/>
                  </w:tcBorders>
                  <w:vAlign w:val="center"/>
                </w:tcPr>
                <w:p w14:paraId="302ED771">
                  <w:pPr>
                    <w:pStyle w:val="13"/>
                    <w:ind w:firstLine="0" w:firstLineChars="0"/>
                    <w:rPr>
                      <w:rFonts w:hint="eastAsia" w:eastAsia="宋体"/>
                      <w:color w:val="auto"/>
                      <w:highlight w:val="none"/>
                      <w:lang w:eastAsia="zh-CN"/>
                    </w:rPr>
                  </w:pPr>
                  <w:r>
                    <w:rPr>
                      <w:rFonts w:hint="eastAsia"/>
                      <w:color w:val="auto"/>
                      <w:highlight w:val="none"/>
                      <w:lang w:val="en-US" w:eastAsia="zh-CN"/>
                    </w:rPr>
                    <w:t>/</w:t>
                  </w:r>
                </w:p>
              </w:tc>
              <w:tc>
                <w:tcPr>
                  <w:tcW w:w="1080" w:type="dxa"/>
                  <w:tcBorders>
                    <w:tl2br w:val="nil"/>
                    <w:tr2bl w:val="nil"/>
                  </w:tcBorders>
                  <w:vAlign w:val="center"/>
                </w:tcPr>
                <w:p w14:paraId="100BDA27">
                  <w:pPr>
                    <w:pStyle w:val="13"/>
                    <w:ind w:firstLine="0" w:firstLineChars="0"/>
                    <w:rPr>
                      <w:color w:val="auto"/>
                      <w:highlight w:val="none"/>
                    </w:rPr>
                  </w:pPr>
                  <w:r>
                    <w:rPr>
                      <w:rFonts w:hint="eastAsia"/>
                      <w:color w:val="auto"/>
                      <w:highlight w:val="none"/>
                    </w:rPr>
                    <w:t>86.3181</w:t>
                  </w:r>
                </w:p>
              </w:tc>
              <w:tc>
                <w:tcPr>
                  <w:tcW w:w="1094" w:type="dxa"/>
                  <w:tcBorders>
                    <w:tl2br w:val="nil"/>
                    <w:tr2bl w:val="nil"/>
                  </w:tcBorders>
                  <w:vAlign w:val="center"/>
                </w:tcPr>
                <w:p w14:paraId="31BCCFD1">
                  <w:pPr>
                    <w:pStyle w:val="13"/>
                    <w:rPr>
                      <w:color w:val="auto"/>
                      <w:highlight w:val="none"/>
                    </w:rPr>
                  </w:pPr>
                  <w:r>
                    <w:rPr>
                      <w:rFonts w:hint="eastAsia"/>
                      <w:color w:val="auto"/>
                      <w:highlight w:val="none"/>
                    </w:rPr>
                    <w:t>0</w:t>
                  </w:r>
                </w:p>
              </w:tc>
              <w:tc>
                <w:tcPr>
                  <w:tcW w:w="1768" w:type="dxa"/>
                  <w:tcBorders>
                    <w:tl2br w:val="nil"/>
                    <w:tr2bl w:val="nil"/>
                  </w:tcBorders>
                  <w:vAlign w:val="center"/>
                </w:tcPr>
                <w:p w14:paraId="337D4541">
                  <w:pPr>
                    <w:pStyle w:val="13"/>
                    <w:rPr>
                      <w:color w:val="auto"/>
                      <w:highlight w:val="none"/>
                    </w:rPr>
                  </w:pPr>
                  <w:r>
                    <w:rPr>
                      <w:rFonts w:hint="eastAsia"/>
                      <w:color w:val="auto"/>
                      <w:highlight w:val="none"/>
                    </w:rPr>
                    <w:t>0</w:t>
                  </w:r>
                </w:p>
              </w:tc>
              <w:tc>
                <w:tcPr>
                  <w:tcW w:w="625" w:type="pct"/>
                  <w:tcBorders>
                    <w:tl2br w:val="nil"/>
                    <w:tr2bl w:val="nil"/>
                  </w:tcBorders>
                  <w:vAlign w:val="center"/>
                </w:tcPr>
                <w:p w14:paraId="67D692E9">
                  <w:pPr>
                    <w:pStyle w:val="13"/>
                    <w:rPr>
                      <w:color w:val="auto"/>
                      <w:highlight w:val="none"/>
                    </w:rPr>
                  </w:pPr>
                  <w:r>
                    <w:rPr>
                      <w:rFonts w:hint="eastAsia"/>
                      <w:color w:val="auto"/>
                      <w:highlight w:val="none"/>
                    </w:rPr>
                    <w:t>0</w:t>
                  </w:r>
                </w:p>
              </w:tc>
              <w:tc>
                <w:tcPr>
                  <w:tcW w:w="327" w:type="pct"/>
                  <w:tcBorders>
                    <w:tl2br w:val="nil"/>
                    <w:tr2bl w:val="nil"/>
                  </w:tcBorders>
                  <w:vAlign w:val="center"/>
                </w:tcPr>
                <w:p w14:paraId="2DCED0FF">
                  <w:pPr>
                    <w:pStyle w:val="13"/>
                    <w:rPr>
                      <w:rFonts w:hint="eastAsia" w:eastAsia="宋体"/>
                      <w:color w:val="auto"/>
                      <w:highlight w:val="none"/>
                      <w:lang w:val="en-US" w:eastAsia="zh-CN"/>
                    </w:rPr>
                  </w:pPr>
                  <w:r>
                    <w:rPr>
                      <w:rFonts w:hint="eastAsia"/>
                      <w:color w:val="auto"/>
                      <w:highlight w:val="none"/>
                      <w:lang w:val="en-US" w:eastAsia="zh-CN"/>
                    </w:rPr>
                    <w:t>0</w:t>
                  </w:r>
                </w:p>
              </w:tc>
            </w:tr>
            <w:tr w14:paraId="17F73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74" w:type="pct"/>
                  <w:tcBorders>
                    <w:tl2br w:val="nil"/>
                    <w:tr2bl w:val="nil"/>
                  </w:tcBorders>
                  <w:vAlign w:val="center"/>
                </w:tcPr>
                <w:p w14:paraId="64628381">
                  <w:pPr>
                    <w:pStyle w:val="13"/>
                    <w:rPr>
                      <w:color w:val="auto"/>
                      <w:highlight w:val="none"/>
                    </w:rPr>
                  </w:pPr>
                  <w:r>
                    <w:rPr>
                      <w:rFonts w:hint="eastAsia"/>
                      <w:color w:val="auto"/>
                      <w:highlight w:val="none"/>
                    </w:rPr>
                    <w:t>6</w:t>
                  </w:r>
                </w:p>
              </w:tc>
              <w:tc>
                <w:tcPr>
                  <w:tcW w:w="783" w:type="pct"/>
                  <w:tcBorders>
                    <w:tl2br w:val="nil"/>
                    <w:tr2bl w:val="nil"/>
                  </w:tcBorders>
                  <w:vAlign w:val="center"/>
                </w:tcPr>
                <w:p w14:paraId="325BD7D6">
                  <w:pPr>
                    <w:pStyle w:val="13"/>
                    <w:rPr>
                      <w:color w:val="auto"/>
                      <w:highlight w:val="none"/>
                    </w:rPr>
                  </w:pPr>
                  <w:r>
                    <w:rPr>
                      <w:rFonts w:hint="eastAsia" w:cs="Times New Roman"/>
                      <w:color w:val="auto"/>
                      <w:highlight w:val="none"/>
                    </w:rPr>
                    <w:t>废矿物油</w:t>
                  </w:r>
                </w:p>
              </w:tc>
              <w:tc>
                <w:tcPr>
                  <w:tcW w:w="1188" w:type="pct"/>
                  <w:tcBorders>
                    <w:tl2br w:val="nil"/>
                    <w:tr2bl w:val="nil"/>
                  </w:tcBorders>
                  <w:vAlign w:val="center"/>
                </w:tcPr>
                <w:p w14:paraId="0873FCC5">
                  <w:pPr>
                    <w:pStyle w:val="13"/>
                    <w:rPr>
                      <w:color w:val="auto"/>
                      <w:highlight w:val="none"/>
                    </w:rPr>
                  </w:pPr>
                  <w:r>
                    <w:rPr>
                      <w:rFonts w:hint="eastAsia"/>
                      <w:color w:val="auto"/>
                      <w:highlight w:val="none"/>
                    </w:rPr>
                    <w:t>收集暂存于危废库，委托有资质单位定期处置。</w:t>
                  </w:r>
                </w:p>
              </w:tc>
              <w:tc>
                <w:tcPr>
                  <w:tcW w:w="1095" w:type="dxa"/>
                  <w:tcBorders>
                    <w:tl2br w:val="nil"/>
                    <w:tr2bl w:val="nil"/>
                  </w:tcBorders>
                  <w:vAlign w:val="center"/>
                </w:tcPr>
                <w:p w14:paraId="64B4C4BE">
                  <w:pPr>
                    <w:pStyle w:val="13"/>
                    <w:ind w:firstLine="0" w:firstLineChars="0"/>
                    <w:rPr>
                      <w:color w:val="auto"/>
                      <w:highlight w:val="none"/>
                    </w:rPr>
                  </w:pPr>
                  <w:r>
                    <w:rPr>
                      <w:rFonts w:hint="eastAsia"/>
                      <w:color w:val="auto"/>
                      <w:highlight w:val="none"/>
                    </w:rPr>
                    <w:t>1.05</w:t>
                  </w:r>
                </w:p>
              </w:tc>
              <w:tc>
                <w:tcPr>
                  <w:tcW w:w="1080" w:type="dxa"/>
                  <w:tcBorders>
                    <w:tl2br w:val="nil"/>
                    <w:tr2bl w:val="nil"/>
                  </w:tcBorders>
                  <w:vAlign w:val="center"/>
                </w:tcPr>
                <w:p w14:paraId="05EC8930">
                  <w:pPr>
                    <w:pStyle w:val="13"/>
                    <w:ind w:firstLine="0" w:firstLineChars="0"/>
                    <w:rPr>
                      <w:color w:val="auto"/>
                      <w:highlight w:val="none"/>
                    </w:rPr>
                  </w:pPr>
                  <w:r>
                    <w:rPr>
                      <w:rFonts w:hint="eastAsia"/>
                      <w:color w:val="auto"/>
                      <w:highlight w:val="none"/>
                    </w:rPr>
                    <w:t>0</w:t>
                  </w:r>
                </w:p>
              </w:tc>
              <w:tc>
                <w:tcPr>
                  <w:tcW w:w="391" w:type="pct"/>
                  <w:tcBorders>
                    <w:tl2br w:val="nil"/>
                    <w:tr2bl w:val="nil"/>
                  </w:tcBorders>
                  <w:vAlign w:val="center"/>
                </w:tcPr>
                <w:p w14:paraId="5E57B9F2">
                  <w:pPr>
                    <w:pStyle w:val="13"/>
                    <w:rPr>
                      <w:color w:val="auto"/>
                      <w:highlight w:val="none"/>
                    </w:rPr>
                  </w:pPr>
                  <w:r>
                    <w:rPr>
                      <w:rFonts w:hint="eastAsia"/>
                      <w:color w:val="auto"/>
                      <w:highlight w:val="none"/>
                    </w:rPr>
                    <w:t>0</w:t>
                  </w:r>
                </w:p>
              </w:tc>
              <w:tc>
                <w:tcPr>
                  <w:tcW w:w="632" w:type="pct"/>
                  <w:tcBorders>
                    <w:tl2br w:val="nil"/>
                    <w:tr2bl w:val="nil"/>
                  </w:tcBorders>
                  <w:vAlign w:val="center"/>
                </w:tcPr>
                <w:p w14:paraId="66856C00">
                  <w:pPr>
                    <w:pStyle w:val="13"/>
                    <w:rPr>
                      <w:color w:val="auto"/>
                      <w:highlight w:val="none"/>
                    </w:rPr>
                  </w:pPr>
                  <w:r>
                    <w:rPr>
                      <w:rFonts w:hint="eastAsia"/>
                      <w:color w:val="auto"/>
                      <w:highlight w:val="none"/>
                    </w:rPr>
                    <w:t>0</w:t>
                  </w:r>
                </w:p>
              </w:tc>
              <w:tc>
                <w:tcPr>
                  <w:tcW w:w="625" w:type="pct"/>
                  <w:tcBorders>
                    <w:tl2br w:val="nil"/>
                    <w:tr2bl w:val="nil"/>
                  </w:tcBorders>
                  <w:vAlign w:val="center"/>
                </w:tcPr>
                <w:p w14:paraId="278D3C34">
                  <w:pPr>
                    <w:pStyle w:val="13"/>
                    <w:rPr>
                      <w:color w:val="auto"/>
                      <w:highlight w:val="none"/>
                    </w:rPr>
                  </w:pPr>
                  <w:r>
                    <w:rPr>
                      <w:rFonts w:hint="eastAsia"/>
                      <w:color w:val="auto"/>
                      <w:highlight w:val="none"/>
                    </w:rPr>
                    <w:t>1.05</w:t>
                  </w:r>
                </w:p>
              </w:tc>
              <w:tc>
                <w:tcPr>
                  <w:tcW w:w="327" w:type="pct"/>
                  <w:tcBorders>
                    <w:tl2br w:val="nil"/>
                    <w:tr2bl w:val="nil"/>
                  </w:tcBorders>
                  <w:vAlign w:val="center"/>
                </w:tcPr>
                <w:p w14:paraId="704B688F">
                  <w:pPr>
                    <w:pStyle w:val="13"/>
                    <w:rPr>
                      <w:color w:val="auto"/>
                      <w:highlight w:val="none"/>
                    </w:rPr>
                  </w:pPr>
                  <w:r>
                    <w:rPr>
                      <w:rFonts w:hint="eastAsia"/>
                      <w:color w:val="auto"/>
                      <w:highlight w:val="none"/>
                    </w:rPr>
                    <w:t>0</w:t>
                  </w:r>
                </w:p>
              </w:tc>
            </w:tr>
            <w:tr w14:paraId="3421A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74" w:type="pct"/>
                  <w:tcBorders>
                    <w:tl2br w:val="nil"/>
                    <w:tr2bl w:val="nil"/>
                  </w:tcBorders>
                  <w:vAlign w:val="center"/>
                </w:tcPr>
                <w:p w14:paraId="01D408B2">
                  <w:pPr>
                    <w:pStyle w:val="13"/>
                    <w:rPr>
                      <w:color w:val="auto"/>
                      <w:highlight w:val="none"/>
                    </w:rPr>
                  </w:pPr>
                  <w:r>
                    <w:rPr>
                      <w:rFonts w:hint="eastAsia"/>
                      <w:color w:val="auto"/>
                      <w:highlight w:val="none"/>
                    </w:rPr>
                    <w:t>7</w:t>
                  </w:r>
                </w:p>
              </w:tc>
              <w:tc>
                <w:tcPr>
                  <w:tcW w:w="783" w:type="pct"/>
                  <w:tcBorders>
                    <w:tl2br w:val="nil"/>
                    <w:tr2bl w:val="nil"/>
                  </w:tcBorders>
                  <w:vAlign w:val="center"/>
                </w:tcPr>
                <w:p w14:paraId="3E5E4106">
                  <w:pPr>
                    <w:pStyle w:val="13"/>
                    <w:rPr>
                      <w:color w:val="auto"/>
                      <w:highlight w:val="none"/>
                    </w:rPr>
                  </w:pPr>
                  <w:r>
                    <w:rPr>
                      <w:rFonts w:cs="Times New Roman"/>
                      <w:color w:val="auto"/>
                      <w:highlight w:val="none"/>
                    </w:rPr>
                    <w:t>生活垃圾</w:t>
                  </w:r>
                </w:p>
              </w:tc>
              <w:tc>
                <w:tcPr>
                  <w:tcW w:w="1188" w:type="pct"/>
                  <w:tcBorders>
                    <w:tl2br w:val="nil"/>
                    <w:tr2bl w:val="nil"/>
                  </w:tcBorders>
                  <w:vAlign w:val="center"/>
                </w:tcPr>
                <w:p w14:paraId="40F14B0A">
                  <w:pPr>
                    <w:pStyle w:val="13"/>
                    <w:rPr>
                      <w:color w:val="auto"/>
                      <w:highlight w:val="none"/>
                    </w:rPr>
                  </w:pPr>
                  <w:r>
                    <w:rPr>
                      <w:rFonts w:hint="eastAsia"/>
                      <w:color w:val="auto"/>
                      <w:highlight w:val="none"/>
                    </w:rPr>
                    <w:t>环卫部门定期清运。</w:t>
                  </w:r>
                </w:p>
              </w:tc>
              <w:tc>
                <w:tcPr>
                  <w:tcW w:w="1095" w:type="dxa"/>
                  <w:tcBorders>
                    <w:tl2br w:val="nil"/>
                    <w:tr2bl w:val="nil"/>
                  </w:tcBorders>
                  <w:vAlign w:val="center"/>
                </w:tcPr>
                <w:p w14:paraId="03D89089">
                  <w:pPr>
                    <w:pStyle w:val="13"/>
                    <w:ind w:firstLine="0" w:firstLineChars="0"/>
                    <w:rPr>
                      <w:color w:val="auto"/>
                      <w:highlight w:val="none"/>
                    </w:rPr>
                  </w:pPr>
                  <w:r>
                    <w:rPr>
                      <w:rFonts w:hint="eastAsia"/>
                      <w:color w:val="auto"/>
                      <w:highlight w:val="none"/>
                    </w:rPr>
                    <w:t>3</w:t>
                  </w:r>
                </w:p>
              </w:tc>
              <w:tc>
                <w:tcPr>
                  <w:tcW w:w="1080" w:type="dxa"/>
                  <w:tcBorders>
                    <w:tl2br w:val="nil"/>
                    <w:tr2bl w:val="nil"/>
                  </w:tcBorders>
                  <w:vAlign w:val="center"/>
                </w:tcPr>
                <w:p w14:paraId="262D7957">
                  <w:pPr>
                    <w:pStyle w:val="13"/>
                    <w:ind w:firstLine="0" w:firstLineChars="0"/>
                    <w:rPr>
                      <w:color w:val="auto"/>
                      <w:highlight w:val="none"/>
                    </w:rPr>
                  </w:pPr>
                  <w:r>
                    <w:rPr>
                      <w:rFonts w:hint="eastAsia"/>
                      <w:color w:val="auto"/>
                      <w:highlight w:val="none"/>
                    </w:rPr>
                    <w:t>0</w:t>
                  </w:r>
                </w:p>
              </w:tc>
              <w:tc>
                <w:tcPr>
                  <w:tcW w:w="391" w:type="pct"/>
                  <w:tcBorders>
                    <w:tl2br w:val="nil"/>
                    <w:tr2bl w:val="nil"/>
                  </w:tcBorders>
                  <w:vAlign w:val="center"/>
                </w:tcPr>
                <w:p w14:paraId="3994C078">
                  <w:pPr>
                    <w:pStyle w:val="13"/>
                    <w:rPr>
                      <w:color w:val="auto"/>
                      <w:highlight w:val="none"/>
                    </w:rPr>
                  </w:pPr>
                  <w:r>
                    <w:rPr>
                      <w:rFonts w:hint="eastAsia"/>
                      <w:color w:val="auto"/>
                      <w:highlight w:val="none"/>
                    </w:rPr>
                    <w:t>0</w:t>
                  </w:r>
                </w:p>
              </w:tc>
              <w:tc>
                <w:tcPr>
                  <w:tcW w:w="632" w:type="pct"/>
                  <w:tcBorders>
                    <w:tl2br w:val="nil"/>
                    <w:tr2bl w:val="nil"/>
                  </w:tcBorders>
                  <w:vAlign w:val="center"/>
                </w:tcPr>
                <w:p w14:paraId="1AA88879">
                  <w:pPr>
                    <w:pStyle w:val="13"/>
                    <w:rPr>
                      <w:color w:val="auto"/>
                      <w:highlight w:val="none"/>
                    </w:rPr>
                  </w:pPr>
                  <w:r>
                    <w:rPr>
                      <w:rFonts w:hint="eastAsia"/>
                      <w:color w:val="auto"/>
                      <w:highlight w:val="none"/>
                    </w:rPr>
                    <w:t>0</w:t>
                  </w:r>
                </w:p>
              </w:tc>
              <w:tc>
                <w:tcPr>
                  <w:tcW w:w="625" w:type="pct"/>
                  <w:tcBorders>
                    <w:tl2br w:val="nil"/>
                    <w:tr2bl w:val="nil"/>
                  </w:tcBorders>
                  <w:vAlign w:val="center"/>
                </w:tcPr>
                <w:p w14:paraId="4E884B5E">
                  <w:pPr>
                    <w:pStyle w:val="13"/>
                    <w:rPr>
                      <w:color w:val="auto"/>
                      <w:highlight w:val="none"/>
                    </w:rPr>
                  </w:pPr>
                  <w:r>
                    <w:rPr>
                      <w:rFonts w:hint="eastAsia"/>
                      <w:color w:val="auto"/>
                      <w:highlight w:val="none"/>
                    </w:rPr>
                    <w:t>3</w:t>
                  </w:r>
                </w:p>
              </w:tc>
              <w:tc>
                <w:tcPr>
                  <w:tcW w:w="327" w:type="pct"/>
                  <w:tcBorders>
                    <w:tl2br w:val="nil"/>
                    <w:tr2bl w:val="nil"/>
                  </w:tcBorders>
                  <w:vAlign w:val="center"/>
                </w:tcPr>
                <w:p w14:paraId="5DC044F1">
                  <w:pPr>
                    <w:pStyle w:val="13"/>
                    <w:rPr>
                      <w:color w:val="auto"/>
                      <w:highlight w:val="none"/>
                    </w:rPr>
                  </w:pPr>
                  <w:r>
                    <w:rPr>
                      <w:rFonts w:hint="eastAsia"/>
                      <w:color w:val="auto"/>
                      <w:highlight w:val="none"/>
                    </w:rPr>
                    <w:t>0</w:t>
                  </w:r>
                </w:p>
              </w:tc>
            </w:tr>
          </w:tbl>
          <w:p w14:paraId="66AE9F8D">
            <w:pPr>
              <w:ind w:firstLine="480"/>
              <w:rPr>
                <w:color w:val="auto"/>
                <w:highlight w:val="none"/>
              </w:rPr>
            </w:pPr>
          </w:p>
          <w:p w14:paraId="2C8299F4">
            <w:pPr>
              <w:ind w:firstLine="480"/>
              <w:rPr>
                <w:color w:val="auto"/>
                <w:highlight w:val="none"/>
              </w:rPr>
            </w:pPr>
          </w:p>
          <w:p w14:paraId="2958F55E">
            <w:pPr>
              <w:ind w:firstLine="480"/>
              <w:rPr>
                <w:color w:val="auto"/>
                <w:highlight w:val="none"/>
              </w:rPr>
            </w:pPr>
          </w:p>
          <w:p w14:paraId="0895403F">
            <w:pPr>
              <w:ind w:firstLine="480"/>
              <w:rPr>
                <w:color w:val="auto"/>
                <w:highlight w:val="none"/>
              </w:rPr>
            </w:pPr>
          </w:p>
          <w:p w14:paraId="07BB65C3">
            <w:pPr>
              <w:ind w:firstLine="480"/>
              <w:rPr>
                <w:color w:val="auto"/>
                <w:highlight w:val="none"/>
              </w:rPr>
            </w:pPr>
          </w:p>
          <w:p w14:paraId="5604B3B9">
            <w:pPr>
              <w:ind w:firstLine="480"/>
              <w:rPr>
                <w:color w:val="auto"/>
                <w:highlight w:val="none"/>
              </w:rPr>
            </w:pPr>
          </w:p>
          <w:p w14:paraId="77CAB81A">
            <w:pPr>
              <w:ind w:firstLine="480"/>
              <w:rPr>
                <w:color w:val="auto"/>
                <w:highlight w:val="none"/>
              </w:rPr>
            </w:pPr>
          </w:p>
          <w:p w14:paraId="2A5783B0">
            <w:pPr>
              <w:ind w:firstLine="480"/>
              <w:rPr>
                <w:color w:val="auto"/>
                <w:highlight w:val="none"/>
              </w:rPr>
            </w:pPr>
          </w:p>
          <w:p w14:paraId="6D7BAB34">
            <w:pPr>
              <w:ind w:firstLine="480"/>
              <w:rPr>
                <w:color w:val="auto"/>
                <w:highlight w:val="none"/>
              </w:rPr>
            </w:pPr>
          </w:p>
          <w:p w14:paraId="4D9BACBF">
            <w:pPr>
              <w:ind w:firstLine="480"/>
              <w:rPr>
                <w:color w:val="auto"/>
                <w:highlight w:val="none"/>
              </w:rPr>
            </w:pPr>
          </w:p>
          <w:p w14:paraId="668D8C34">
            <w:pPr>
              <w:ind w:firstLine="480"/>
              <w:rPr>
                <w:color w:val="auto"/>
                <w:highlight w:val="none"/>
              </w:rPr>
            </w:pPr>
          </w:p>
          <w:p w14:paraId="54C9D4D0">
            <w:pPr>
              <w:ind w:firstLine="480"/>
              <w:rPr>
                <w:color w:val="auto"/>
                <w:highlight w:val="none"/>
              </w:rPr>
            </w:pPr>
          </w:p>
          <w:p w14:paraId="5DF61C35">
            <w:pPr>
              <w:ind w:firstLine="480"/>
              <w:rPr>
                <w:color w:val="auto"/>
                <w:highlight w:val="none"/>
              </w:rPr>
            </w:pPr>
          </w:p>
          <w:p w14:paraId="45A505A1">
            <w:pPr>
              <w:ind w:firstLine="480"/>
              <w:rPr>
                <w:color w:val="auto"/>
                <w:highlight w:val="none"/>
              </w:rPr>
            </w:pPr>
          </w:p>
        </w:tc>
      </w:tr>
    </w:tbl>
    <w:p w14:paraId="330B8582">
      <w:pPr>
        <w:ind w:firstLine="480"/>
        <w:rPr>
          <w:color w:val="auto"/>
          <w:highlight w:val="none"/>
        </w:rPr>
        <w:sectPr>
          <w:pgSz w:w="16838" w:h="11906" w:orient="landscape"/>
          <w:pgMar w:top="1134" w:right="1134" w:bottom="1247" w:left="1247" w:header="851" w:footer="850" w:gutter="0"/>
          <w:cols w:space="425" w:num="1"/>
          <w:docGrid w:type="lines" w:linePitch="312" w:charSpace="0"/>
        </w:sectPr>
      </w:pP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
        <w:gridCol w:w="9293"/>
      </w:tblGrid>
      <w:tr w14:paraId="057E4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 w:type="pct"/>
          </w:tcPr>
          <w:p w14:paraId="5C0D9667">
            <w:pPr>
              <w:ind w:firstLine="0" w:firstLineChars="0"/>
              <w:rPr>
                <w:color w:val="auto"/>
                <w:highlight w:val="none"/>
              </w:rPr>
            </w:pPr>
            <w:r>
              <w:rPr>
                <w:rFonts w:hint="eastAsia"/>
                <w:b/>
                <w:bCs/>
                <w:color w:val="auto"/>
                <w:highlight w:val="none"/>
              </w:rPr>
              <w:t>运营期环境影响和保护措施</w:t>
            </w:r>
          </w:p>
        </w:tc>
        <w:tc>
          <w:tcPr>
            <w:tcW w:w="4769" w:type="pct"/>
          </w:tcPr>
          <w:p w14:paraId="104FE6E1">
            <w:pPr>
              <w:pStyle w:val="3"/>
              <w:ind w:firstLine="482"/>
              <w:rPr>
                <w:color w:val="auto"/>
                <w:highlight w:val="none"/>
              </w:rPr>
            </w:pPr>
            <w:r>
              <w:rPr>
                <w:rFonts w:hint="eastAsia"/>
                <w:color w:val="auto"/>
                <w:highlight w:val="none"/>
              </w:rPr>
              <w:t>（2）一般工业固体废物产生情况</w:t>
            </w:r>
          </w:p>
          <w:p w14:paraId="64590A12">
            <w:pPr>
              <w:ind w:firstLine="480"/>
              <w:rPr>
                <w:color w:val="auto"/>
                <w:highlight w:val="none"/>
              </w:rPr>
            </w:pPr>
            <w:r>
              <w:rPr>
                <w:rFonts w:hint="eastAsia"/>
                <w:color w:val="auto"/>
                <w:highlight w:val="none"/>
              </w:rPr>
              <w:t>本项目一般工业固体废物包括筛分杂质、磁选杂质、废包装材料、炉渣、除尘粉尘。</w:t>
            </w:r>
          </w:p>
          <w:p w14:paraId="46E4478E">
            <w:pPr>
              <w:pStyle w:val="4"/>
              <w:ind w:firstLine="482"/>
              <w:rPr>
                <w:rFonts w:cs="Times New Roman"/>
                <w:color w:val="auto"/>
                <w:highlight w:val="none"/>
              </w:rPr>
            </w:pPr>
            <w:r>
              <w:rPr>
                <w:rFonts w:cs="Times New Roman"/>
                <w:color w:val="auto"/>
                <w:highlight w:val="none"/>
              </w:rPr>
              <w:t>S1</w:t>
            </w:r>
            <w:r>
              <w:rPr>
                <w:rFonts w:hint="eastAsia" w:cs="Times New Roman"/>
                <w:color w:val="auto"/>
                <w:highlight w:val="none"/>
              </w:rPr>
              <w:t>筛分杂质</w:t>
            </w:r>
          </w:p>
          <w:p w14:paraId="3E99E575">
            <w:pPr>
              <w:ind w:firstLine="480"/>
              <w:rPr>
                <w:color w:val="auto"/>
                <w:highlight w:val="none"/>
              </w:rPr>
            </w:pPr>
            <w:r>
              <w:rPr>
                <w:rFonts w:hint="eastAsia"/>
                <w:color w:val="auto"/>
                <w:highlight w:val="none"/>
              </w:rPr>
              <w:t>本项目筛分过程中均会产生筛分杂质，筛分杂质属《固体废物分类与代码目录》中“SW59 其他工业固体废物--非特定行业--900-099-S59--其他工业生产过程中产生的固体废物。”根据建设单位提供的资料，筛分杂质预计产生量为10t/a，暂存于固废库，定期交由有资质单位清运处置。</w:t>
            </w:r>
          </w:p>
          <w:p w14:paraId="31048F4C">
            <w:pPr>
              <w:ind w:firstLine="482"/>
              <w:rPr>
                <w:rFonts w:cs="Times New Roman"/>
                <w:b/>
                <w:bCs/>
                <w:color w:val="auto"/>
                <w:highlight w:val="none"/>
              </w:rPr>
            </w:pPr>
            <w:r>
              <w:rPr>
                <w:rFonts w:cs="Times New Roman"/>
                <w:b/>
                <w:bCs/>
                <w:color w:val="auto"/>
                <w:highlight w:val="none"/>
              </w:rPr>
              <w:t>S2</w:t>
            </w:r>
            <w:r>
              <w:rPr>
                <w:rFonts w:hint="eastAsia" w:cs="Times New Roman"/>
                <w:b/>
                <w:bCs/>
                <w:color w:val="auto"/>
                <w:highlight w:val="none"/>
              </w:rPr>
              <w:t>磁选杂质</w:t>
            </w:r>
          </w:p>
          <w:p w14:paraId="16FA2FA1">
            <w:pPr>
              <w:ind w:firstLine="480"/>
              <w:rPr>
                <w:color w:val="auto"/>
                <w:highlight w:val="none"/>
              </w:rPr>
            </w:pPr>
            <w:r>
              <w:rPr>
                <w:rFonts w:hint="eastAsia"/>
                <w:color w:val="auto"/>
                <w:highlight w:val="none"/>
              </w:rPr>
              <w:t>本项目磁选过程中均会产生磁选杂质，磁选杂质属《固体废物分类与代码目录》中“SW17 可再生类废物物--非特定行业--900-001-S17--废钢铁。工业生产活动中产生的以钢铁为主要成分的边角料、残次品，以及报废机动车、报废机械设备拆解产生的以钢铁为主要成分的零部件等。”根据建设单位提供的资料，磁选杂质预计产生量为1t/a，暂存于固废库，定期交由有资质单位清运处置。</w:t>
            </w:r>
          </w:p>
          <w:p w14:paraId="1701DEE0">
            <w:pPr>
              <w:ind w:firstLine="482"/>
              <w:rPr>
                <w:rFonts w:cs="Times New Roman"/>
                <w:b/>
                <w:bCs/>
                <w:color w:val="auto"/>
                <w:highlight w:val="none"/>
              </w:rPr>
            </w:pPr>
            <w:r>
              <w:rPr>
                <w:rFonts w:cs="Times New Roman"/>
                <w:b/>
                <w:bCs/>
                <w:color w:val="auto"/>
                <w:highlight w:val="none"/>
              </w:rPr>
              <w:t>S3</w:t>
            </w:r>
            <w:r>
              <w:rPr>
                <w:rFonts w:hint="eastAsia" w:cs="Times New Roman"/>
                <w:b/>
                <w:bCs/>
                <w:color w:val="auto"/>
                <w:highlight w:val="none"/>
              </w:rPr>
              <w:t>废包装材料</w:t>
            </w:r>
          </w:p>
          <w:p w14:paraId="3DCFF15F">
            <w:pPr>
              <w:ind w:firstLine="480"/>
              <w:rPr>
                <w:color w:val="auto"/>
                <w:highlight w:val="none"/>
              </w:rPr>
            </w:pPr>
            <w:r>
              <w:rPr>
                <w:rFonts w:hint="eastAsia"/>
                <w:color w:val="auto"/>
                <w:highlight w:val="none"/>
              </w:rPr>
              <w:t>本项目原辅料包装及产品打包过程中均会产生废包装材料，废包装材料属《固体废物分类与代码目录》中“SW59 可再生类废物--非特定行业--900-099-S59--其他工业生产过程中产生的固体废物。”根据建设单位提供的资料，废包装材料预计产生量为0.5t/a，暂存于固废库，定期交由有资质单位清运处置。</w:t>
            </w:r>
          </w:p>
          <w:p w14:paraId="6D6B939D">
            <w:pPr>
              <w:ind w:firstLine="482"/>
              <w:rPr>
                <w:rFonts w:cs="Times New Roman"/>
                <w:b/>
                <w:bCs/>
                <w:color w:val="auto"/>
                <w:highlight w:val="none"/>
              </w:rPr>
            </w:pPr>
            <w:r>
              <w:rPr>
                <w:rFonts w:cs="Times New Roman"/>
                <w:b/>
                <w:bCs/>
                <w:color w:val="auto"/>
                <w:highlight w:val="none"/>
              </w:rPr>
              <w:t>S</w:t>
            </w:r>
            <w:r>
              <w:rPr>
                <w:rFonts w:hint="eastAsia" w:cs="Times New Roman"/>
                <w:b/>
                <w:bCs/>
                <w:color w:val="auto"/>
                <w:highlight w:val="none"/>
              </w:rPr>
              <w:t>4炉渣</w:t>
            </w:r>
          </w:p>
          <w:p w14:paraId="530AE086">
            <w:pPr>
              <w:ind w:firstLine="480"/>
              <w:rPr>
                <w:color w:val="auto"/>
                <w:highlight w:val="none"/>
              </w:rPr>
            </w:pPr>
            <w:r>
              <w:rPr>
                <w:rFonts w:hint="eastAsia"/>
                <w:color w:val="auto"/>
                <w:highlight w:val="none"/>
              </w:rPr>
              <w:t>本项目蒸汽锅炉使用过程中会产生炉渣，炉渣属《固体废物分类与代码目录》中“SW03 炉渣--非特定行业--900-099-S03--其他炉渣。工业生产过程中产生的其他炉渣，包括农林生物质燃烧产生的炉渣等。”根据建设单位提供的资料</w:t>
            </w:r>
            <w:r>
              <w:rPr>
                <w:rFonts w:hint="eastAsia"/>
                <w:color w:val="auto"/>
                <w:highlight w:val="none"/>
                <w:lang w:val="en-US" w:eastAsia="zh-CN"/>
              </w:rPr>
              <w:t>和前文废气源强计算</w:t>
            </w:r>
            <w:r>
              <w:rPr>
                <w:rFonts w:hint="eastAsia"/>
                <w:color w:val="auto"/>
                <w:highlight w:val="none"/>
              </w:rPr>
              <w:t>，炉渣预计产生量为1</w:t>
            </w:r>
            <w:r>
              <w:rPr>
                <w:rFonts w:hint="eastAsia"/>
                <w:color w:val="auto"/>
                <w:highlight w:val="none"/>
                <w:lang w:val="en-US" w:eastAsia="zh-CN"/>
              </w:rPr>
              <w:t>.0371</w:t>
            </w:r>
            <w:r>
              <w:rPr>
                <w:rFonts w:hint="eastAsia"/>
                <w:color w:val="auto"/>
                <w:highlight w:val="none"/>
              </w:rPr>
              <w:t>t/a，暂存于固废库，定期交由有资质单位清运处置。</w:t>
            </w:r>
          </w:p>
          <w:p w14:paraId="6354637F">
            <w:pPr>
              <w:ind w:firstLine="482"/>
              <w:rPr>
                <w:rFonts w:cs="Times New Roman"/>
                <w:b/>
                <w:bCs/>
                <w:color w:val="auto"/>
                <w:highlight w:val="none"/>
              </w:rPr>
            </w:pPr>
            <w:r>
              <w:rPr>
                <w:rFonts w:cs="Times New Roman"/>
                <w:b/>
                <w:bCs/>
                <w:color w:val="auto"/>
                <w:highlight w:val="none"/>
              </w:rPr>
              <w:t>S</w:t>
            </w:r>
            <w:r>
              <w:rPr>
                <w:rFonts w:hint="eastAsia" w:cs="Times New Roman"/>
                <w:b/>
                <w:bCs/>
                <w:color w:val="auto"/>
                <w:highlight w:val="none"/>
              </w:rPr>
              <w:t>5除尘粉尘</w:t>
            </w:r>
          </w:p>
          <w:p w14:paraId="3779F1C7">
            <w:pPr>
              <w:ind w:firstLine="480"/>
              <w:rPr>
                <w:color w:val="auto"/>
                <w:highlight w:val="none"/>
              </w:rPr>
            </w:pPr>
            <w:r>
              <w:rPr>
                <w:rFonts w:hint="eastAsia"/>
                <w:color w:val="auto"/>
                <w:highlight w:val="none"/>
              </w:rPr>
              <w:t>本项目废气处理过程中会产生除尘粉尘，除尘粉尘属《固体废物分类与代码目录》中“SW59 其他工业固体废物--非特定行业--900-099-S59--其他工业生产过程中产生的固体废物。”根据前文废气源强计算，除尘粉尘产生量约为86.3</w:t>
            </w:r>
            <w:r>
              <w:rPr>
                <w:rFonts w:hint="eastAsia"/>
                <w:color w:val="auto"/>
                <w:highlight w:val="none"/>
                <w:lang w:val="en-US" w:eastAsia="zh-CN"/>
              </w:rPr>
              <w:t>181</w:t>
            </w:r>
            <w:r>
              <w:rPr>
                <w:rFonts w:hint="eastAsia"/>
                <w:color w:val="auto"/>
                <w:highlight w:val="none"/>
              </w:rPr>
              <w:t>t/a。项目产生的除尘粉尘收集后回用于生产。</w:t>
            </w:r>
          </w:p>
          <w:p w14:paraId="2B7C9C93">
            <w:pPr>
              <w:pStyle w:val="3"/>
              <w:ind w:firstLine="482"/>
              <w:rPr>
                <w:rFonts w:hint="eastAsia"/>
                <w:color w:val="auto"/>
                <w:highlight w:val="none"/>
              </w:rPr>
            </w:pPr>
          </w:p>
          <w:p w14:paraId="37311DEC">
            <w:pPr>
              <w:pStyle w:val="3"/>
              <w:ind w:firstLine="482"/>
              <w:rPr>
                <w:rFonts w:hint="eastAsia"/>
                <w:color w:val="auto"/>
                <w:highlight w:val="none"/>
              </w:rPr>
            </w:pPr>
          </w:p>
          <w:p w14:paraId="5C3D35AF">
            <w:pPr>
              <w:pStyle w:val="3"/>
              <w:ind w:firstLine="482"/>
              <w:rPr>
                <w:color w:val="auto"/>
                <w:highlight w:val="none"/>
              </w:rPr>
            </w:pPr>
            <w:r>
              <w:rPr>
                <w:rFonts w:hint="eastAsia"/>
                <w:color w:val="auto"/>
                <w:highlight w:val="none"/>
              </w:rPr>
              <w:t>（3）一般工业固体废物贮存要求</w:t>
            </w:r>
          </w:p>
          <w:p w14:paraId="334164F9">
            <w:pPr>
              <w:pStyle w:val="4"/>
              <w:ind w:firstLine="482"/>
              <w:rPr>
                <w:color w:val="auto"/>
                <w:highlight w:val="none"/>
              </w:rPr>
            </w:pPr>
            <w:r>
              <w:rPr>
                <w:rFonts w:hint="eastAsia"/>
                <w:color w:val="auto"/>
                <w:highlight w:val="none"/>
              </w:rPr>
              <w:t>①针对一般工业固体废物的贮存提出以下要求：</w:t>
            </w:r>
          </w:p>
          <w:p w14:paraId="6ECB7B99">
            <w:pPr>
              <w:pStyle w:val="14"/>
              <w:spacing w:before="156"/>
              <w:rPr>
                <w:color w:val="auto"/>
                <w:highlight w:val="none"/>
              </w:rPr>
            </w:pPr>
            <w:r>
              <w:rPr>
                <w:color w:val="auto"/>
                <w:highlight w:val="none"/>
              </w:rPr>
              <w:t>表4-</w:t>
            </w:r>
            <w:r>
              <w:rPr>
                <w:rFonts w:hint="eastAsia"/>
                <w:color w:val="auto"/>
                <w:highlight w:val="none"/>
              </w:rPr>
              <w:t>1</w:t>
            </w:r>
            <w:r>
              <w:rPr>
                <w:rFonts w:hint="eastAsia"/>
                <w:color w:val="auto"/>
                <w:highlight w:val="none"/>
                <w:lang w:val="en-US" w:eastAsia="zh-CN"/>
              </w:rPr>
              <w:t>5</w:t>
            </w:r>
            <w:r>
              <w:rPr>
                <w:color w:val="auto"/>
                <w:highlight w:val="none"/>
              </w:rPr>
              <w:t xml:space="preserve">  项目</w:t>
            </w:r>
            <w:r>
              <w:rPr>
                <w:rFonts w:hint="eastAsia"/>
                <w:color w:val="auto"/>
                <w:highlight w:val="none"/>
              </w:rPr>
              <w:t>一般工业固体废物</w:t>
            </w:r>
            <w:r>
              <w:rPr>
                <w:color w:val="auto"/>
                <w:highlight w:val="none"/>
              </w:rPr>
              <w:t>汇总表</w:t>
            </w:r>
          </w:p>
          <w:tbl>
            <w:tblPr>
              <w:tblStyle w:val="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3"/>
              <w:gridCol w:w="1514"/>
              <w:gridCol w:w="2926"/>
              <w:gridCol w:w="1343"/>
              <w:gridCol w:w="1165"/>
              <w:gridCol w:w="656"/>
              <w:gridCol w:w="1013"/>
            </w:tblGrid>
            <w:tr w14:paraId="741A8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4" w:type="pct"/>
                  <w:tcBorders>
                    <w:top w:val="single" w:color="auto" w:sz="4" w:space="0"/>
                    <w:left w:val="single" w:color="auto" w:sz="4" w:space="0"/>
                    <w:bottom w:val="single" w:color="auto" w:sz="4" w:space="0"/>
                    <w:right w:val="single" w:color="auto" w:sz="4" w:space="0"/>
                    <w:tl2br w:val="nil"/>
                    <w:tr2bl w:val="nil"/>
                  </w:tcBorders>
                  <w:vAlign w:val="center"/>
                </w:tcPr>
                <w:p w14:paraId="0F517FF1">
                  <w:pPr>
                    <w:pStyle w:val="13"/>
                    <w:rPr>
                      <w:b/>
                      <w:bCs/>
                      <w:color w:val="auto"/>
                      <w:highlight w:val="none"/>
                    </w:rPr>
                  </w:pPr>
                  <w:r>
                    <w:rPr>
                      <w:rFonts w:hint="eastAsia"/>
                      <w:b/>
                      <w:bCs/>
                      <w:color w:val="auto"/>
                      <w:highlight w:val="none"/>
                    </w:rPr>
                    <w:t>序号</w:t>
                  </w:r>
                </w:p>
              </w:tc>
              <w:tc>
                <w:tcPr>
                  <w:tcW w:w="835" w:type="pct"/>
                  <w:tcBorders>
                    <w:top w:val="single" w:color="auto" w:sz="4" w:space="0"/>
                    <w:left w:val="single" w:color="auto" w:sz="4" w:space="0"/>
                    <w:bottom w:val="single" w:color="auto" w:sz="4" w:space="0"/>
                    <w:right w:val="single" w:color="auto" w:sz="4" w:space="0"/>
                    <w:tl2br w:val="nil"/>
                    <w:tr2bl w:val="nil"/>
                  </w:tcBorders>
                  <w:vAlign w:val="center"/>
                </w:tcPr>
                <w:p w14:paraId="44A5EEA2">
                  <w:pPr>
                    <w:pStyle w:val="13"/>
                    <w:rPr>
                      <w:b/>
                      <w:bCs/>
                      <w:color w:val="auto"/>
                      <w:highlight w:val="none"/>
                    </w:rPr>
                  </w:pPr>
                  <w:r>
                    <w:rPr>
                      <w:rFonts w:hint="eastAsia"/>
                      <w:b/>
                      <w:bCs/>
                      <w:color w:val="auto"/>
                      <w:highlight w:val="none"/>
                    </w:rPr>
                    <w:t>危险废物名称</w:t>
                  </w:r>
                </w:p>
              </w:tc>
              <w:tc>
                <w:tcPr>
                  <w:tcW w:w="1615" w:type="pct"/>
                  <w:tcBorders>
                    <w:top w:val="single" w:color="auto" w:sz="4" w:space="0"/>
                    <w:left w:val="single" w:color="auto" w:sz="4" w:space="0"/>
                    <w:bottom w:val="single" w:color="auto" w:sz="4" w:space="0"/>
                    <w:right w:val="single" w:color="auto" w:sz="4" w:space="0"/>
                    <w:tl2br w:val="nil"/>
                    <w:tr2bl w:val="nil"/>
                  </w:tcBorders>
                  <w:vAlign w:val="center"/>
                </w:tcPr>
                <w:p w14:paraId="2CC08B87">
                  <w:pPr>
                    <w:pStyle w:val="13"/>
                    <w:rPr>
                      <w:b/>
                      <w:bCs/>
                      <w:color w:val="auto"/>
                      <w:highlight w:val="none"/>
                    </w:rPr>
                  </w:pPr>
                  <w:r>
                    <w:rPr>
                      <w:rFonts w:hint="eastAsia"/>
                      <w:b/>
                      <w:bCs/>
                      <w:color w:val="auto"/>
                      <w:highlight w:val="none"/>
                    </w:rPr>
                    <w:t>危险废物类别及代码</w:t>
                  </w:r>
                </w:p>
              </w:tc>
              <w:tc>
                <w:tcPr>
                  <w:tcW w:w="741" w:type="pct"/>
                  <w:tcBorders>
                    <w:top w:val="single" w:color="auto" w:sz="4" w:space="0"/>
                    <w:left w:val="single" w:color="auto" w:sz="4" w:space="0"/>
                    <w:bottom w:val="single" w:color="auto" w:sz="4" w:space="0"/>
                    <w:right w:val="single" w:color="auto" w:sz="4" w:space="0"/>
                    <w:tl2br w:val="nil"/>
                    <w:tr2bl w:val="nil"/>
                  </w:tcBorders>
                  <w:vAlign w:val="center"/>
                </w:tcPr>
                <w:p w14:paraId="71B5893D">
                  <w:pPr>
                    <w:pStyle w:val="13"/>
                    <w:rPr>
                      <w:b/>
                      <w:bCs/>
                      <w:color w:val="auto"/>
                      <w:highlight w:val="none"/>
                    </w:rPr>
                  </w:pPr>
                  <w:r>
                    <w:rPr>
                      <w:rFonts w:hint="eastAsia"/>
                      <w:b/>
                      <w:bCs/>
                      <w:color w:val="auto"/>
                      <w:highlight w:val="none"/>
                    </w:rPr>
                    <w:t>防治措施</w:t>
                  </w:r>
                </w:p>
              </w:tc>
              <w:tc>
                <w:tcPr>
                  <w:tcW w:w="643" w:type="pct"/>
                  <w:tcBorders>
                    <w:top w:val="single" w:color="auto" w:sz="4" w:space="0"/>
                    <w:left w:val="single" w:color="auto" w:sz="4" w:space="0"/>
                    <w:bottom w:val="single" w:color="auto" w:sz="4" w:space="0"/>
                    <w:right w:val="single" w:color="auto" w:sz="4" w:space="0"/>
                    <w:tl2br w:val="nil"/>
                    <w:tr2bl w:val="nil"/>
                  </w:tcBorders>
                  <w:vAlign w:val="center"/>
                </w:tcPr>
                <w:p w14:paraId="5C5EE923">
                  <w:pPr>
                    <w:pStyle w:val="13"/>
                    <w:rPr>
                      <w:b/>
                      <w:bCs/>
                      <w:color w:val="auto"/>
                      <w:highlight w:val="none"/>
                    </w:rPr>
                  </w:pPr>
                  <w:r>
                    <w:rPr>
                      <w:rFonts w:hint="eastAsia"/>
                      <w:b/>
                      <w:bCs/>
                      <w:color w:val="auto"/>
                      <w:highlight w:val="none"/>
                    </w:rPr>
                    <w:t>产生工序</w:t>
                  </w:r>
                </w:p>
              </w:tc>
              <w:tc>
                <w:tcPr>
                  <w:tcW w:w="361" w:type="pct"/>
                  <w:tcBorders>
                    <w:top w:val="single" w:color="auto" w:sz="4" w:space="0"/>
                    <w:left w:val="single" w:color="auto" w:sz="4" w:space="0"/>
                    <w:bottom w:val="single" w:color="auto" w:sz="4" w:space="0"/>
                    <w:right w:val="single" w:color="auto" w:sz="4" w:space="0"/>
                    <w:tl2br w:val="nil"/>
                    <w:tr2bl w:val="nil"/>
                  </w:tcBorders>
                  <w:vAlign w:val="center"/>
                </w:tcPr>
                <w:p w14:paraId="4022C6D8">
                  <w:pPr>
                    <w:pStyle w:val="13"/>
                    <w:rPr>
                      <w:b/>
                      <w:bCs/>
                      <w:color w:val="auto"/>
                      <w:highlight w:val="none"/>
                    </w:rPr>
                  </w:pPr>
                  <w:r>
                    <w:rPr>
                      <w:rFonts w:hint="eastAsia"/>
                      <w:b/>
                      <w:bCs/>
                      <w:color w:val="auto"/>
                      <w:highlight w:val="none"/>
                    </w:rPr>
                    <w:t>形态</w:t>
                  </w:r>
                </w:p>
              </w:tc>
              <w:tc>
                <w:tcPr>
                  <w:tcW w:w="559" w:type="pct"/>
                  <w:tcBorders>
                    <w:top w:val="single" w:color="auto" w:sz="4" w:space="0"/>
                    <w:left w:val="single" w:color="auto" w:sz="4" w:space="0"/>
                    <w:bottom w:val="single" w:color="auto" w:sz="4" w:space="0"/>
                    <w:right w:val="single" w:color="auto" w:sz="4" w:space="0"/>
                    <w:tl2br w:val="nil"/>
                    <w:tr2bl w:val="nil"/>
                  </w:tcBorders>
                  <w:vAlign w:val="center"/>
                </w:tcPr>
                <w:p w14:paraId="11333239">
                  <w:pPr>
                    <w:pStyle w:val="13"/>
                    <w:rPr>
                      <w:b/>
                      <w:bCs/>
                      <w:color w:val="auto"/>
                      <w:highlight w:val="none"/>
                    </w:rPr>
                  </w:pPr>
                  <w:r>
                    <w:rPr>
                      <w:rFonts w:hint="eastAsia"/>
                      <w:b/>
                      <w:bCs/>
                      <w:color w:val="auto"/>
                      <w:highlight w:val="none"/>
                    </w:rPr>
                    <w:t>产生量（t/a）</w:t>
                  </w:r>
                </w:p>
              </w:tc>
            </w:tr>
            <w:tr w14:paraId="3D419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4" w:type="pct"/>
                  <w:tcBorders>
                    <w:top w:val="single" w:color="auto" w:sz="4" w:space="0"/>
                    <w:left w:val="single" w:color="auto" w:sz="4" w:space="0"/>
                    <w:bottom w:val="single" w:color="auto" w:sz="4" w:space="0"/>
                    <w:right w:val="single" w:color="auto" w:sz="4" w:space="0"/>
                    <w:tl2br w:val="nil"/>
                    <w:tr2bl w:val="nil"/>
                  </w:tcBorders>
                  <w:vAlign w:val="center"/>
                </w:tcPr>
                <w:p w14:paraId="37F2B884">
                  <w:pPr>
                    <w:pStyle w:val="13"/>
                    <w:rPr>
                      <w:color w:val="auto"/>
                      <w:highlight w:val="none"/>
                    </w:rPr>
                  </w:pPr>
                  <w:r>
                    <w:rPr>
                      <w:rFonts w:hint="eastAsia"/>
                      <w:color w:val="auto"/>
                      <w:highlight w:val="none"/>
                    </w:rPr>
                    <w:t>1</w:t>
                  </w:r>
                </w:p>
              </w:tc>
              <w:tc>
                <w:tcPr>
                  <w:tcW w:w="835" w:type="pct"/>
                  <w:tcBorders>
                    <w:top w:val="single" w:color="auto" w:sz="4" w:space="0"/>
                    <w:left w:val="single" w:color="auto" w:sz="4" w:space="0"/>
                    <w:bottom w:val="single" w:color="auto" w:sz="4" w:space="0"/>
                    <w:right w:val="single" w:color="auto" w:sz="4" w:space="0"/>
                    <w:tl2br w:val="nil"/>
                    <w:tr2bl w:val="nil"/>
                  </w:tcBorders>
                  <w:vAlign w:val="center"/>
                </w:tcPr>
                <w:p w14:paraId="759D8361">
                  <w:pPr>
                    <w:pStyle w:val="13"/>
                    <w:rPr>
                      <w:color w:val="auto"/>
                      <w:highlight w:val="none"/>
                    </w:rPr>
                  </w:pPr>
                  <w:r>
                    <w:rPr>
                      <w:rFonts w:hint="eastAsia" w:cs="Times New Roman"/>
                      <w:color w:val="auto"/>
                      <w:highlight w:val="none"/>
                    </w:rPr>
                    <w:t>筛分杂质</w:t>
                  </w:r>
                </w:p>
              </w:tc>
              <w:tc>
                <w:tcPr>
                  <w:tcW w:w="1615" w:type="pct"/>
                  <w:tcBorders>
                    <w:top w:val="single" w:color="auto" w:sz="4" w:space="0"/>
                    <w:left w:val="single" w:color="auto" w:sz="4" w:space="0"/>
                    <w:bottom w:val="single" w:color="auto" w:sz="4" w:space="0"/>
                    <w:right w:val="single" w:color="auto" w:sz="4" w:space="0"/>
                    <w:tl2br w:val="nil"/>
                    <w:tr2bl w:val="nil"/>
                  </w:tcBorders>
                  <w:vAlign w:val="center"/>
                </w:tcPr>
                <w:p w14:paraId="36C621DD">
                  <w:pPr>
                    <w:pStyle w:val="13"/>
                    <w:rPr>
                      <w:color w:val="auto"/>
                      <w:highlight w:val="none"/>
                    </w:rPr>
                  </w:pPr>
                  <w:r>
                    <w:rPr>
                      <w:rFonts w:hint="eastAsia"/>
                      <w:color w:val="auto"/>
                      <w:highlight w:val="none"/>
                    </w:rPr>
                    <w:t>SW59 其他工业固体废物--非特定行业--900-099-S59</w:t>
                  </w:r>
                </w:p>
              </w:tc>
              <w:tc>
                <w:tcPr>
                  <w:tcW w:w="741" w:type="pct"/>
                  <w:vMerge w:val="restart"/>
                  <w:tcBorders>
                    <w:top w:val="single" w:color="auto" w:sz="4" w:space="0"/>
                    <w:left w:val="single" w:color="auto" w:sz="4" w:space="0"/>
                    <w:right w:val="single" w:color="auto" w:sz="4" w:space="0"/>
                    <w:tl2br w:val="nil"/>
                    <w:tr2bl w:val="nil"/>
                  </w:tcBorders>
                  <w:vAlign w:val="center"/>
                </w:tcPr>
                <w:p w14:paraId="6A0DFE6A">
                  <w:pPr>
                    <w:pStyle w:val="13"/>
                    <w:rPr>
                      <w:color w:val="auto"/>
                      <w:highlight w:val="none"/>
                    </w:rPr>
                  </w:pPr>
                  <w:r>
                    <w:rPr>
                      <w:rFonts w:hint="eastAsia"/>
                      <w:color w:val="auto"/>
                      <w:highlight w:val="none"/>
                    </w:rPr>
                    <w:t>收集暂存于固废库，委托有资质单位定期处置。</w:t>
                  </w:r>
                </w:p>
              </w:tc>
              <w:tc>
                <w:tcPr>
                  <w:tcW w:w="643" w:type="pct"/>
                  <w:tcBorders>
                    <w:top w:val="single" w:color="auto" w:sz="4" w:space="0"/>
                    <w:left w:val="single" w:color="auto" w:sz="4" w:space="0"/>
                    <w:bottom w:val="single" w:color="auto" w:sz="4" w:space="0"/>
                    <w:right w:val="single" w:color="auto" w:sz="4" w:space="0"/>
                    <w:tl2br w:val="nil"/>
                    <w:tr2bl w:val="nil"/>
                  </w:tcBorders>
                  <w:vAlign w:val="center"/>
                </w:tcPr>
                <w:p w14:paraId="35E60E43">
                  <w:pPr>
                    <w:pStyle w:val="13"/>
                    <w:rPr>
                      <w:color w:val="auto"/>
                      <w:highlight w:val="none"/>
                    </w:rPr>
                  </w:pPr>
                  <w:r>
                    <w:rPr>
                      <w:rFonts w:hint="eastAsia" w:cs="Times New Roman"/>
                      <w:color w:val="auto"/>
                      <w:highlight w:val="none"/>
                    </w:rPr>
                    <w:t>筛分</w:t>
                  </w:r>
                </w:p>
              </w:tc>
              <w:tc>
                <w:tcPr>
                  <w:tcW w:w="361" w:type="pct"/>
                  <w:tcBorders>
                    <w:top w:val="single" w:color="auto" w:sz="4" w:space="0"/>
                    <w:left w:val="single" w:color="auto" w:sz="4" w:space="0"/>
                    <w:bottom w:val="single" w:color="auto" w:sz="4" w:space="0"/>
                    <w:right w:val="single" w:color="auto" w:sz="4" w:space="0"/>
                    <w:tl2br w:val="nil"/>
                    <w:tr2bl w:val="nil"/>
                  </w:tcBorders>
                  <w:vAlign w:val="center"/>
                </w:tcPr>
                <w:p w14:paraId="55BDED71">
                  <w:pPr>
                    <w:pStyle w:val="13"/>
                    <w:rPr>
                      <w:color w:val="auto"/>
                      <w:highlight w:val="none"/>
                    </w:rPr>
                  </w:pPr>
                  <w:r>
                    <w:rPr>
                      <w:rFonts w:hint="eastAsia"/>
                      <w:color w:val="auto"/>
                      <w:highlight w:val="none"/>
                    </w:rPr>
                    <w:t>固态</w:t>
                  </w:r>
                </w:p>
              </w:tc>
              <w:tc>
                <w:tcPr>
                  <w:tcW w:w="559" w:type="pct"/>
                  <w:tcBorders>
                    <w:top w:val="single" w:color="auto" w:sz="4" w:space="0"/>
                    <w:left w:val="single" w:color="auto" w:sz="4" w:space="0"/>
                    <w:right w:val="single" w:color="auto" w:sz="4" w:space="0"/>
                    <w:tl2br w:val="nil"/>
                    <w:tr2bl w:val="nil"/>
                  </w:tcBorders>
                  <w:vAlign w:val="center"/>
                </w:tcPr>
                <w:p w14:paraId="724ADE5E">
                  <w:pPr>
                    <w:pStyle w:val="13"/>
                    <w:rPr>
                      <w:color w:val="auto"/>
                      <w:highlight w:val="none"/>
                    </w:rPr>
                  </w:pPr>
                  <w:r>
                    <w:rPr>
                      <w:rFonts w:hint="eastAsia"/>
                      <w:color w:val="auto"/>
                      <w:highlight w:val="none"/>
                    </w:rPr>
                    <w:t>10</w:t>
                  </w:r>
                </w:p>
              </w:tc>
            </w:tr>
            <w:tr w14:paraId="0C4F2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4" w:type="pct"/>
                  <w:tcBorders>
                    <w:top w:val="single" w:color="auto" w:sz="4" w:space="0"/>
                    <w:left w:val="single" w:color="auto" w:sz="4" w:space="0"/>
                    <w:bottom w:val="single" w:color="auto" w:sz="4" w:space="0"/>
                    <w:right w:val="single" w:color="auto" w:sz="4" w:space="0"/>
                    <w:tl2br w:val="nil"/>
                    <w:tr2bl w:val="nil"/>
                  </w:tcBorders>
                  <w:vAlign w:val="center"/>
                </w:tcPr>
                <w:p w14:paraId="1993CC1B">
                  <w:pPr>
                    <w:pStyle w:val="13"/>
                    <w:rPr>
                      <w:color w:val="auto"/>
                      <w:highlight w:val="none"/>
                    </w:rPr>
                  </w:pPr>
                  <w:r>
                    <w:rPr>
                      <w:rFonts w:hint="eastAsia"/>
                      <w:color w:val="auto"/>
                      <w:highlight w:val="none"/>
                    </w:rPr>
                    <w:t>2</w:t>
                  </w:r>
                </w:p>
              </w:tc>
              <w:tc>
                <w:tcPr>
                  <w:tcW w:w="835" w:type="pct"/>
                  <w:tcBorders>
                    <w:top w:val="single" w:color="auto" w:sz="4" w:space="0"/>
                    <w:left w:val="single" w:color="auto" w:sz="4" w:space="0"/>
                    <w:bottom w:val="single" w:color="auto" w:sz="4" w:space="0"/>
                    <w:right w:val="single" w:color="auto" w:sz="4" w:space="0"/>
                    <w:tl2br w:val="nil"/>
                    <w:tr2bl w:val="nil"/>
                  </w:tcBorders>
                  <w:vAlign w:val="center"/>
                </w:tcPr>
                <w:p w14:paraId="5609EB65">
                  <w:pPr>
                    <w:pStyle w:val="13"/>
                    <w:rPr>
                      <w:color w:val="auto"/>
                      <w:highlight w:val="none"/>
                    </w:rPr>
                  </w:pPr>
                  <w:r>
                    <w:rPr>
                      <w:rFonts w:hint="eastAsia" w:cs="Times New Roman"/>
                      <w:color w:val="auto"/>
                      <w:highlight w:val="none"/>
                    </w:rPr>
                    <w:t>磁选杂质</w:t>
                  </w:r>
                </w:p>
              </w:tc>
              <w:tc>
                <w:tcPr>
                  <w:tcW w:w="1615" w:type="pct"/>
                  <w:tcBorders>
                    <w:top w:val="single" w:color="auto" w:sz="4" w:space="0"/>
                    <w:left w:val="single" w:color="auto" w:sz="4" w:space="0"/>
                    <w:bottom w:val="single" w:color="auto" w:sz="4" w:space="0"/>
                    <w:right w:val="single" w:color="auto" w:sz="4" w:space="0"/>
                    <w:tl2br w:val="nil"/>
                    <w:tr2bl w:val="nil"/>
                  </w:tcBorders>
                  <w:vAlign w:val="center"/>
                </w:tcPr>
                <w:p w14:paraId="55985563">
                  <w:pPr>
                    <w:pStyle w:val="13"/>
                    <w:rPr>
                      <w:color w:val="auto"/>
                      <w:highlight w:val="none"/>
                    </w:rPr>
                  </w:pPr>
                  <w:r>
                    <w:rPr>
                      <w:rFonts w:hint="eastAsia"/>
                      <w:color w:val="auto"/>
                      <w:highlight w:val="none"/>
                    </w:rPr>
                    <w:t>SW17 可再生类废物物--非特定行业--900-001-S17</w:t>
                  </w:r>
                </w:p>
              </w:tc>
              <w:tc>
                <w:tcPr>
                  <w:tcW w:w="741" w:type="pct"/>
                  <w:vMerge w:val="continue"/>
                  <w:tcBorders>
                    <w:left w:val="single" w:color="auto" w:sz="4" w:space="0"/>
                    <w:right w:val="single" w:color="auto" w:sz="4" w:space="0"/>
                    <w:tl2br w:val="nil"/>
                    <w:tr2bl w:val="nil"/>
                  </w:tcBorders>
                  <w:vAlign w:val="center"/>
                </w:tcPr>
                <w:p w14:paraId="50108CAF">
                  <w:pPr>
                    <w:pStyle w:val="13"/>
                    <w:rPr>
                      <w:color w:val="auto"/>
                      <w:highlight w:val="none"/>
                    </w:rPr>
                  </w:pPr>
                </w:p>
              </w:tc>
              <w:tc>
                <w:tcPr>
                  <w:tcW w:w="643" w:type="pct"/>
                  <w:tcBorders>
                    <w:top w:val="single" w:color="auto" w:sz="4" w:space="0"/>
                    <w:left w:val="single" w:color="auto" w:sz="4" w:space="0"/>
                    <w:bottom w:val="single" w:color="auto" w:sz="4" w:space="0"/>
                    <w:right w:val="single" w:color="auto" w:sz="4" w:space="0"/>
                    <w:tl2br w:val="nil"/>
                    <w:tr2bl w:val="nil"/>
                  </w:tcBorders>
                  <w:vAlign w:val="center"/>
                </w:tcPr>
                <w:p w14:paraId="25F1E79F">
                  <w:pPr>
                    <w:pStyle w:val="13"/>
                    <w:rPr>
                      <w:color w:val="auto"/>
                      <w:highlight w:val="none"/>
                    </w:rPr>
                  </w:pPr>
                  <w:r>
                    <w:rPr>
                      <w:rFonts w:hint="eastAsia" w:cs="Times New Roman"/>
                      <w:color w:val="auto"/>
                      <w:highlight w:val="none"/>
                    </w:rPr>
                    <w:t>磁选</w:t>
                  </w:r>
                </w:p>
              </w:tc>
              <w:tc>
                <w:tcPr>
                  <w:tcW w:w="361" w:type="pct"/>
                  <w:tcBorders>
                    <w:top w:val="single" w:color="auto" w:sz="4" w:space="0"/>
                    <w:left w:val="single" w:color="auto" w:sz="4" w:space="0"/>
                    <w:bottom w:val="single" w:color="auto" w:sz="4" w:space="0"/>
                    <w:right w:val="single" w:color="auto" w:sz="4" w:space="0"/>
                    <w:tl2br w:val="nil"/>
                    <w:tr2bl w:val="nil"/>
                  </w:tcBorders>
                  <w:vAlign w:val="center"/>
                </w:tcPr>
                <w:p w14:paraId="4C4F94A1">
                  <w:pPr>
                    <w:pStyle w:val="13"/>
                    <w:rPr>
                      <w:color w:val="auto"/>
                      <w:highlight w:val="none"/>
                    </w:rPr>
                  </w:pPr>
                  <w:r>
                    <w:rPr>
                      <w:rFonts w:hint="eastAsia"/>
                      <w:color w:val="auto"/>
                      <w:highlight w:val="none"/>
                    </w:rPr>
                    <w:t>固态</w:t>
                  </w:r>
                </w:p>
              </w:tc>
              <w:tc>
                <w:tcPr>
                  <w:tcW w:w="559" w:type="pct"/>
                  <w:tcBorders>
                    <w:left w:val="single" w:color="auto" w:sz="4" w:space="0"/>
                    <w:right w:val="single" w:color="auto" w:sz="4" w:space="0"/>
                    <w:tl2br w:val="nil"/>
                    <w:tr2bl w:val="nil"/>
                  </w:tcBorders>
                  <w:vAlign w:val="center"/>
                </w:tcPr>
                <w:p w14:paraId="2405C479">
                  <w:pPr>
                    <w:pStyle w:val="13"/>
                    <w:rPr>
                      <w:color w:val="auto"/>
                      <w:highlight w:val="none"/>
                    </w:rPr>
                  </w:pPr>
                  <w:r>
                    <w:rPr>
                      <w:rFonts w:hint="eastAsia"/>
                      <w:color w:val="auto"/>
                      <w:highlight w:val="none"/>
                    </w:rPr>
                    <w:t>1</w:t>
                  </w:r>
                </w:p>
              </w:tc>
            </w:tr>
            <w:tr w14:paraId="4AF1A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4" w:type="pct"/>
                  <w:tcBorders>
                    <w:top w:val="single" w:color="auto" w:sz="4" w:space="0"/>
                    <w:left w:val="single" w:color="auto" w:sz="4" w:space="0"/>
                    <w:bottom w:val="single" w:color="auto" w:sz="4" w:space="0"/>
                    <w:right w:val="single" w:color="auto" w:sz="4" w:space="0"/>
                    <w:tl2br w:val="nil"/>
                    <w:tr2bl w:val="nil"/>
                  </w:tcBorders>
                  <w:vAlign w:val="center"/>
                </w:tcPr>
                <w:p w14:paraId="5314EBDC">
                  <w:pPr>
                    <w:pStyle w:val="13"/>
                    <w:rPr>
                      <w:color w:val="auto"/>
                      <w:highlight w:val="none"/>
                    </w:rPr>
                  </w:pPr>
                  <w:r>
                    <w:rPr>
                      <w:rFonts w:hint="eastAsia"/>
                      <w:color w:val="auto"/>
                      <w:highlight w:val="none"/>
                    </w:rPr>
                    <w:t>3</w:t>
                  </w:r>
                </w:p>
              </w:tc>
              <w:tc>
                <w:tcPr>
                  <w:tcW w:w="835" w:type="pct"/>
                  <w:tcBorders>
                    <w:top w:val="single" w:color="auto" w:sz="4" w:space="0"/>
                    <w:left w:val="single" w:color="auto" w:sz="4" w:space="0"/>
                    <w:bottom w:val="single" w:color="auto" w:sz="4" w:space="0"/>
                    <w:right w:val="single" w:color="auto" w:sz="4" w:space="0"/>
                    <w:tl2br w:val="nil"/>
                    <w:tr2bl w:val="nil"/>
                  </w:tcBorders>
                  <w:vAlign w:val="center"/>
                </w:tcPr>
                <w:p w14:paraId="64A943DE">
                  <w:pPr>
                    <w:pStyle w:val="13"/>
                    <w:rPr>
                      <w:color w:val="auto"/>
                      <w:highlight w:val="none"/>
                    </w:rPr>
                  </w:pPr>
                  <w:r>
                    <w:rPr>
                      <w:rFonts w:hint="eastAsia" w:cs="Times New Roman"/>
                      <w:color w:val="auto"/>
                      <w:highlight w:val="none"/>
                    </w:rPr>
                    <w:t>废包装材料</w:t>
                  </w:r>
                </w:p>
              </w:tc>
              <w:tc>
                <w:tcPr>
                  <w:tcW w:w="1615" w:type="pct"/>
                  <w:tcBorders>
                    <w:top w:val="single" w:color="auto" w:sz="4" w:space="0"/>
                    <w:left w:val="single" w:color="auto" w:sz="4" w:space="0"/>
                    <w:bottom w:val="single" w:color="auto" w:sz="4" w:space="0"/>
                    <w:right w:val="single" w:color="auto" w:sz="4" w:space="0"/>
                    <w:tl2br w:val="nil"/>
                    <w:tr2bl w:val="nil"/>
                  </w:tcBorders>
                  <w:vAlign w:val="center"/>
                </w:tcPr>
                <w:p w14:paraId="4C9D7988">
                  <w:pPr>
                    <w:pStyle w:val="13"/>
                    <w:rPr>
                      <w:color w:val="auto"/>
                      <w:highlight w:val="none"/>
                    </w:rPr>
                  </w:pPr>
                  <w:r>
                    <w:rPr>
                      <w:rFonts w:hint="eastAsia"/>
                      <w:color w:val="auto"/>
                      <w:highlight w:val="none"/>
                    </w:rPr>
                    <w:t>SW59 可再生类废物--非特定行业--900-099-S59</w:t>
                  </w:r>
                </w:p>
              </w:tc>
              <w:tc>
                <w:tcPr>
                  <w:tcW w:w="741" w:type="pct"/>
                  <w:vMerge w:val="continue"/>
                  <w:tcBorders>
                    <w:left w:val="single" w:color="auto" w:sz="4" w:space="0"/>
                    <w:right w:val="single" w:color="auto" w:sz="4" w:space="0"/>
                    <w:tl2br w:val="nil"/>
                    <w:tr2bl w:val="nil"/>
                  </w:tcBorders>
                  <w:vAlign w:val="center"/>
                </w:tcPr>
                <w:p w14:paraId="504C4719">
                  <w:pPr>
                    <w:pStyle w:val="13"/>
                    <w:rPr>
                      <w:color w:val="auto"/>
                      <w:highlight w:val="none"/>
                    </w:rPr>
                  </w:pPr>
                </w:p>
              </w:tc>
              <w:tc>
                <w:tcPr>
                  <w:tcW w:w="643" w:type="pct"/>
                  <w:tcBorders>
                    <w:top w:val="single" w:color="auto" w:sz="4" w:space="0"/>
                    <w:left w:val="single" w:color="auto" w:sz="4" w:space="0"/>
                    <w:bottom w:val="single" w:color="auto" w:sz="4" w:space="0"/>
                    <w:right w:val="single" w:color="auto" w:sz="4" w:space="0"/>
                    <w:tl2br w:val="nil"/>
                    <w:tr2bl w:val="nil"/>
                  </w:tcBorders>
                  <w:vAlign w:val="center"/>
                </w:tcPr>
                <w:p w14:paraId="19506B1E">
                  <w:pPr>
                    <w:pStyle w:val="13"/>
                    <w:rPr>
                      <w:color w:val="auto"/>
                      <w:highlight w:val="none"/>
                    </w:rPr>
                  </w:pPr>
                  <w:r>
                    <w:rPr>
                      <w:rFonts w:hint="eastAsia" w:cs="Times New Roman"/>
                      <w:color w:val="auto"/>
                      <w:highlight w:val="none"/>
                    </w:rPr>
                    <w:t>/</w:t>
                  </w:r>
                </w:p>
              </w:tc>
              <w:tc>
                <w:tcPr>
                  <w:tcW w:w="361" w:type="pct"/>
                  <w:tcBorders>
                    <w:top w:val="single" w:color="auto" w:sz="4" w:space="0"/>
                    <w:left w:val="single" w:color="auto" w:sz="4" w:space="0"/>
                    <w:bottom w:val="single" w:color="auto" w:sz="4" w:space="0"/>
                    <w:right w:val="single" w:color="auto" w:sz="4" w:space="0"/>
                    <w:tl2br w:val="nil"/>
                    <w:tr2bl w:val="nil"/>
                  </w:tcBorders>
                  <w:vAlign w:val="center"/>
                </w:tcPr>
                <w:p w14:paraId="3D2A19FE">
                  <w:pPr>
                    <w:pStyle w:val="13"/>
                    <w:rPr>
                      <w:color w:val="auto"/>
                      <w:highlight w:val="none"/>
                    </w:rPr>
                  </w:pPr>
                  <w:r>
                    <w:rPr>
                      <w:rFonts w:hint="eastAsia"/>
                      <w:color w:val="auto"/>
                      <w:highlight w:val="none"/>
                    </w:rPr>
                    <w:t>固态</w:t>
                  </w:r>
                </w:p>
              </w:tc>
              <w:tc>
                <w:tcPr>
                  <w:tcW w:w="559" w:type="pct"/>
                  <w:tcBorders>
                    <w:left w:val="single" w:color="auto" w:sz="4" w:space="0"/>
                    <w:right w:val="single" w:color="auto" w:sz="4" w:space="0"/>
                    <w:tl2br w:val="nil"/>
                    <w:tr2bl w:val="nil"/>
                  </w:tcBorders>
                  <w:vAlign w:val="center"/>
                </w:tcPr>
                <w:p w14:paraId="1333F2AD">
                  <w:pPr>
                    <w:pStyle w:val="13"/>
                    <w:rPr>
                      <w:color w:val="auto"/>
                      <w:highlight w:val="none"/>
                    </w:rPr>
                  </w:pPr>
                  <w:r>
                    <w:rPr>
                      <w:rFonts w:hint="eastAsia"/>
                      <w:color w:val="auto"/>
                      <w:highlight w:val="none"/>
                    </w:rPr>
                    <w:t>0.5</w:t>
                  </w:r>
                </w:p>
              </w:tc>
            </w:tr>
            <w:tr w14:paraId="6E738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4" w:type="pct"/>
                  <w:tcBorders>
                    <w:top w:val="single" w:color="auto" w:sz="4" w:space="0"/>
                    <w:left w:val="single" w:color="auto" w:sz="4" w:space="0"/>
                    <w:bottom w:val="single" w:color="auto" w:sz="4" w:space="0"/>
                    <w:right w:val="single" w:color="auto" w:sz="4" w:space="0"/>
                    <w:tl2br w:val="nil"/>
                    <w:tr2bl w:val="nil"/>
                  </w:tcBorders>
                  <w:vAlign w:val="center"/>
                </w:tcPr>
                <w:p w14:paraId="32FA99CB">
                  <w:pPr>
                    <w:pStyle w:val="13"/>
                    <w:rPr>
                      <w:color w:val="auto"/>
                      <w:highlight w:val="none"/>
                    </w:rPr>
                  </w:pPr>
                  <w:r>
                    <w:rPr>
                      <w:rFonts w:hint="eastAsia"/>
                      <w:color w:val="auto"/>
                      <w:highlight w:val="none"/>
                    </w:rPr>
                    <w:t>4</w:t>
                  </w:r>
                </w:p>
              </w:tc>
              <w:tc>
                <w:tcPr>
                  <w:tcW w:w="835" w:type="pct"/>
                  <w:tcBorders>
                    <w:top w:val="single" w:color="auto" w:sz="4" w:space="0"/>
                    <w:left w:val="single" w:color="auto" w:sz="4" w:space="0"/>
                    <w:bottom w:val="single" w:color="auto" w:sz="4" w:space="0"/>
                    <w:right w:val="single" w:color="auto" w:sz="4" w:space="0"/>
                    <w:tl2br w:val="nil"/>
                    <w:tr2bl w:val="nil"/>
                  </w:tcBorders>
                  <w:vAlign w:val="center"/>
                </w:tcPr>
                <w:p w14:paraId="52EADD82">
                  <w:pPr>
                    <w:pStyle w:val="13"/>
                    <w:rPr>
                      <w:color w:val="auto"/>
                      <w:highlight w:val="none"/>
                    </w:rPr>
                  </w:pPr>
                  <w:r>
                    <w:rPr>
                      <w:rFonts w:hint="eastAsia" w:cs="Times New Roman"/>
                      <w:color w:val="auto"/>
                      <w:highlight w:val="none"/>
                    </w:rPr>
                    <w:t>炉渣</w:t>
                  </w:r>
                </w:p>
              </w:tc>
              <w:tc>
                <w:tcPr>
                  <w:tcW w:w="1615" w:type="pct"/>
                  <w:tcBorders>
                    <w:top w:val="single" w:color="auto" w:sz="4" w:space="0"/>
                    <w:left w:val="single" w:color="auto" w:sz="4" w:space="0"/>
                    <w:bottom w:val="single" w:color="auto" w:sz="4" w:space="0"/>
                    <w:right w:val="single" w:color="auto" w:sz="4" w:space="0"/>
                    <w:tl2br w:val="nil"/>
                    <w:tr2bl w:val="nil"/>
                  </w:tcBorders>
                  <w:vAlign w:val="center"/>
                </w:tcPr>
                <w:p w14:paraId="17409920">
                  <w:pPr>
                    <w:pStyle w:val="13"/>
                    <w:rPr>
                      <w:color w:val="auto"/>
                      <w:highlight w:val="none"/>
                    </w:rPr>
                  </w:pPr>
                  <w:r>
                    <w:rPr>
                      <w:rFonts w:hint="eastAsia"/>
                      <w:color w:val="auto"/>
                      <w:highlight w:val="none"/>
                    </w:rPr>
                    <w:t>SW03 炉渣--非特定行业--900-099-S03</w:t>
                  </w:r>
                </w:p>
              </w:tc>
              <w:tc>
                <w:tcPr>
                  <w:tcW w:w="741" w:type="pct"/>
                  <w:vMerge w:val="continue"/>
                  <w:tcBorders>
                    <w:left w:val="single" w:color="auto" w:sz="4" w:space="0"/>
                    <w:right w:val="single" w:color="auto" w:sz="4" w:space="0"/>
                    <w:tl2br w:val="nil"/>
                    <w:tr2bl w:val="nil"/>
                  </w:tcBorders>
                  <w:vAlign w:val="center"/>
                </w:tcPr>
                <w:p w14:paraId="243F0C63">
                  <w:pPr>
                    <w:pStyle w:val="13"/>
                    <w:rPr>
                      <w:color w:val="auto"/>
                      <w:highlight w:val="none"/>
                    </w:rPr>
                  </w:pPr>
                </w:p>
              </w:tc>
              <w:tc>
                <w:tcPr>
                  <w:tcW w:w="643" w:type="pct"/>
                  <w:tcBorders>
                    <w:top w:val="single" w:color="auto" w:sz="4" w:space="0"/>
                    <w:left w:val="single" w:color="auto" w:sz="4" w:space="0"/>
                    <w:bottom w:val="single" w:color="auto" w:sz="4" w:space="0"/>
                    <w:right w:val="single" w:color="auto" w:sz="4" w:space="0"/>
                    <w:tl2br w:val="nil"/>
                    <w:tr2bl w:val="nil"/>
                  </w:tcBorders>
                  <w:vAlign w:val="center"/>
                </w:tcPr>
                <w:p w14:paraId="21CAE871">
                  <w:pPr>
                    <w:pStyle w:val="13"/>
                    <w:rPr>
                      <w:color w:val="auto"/>
                      <w:highlight w:val="none"/>
                    </w:rPr>
                  </w:pPr>
                  <w:r>
                    <w:rPr>
                      <w:rFonts w:hint="eastAsia" w:cs="Times New Roman"/>
                      <w:color w:val="auto"/>
                      <w:highlight w:val="none"/>
                    </w:rPr>
                    <w:t>蒸汽锅炉</w:t>
                  </w:r>
                </w:p>
              </w:tc>
              <w:tc>
                <w:tcPr>
                  <w:tcW w:w="655" w:type="dxa"/>
                  <w:tcBorders>
                    <w:top w:val="single" w:color="auto" w:sz="4" w:space="0"/>
                    <w:left w:val="single" w:color="auto" w:sz="4" w:space="0"/>
                    <w:bottom w:val="single" w:color="auto" w:sz="4" w:space="0"/>
                    <w:right w:val="single" w:color="auto" w:sz="4" w:space="0"/>
                    <w:tl2br w:val="nil"/>
                    <w:tr2bl w:val="nil"/>
                  </w:tcBorders>
                  <w:vAlign w:val="center"/>
                </w:tcPr>
                <w:p w14:paraId="0043EC8E">
                  <w:pPr>
                    <w:pStyle w:val="13"/>
                    <w:rPr>
                      <w:color w:val="auto"/>
                      <w:highlight w:val="none"/>
                    </w:rPr>
                  </w:pPr>
                  <w:r>
                    <w:rPr>
                      <w:rFonts w:hint="eastAsia"/>
                      <w:color w:val="auto"/>
                      <w:highlight w:val="none"/>
                    </w:rPr>
                    <w:t>固态</w:t>
                  </w:r>
                </w:p>
              </w:tc>
              <w:tc>
                <w:tcPr>
                  <w:tcW w:w="559" w:type="pct"/>
                  <w:tcBorders>
                    <w:left w:val="single" w:color="auto" w:sz="4" w:space="0"/>
                    <w:right w:val="single" w:color="auto" w:sz="4" w:space="0"/>
                    <w:tl2br w:val="nil"/>
                    <w:tr2bl w:val="nil"/>
                  </w:tcBorders>
                  <w:vAlign w:val="center"/>
                </w:tcPr>
                <w:p w14:paraId="48D6AB39">
                  <w:pPr>
                    <w:pStyle w:val="13"/>
                    <w:rPr>
                      <w:rFonts w:hint="default" w:eastAsia="宋体"/>
                      <w:color w:val="auto"/>
                      <w:highlight w:val="none"/>
                      <w:lang w:val="en-US" w:eastAsia="zh-CN"/>
                    </w:rPr>
                  </w:pPr>
                  <w:r>
                    <w:rPr>
                      <w:rFonts w:hint="eastAsia"/>
                      <w:color w:val="auto"/>
                      <w:highlight w:val="none"/>
                    </w:rPr>
                    <w:t>1</w:t>
                  </w:r>
                  <w:r>
                    <w:rPr>
                      <w:rFonts w:hint="eastAsia"/>
                      <w:color w:val="auto"/>
                      <w:highlight w:val="none"/>
                      <w:lang w:val="en-US" w:eastAsia="zh-CN"/>
                    </w:rPr>
                    <w:t>.0371</w:t>
                  </w:r>
                </w:p>
              </w:tc>
            </w:tr>
            <w:tr w14:paraId="58F67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4" w:type="pct"/>
                  <w:tcBorders>
                    <w:top w:val="single" w:color="auto" w:sz="4" w:space="0"/>
                    <w:left w:val="single" w:color="auto" w:sz="4" w:space="0"/>
                    <w:bottom w:val="single" w:color="auto" w:sz="4" w:space="0"/>
                    <w:right w:val="single" w:color="auto" w:sz="4" w:space="0"/>
                    <w:tl2br w:val="nil"/>
                    <w:tr2bl w:val="nil"/>
                  </w:tcBorders>
                  <w:vAlign w:val="center"/>
                </w:tcPr>
                <w:p w14:paraId="610BCC19">
                  <w:pPr>
                    <w:pStyle w:val="13"/>
                    <w:rPr>
                      <w:color w:val="auto"/>
                      <w:highlight w:val="none"/>
                    </w:rPr>
                  </w:pPr>
                  <w:r>
                    <w:rPr>
                      <w:rFonts w:hint="eastAsia"/>
                      <w:color w:val="auto"/>
                      <w:highlight w:val="none"/>
                    </w:rPr>
                    <w:t>5</w:t>
                  </w:r>
                </w:p>
              </w:tc>
              <w:tc>
                <w:tcPr>
                  <w:tcW w:w="835" w:type="pct"/>
                  <w:tcBorders>
                    <w:top w:val="single" w:color="auto" w:sz="4" w:space="0"/>
                    <w:left w:val="single" w:color="auto" w:sz="4" w:space="0"/>
                    <w:bottom w:val="single" w:color="auto" w:sz="4" w:space="0"/>
                    <w:right w:val="single" w:color="auto" w:sz="4" w:space="0"/>
                    <w:tl2br w:val="nil"/>
                    <w:tr2bl w:val="nil"/>
                  </w:tcBorders>
                  <w:vAlign w:val="center"/>
                </w:tcPr>
                <w:p w14:paraId="1CA1B61F">
                  <w:pPr>
                    <w:pStyle w:val="13"/>
                    <w:rPr>
                      <w:color w:val="auto"/>
                      <w:highlight w:val="none"/>
                    </w:rPr>
                  </w:pPr>
                  <w:r>
                    <w:rPr>
                      <w:rFonts w:hint="eastAsia" w:cs="Times New Roman"/>
                      <w:color w:val="auto"/>
                      <w:highlight w:val="none"/>
                    </w:rPr>
                    <w:t>除尘粉尘</w:t>
                  </w:r>
                </w:p>
              </w:tc>
              <w:tc>
                <w:tcPr>
                  <w:tcW w:w="1615" w:type="pct"/>
                  <w:tcBorders>
                    <w:top w:val="single" w:color="auto" w:sz="4" w:space="0"/>
                    <w:left w:val="single" w:color="auto" w:sz="4" w:space="0"/>
                    <w:bottom w:val="single" w:color="auto" w:sz="4" w:space="0"/>
                    <w:right w:val="single" w:color="auto" w:sz="4" w:space="0"/>
                    <w:tl2br w:val="nil"/>
                    <w:tr2bl w:val="nil"/>
                  </w:tcBorders>
                  <w:vAlign w:val="center"/>
                </w:tcPr>
                <w:p w14:paraId="02D49157">
                  <w:pPr>
                    <w:pStyle w:val="13"/>
                    <w:rPr>
                      <w:color w:val="auto"/>
                      <w:highlight w:val="none"/>
                    </w:rPr>
                  </w:pPr>
                  <w:r>
                    <w:rPr>
                      <w:rFonts w:hint="eastAsia"/>
                      <w:color w:val="auto"/>
                      <w:highlight w:val="none"/>
                    </w:rPr>
                    <w:t>SW59 其他工业固体废物--非特定行业--900-099-S59</w:t>
                  </w:r>
                </w:p>
              </w:tc>
              <w:tc>
                <w:tcPr>
                  <w:tcW w:w="741" w:type="pct"/>
                  <w:tcBorders>
                    <w:left w:val="single" w:color="auto" w:sz="4" w:space="0"/>
                    <w:right w:val="single" w:color="auto" w:sz="4" w:space="0"/>
                    <w:tl2br w:val="nil"/>
                    <w:tr2bl w:val="nil"/>
                  </w:tcBorders>
                  <w:vAlign w:val="center"/>
                </w:tcPr>
                <w:p w14:paraId="2FD8746C">
                  <w:pPr>
                    <w:pStyle w:val="13"/>
                    <w:rPr>
                      <w:color w:val="auto"/>
                      <w:highlight w:val="none"/>
                    </w:rPr>
                  </w:pPr>
                  <w:r>
                    <w:rPr>
                      <w:rFonts w:hint="eastAsia"/>
                      <w:color w:val="auto"/>
                      <w:highlight w:val="none"/>
                    </w:rPr>
                    <w:t>收集后回用于生产</w:t>
                  </w:r>
                </w:p>
              </w:tc>
              <w:tc>
                <w:tcPr>
                  <w:tcW w:w="643" w:type="pct"/>
                  <w:tcBorders>
                    <w:top w:val="single" w:color="auto" w:sz="4" w:space="0"/>
                    <w:left w:val="single" w:color="auto" w:sz="4" w:space="0"/>
                    <w:bottom w:val="single" w:color="auto" w:sz="4" w:space="0"/>
                    <w:right w:val="single" w:color="auto" w:sz="4" w:space="0"/>
                    <w:tl2br w:val="nil"/>
                    <w:tr2bl w:val="nil"/>
                  </w:tcBorders>
                  <w:vAlign w:val="center"/>
                </w:tcPr>
                <w:p w14:paraId="1DF72775">
                  <w:pPr>
                    <w:pStyle w:val="13"/>
                    <w:rPr>
                      <w:color w:val="auto"/>
                      <w:highlight w:val="none"/>
                    </w:rPr>
                  </w:pPr>
                  <w:r>
                    <w:rPr>
                      <w:rFonts w:hint="eastAsia" w:cs="Times New Roman"/>
                      <w:color w:val="auto"/>
                      <w:highlight w:val="none"/>
                    </w:rPr>
                    <w:t>废气处理</w:t>
                  </w:r>
                </w:p>
              </w:tc>
              <w:tc>
                <w:tcPr>
                  <w:tcW w:w="655" w:type="dxa"/>
                  <w:tcBorders>
                    <w:top w:val="single" w:color="auto" w:sz="4" w:space="0"/>
                    <w:left w:val="single" w:color="auto" w:sz="4" w:space="0"/>
                    <w:bottom w:val="single" w:color="auto" w:sz="4" w:space="0"/>
                    <w:right w:val="single" w:color="auto" w:sz="4" w:space="0"/>
                    <w:tl2br w:val="nil"/>
                    <w:tr2bl w:val="nil"/>
                  </w:tcBorders>
                  <w:vAlign w:val="center"/>
                </w:tcPr>
                <w:p w14:paraId="2DB18447">
                  <w:pPr>
                    <w:pStyle w:val="13"/>
                    <w:rPr>
                      <w:color w:val="auto"/>
                      <w:highlight w:val="none"/>
                    </w:rPr>
                  </w:pPr>
                  <w:r>
                    <w:rPr>
                      <w:rFonts w:hint="eastAsia"/>
                      <w:color w:val="auto"/>
                      <w:highlight w:val="none"/>
                    </w:rPr>
                    <w:t>固态</w:t>
                  </w:r>
                </w:p>
              </w:tc>
              <w:tc>
                <w:tcPr>
                  <w:tcW w:w="559" w:type="pct"/>
                  <w:tcBorders>
                    <w:left w:val="single" w:color="auto" w:sz="4" w:space="0"/>
                    <w:right w:val="single" w:color="auto" w:sz="4" w:space="0"/>
                    <w:tl2br w:val="nil"/>
                    <w:tr2bl w:val="nil"/>
                  </w:tcBorders>
                  <w:vAlign w:val="center"/>
                </w:tcPr>
                <w:p w14:paraId="0E2C6A4B">
                  <w:pPr>
                    <w:pStyle w:val="13"/>
                    <w:rPr>
                      <w:rFonts w:hint="default" w:eastAsia="宋体"/>
                      <w:color w:val="auto"/>
                      <w:highlight w:val="none"/>
                      <w:lang w:val="en-US" w:eastAsia="zh-CN"/>
                    </w:rPr>
                  </w:pPr>
                  <w:r>
                    <w:rPr>
                      <w:rFonts w:hint="eastAsia"/>
                      <w:color w:val="auto"/>
                      <w:highlight w:val="none"/>
                    </w:rPr>
                    <w:t>86.</w:t>
                  </w:r>
                  <w:r>
                    <w:rPr>
                      <w:rFonts w:hint="eastAsia"/>
                      <w:color w:val="auto"/>
                      <w:highlight w:val="none"/>
                      <w:lang w:val="en-US" w:eastAsia="zh-CN"/>
                    </w:rPr>
                    <w:t>3181</w:t>
                  </w:r>
                </w:p>
              </w:tc>
            </w:tr>
            <w:tr w14:paraId="4002C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40" w:type="pct"/>
                  <w:gridSpan w:val="6"/>
                  <w:tcBorders>
                    <w:top w:val="single" w:color="auto" w:sz="4" w:space="0"/>
                    <w:left w:val="single" w:color="auto" w:sz="4" w:space="0"/>
                    <w:bottom w:val="single" w:color="auto" w:sz="4" w:space="0"/>
                    <w:right w:val="single" w:color="auto" w:sz="4" w:space="0"/>
                    <w:tl2br w:val="nil"/>
                    <w:tr2bl w:val="nil"/>
                  </w:tcBorders>
                  <w:vAlign w:val="center"/>
                </w:tcPr>
                <w:p w14:paraId="0187D5CA">
                  <w:pPr>
                    <w:pStyle w:val="13"/>
                    <w:rPr>
                      <w:color w:val="auto"/>
                      <w:highlight w:val="none"/>
                    </w:rPr>
                  </w:pPr>
                  <w:r>
                    <w:rPr>
                      <w:rFonts w:hint="eastAsia"/>
                      <w:color w:val="auto"/>
                      <w:highlight w:val="none"/>
                    </w:rPr>
                    <w:t>合计</w:t>
                  </w:r>
                </w:p>
              </w:tc>
              <w:tc>
                <w:tcPr>
                  <w:tcW w:w="559" w:type="pct"/>
                  <w:tcBorders>
                    <w:left w:val="single" w:color="auto" w:sz="4" w:space="0"/>
                    <w:right w:val="single" w:color="auto" w:sz="4" w:space="0"/>
                    <w:tl2br w:val="nil"/>
                    <w:tr2bl w:val="nil"/>
                  </w:tcBorders>
                  <w:vAlign w:val="center"/>
                </w:tcPr>
                <w:p w14:paraId="53214FE4">
                  <w:pPr>
                    <w:pStyle w:val="13"/>
                    <w:rPr>
                      <w:color w:val="auto"/>
                      <w:highlight w:val="none"/>
                    </w:rPr>
                  </w:pPr>
                  <w:r>
                    <w:rPr>
                      <w:rFonts w:hint="eastAsia"/>
                      <w:color w:val="auto"/>
                      <w:highlight w:val="none"/>
                    </w:rPr>
                    <w:t>98.8552</w:t>
                  </w:r>
                </w:p>
              </w:tc>
            </w:tr>
          </w:tbl>
          <w:p w14:paraId="46EA8E9D">
            <w:pPr>
              <w:pStyle w:val="14"/>
              <w:spacing w:before="156"/>
              <w:rPr>
                <w:color w:val="auto"/>
                <w:highlight w:val="none"/>
              </w:rPr>
            </w:pPr>
            <w:r>
              <w:rPr>
                <w:color w:val="auto"/>
                <w:highlight w:val="none"/>
              </w:rPr>
              <w:t>表4-</w:t>
            </w:r>
            <w:r>
              <w:rPr>
                <w:rFonts w:hint="eastAsia"/>
                <w:color w:val="auto"/>
                <w:highlight w:val="none"/>
              </w:rPr>
              <w:t>1</w:t>
            </w:r>
            <w:r>
              <w:rPr>
                <w:rFonts w:hint="eastAsia"/>
                <w:color w:val="auto"/>
                <w:highlight w:val="none"/>
                <w:lang w:val="en-US" w:eastAsia="zh-CN"/>
              </w:rPr>
              <w:t>6</w:t>
            </w:r>
            <w:r>
              <w:rPr>
                <w:color w:val="auto"/>
                <w:highlight w:val="none"/>
              </w:rPr>
              <w:t xml:space="preserve">  </w:t>
            </w:r>
            <w:r>
              <w:rPr>
                <w:rFonts w:hint="eastAsia"/>
                <w:color w:val="auto"/>
                <w:highlight w:val="none"/>
              </w:rPr>
              <w:t>本</w:t>
            </w:r>
            <w:r>
              <w:rPr>
                <w:color w:val="auto"/>
                <w:highlight w:val="none"/>
              </w:rPr>
              <w:t>项目</w:t>
            </w:r>
            <w:r>
              <w:rPr>
                <w:rFonts w:hint="eastAsia"/>
                <w:color w:val="auto"/>
                <w:highlight w:val="none"/>
              </w:rPr>
              <w:t>一般工业固体废物</w:t>
            </w:r>
            <w:r>
              <w:rPr>
                <w:color w:val="auto"/>
                <w:highlight w:val="none"/>
              </w:rPr>
              <w:t>贮存场所（设施）基本情况表</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7"/>
              <w:gridCol w:w="1509"/>
              <w:gridCol w:w="1511"/>
              <w:gridCol w:w="1510"/>
              <w:gridCol w:w="1510"/>
              <w:gridCol w:w="1515"/>
            </w:tblGrid>
            <w:tr w14:paraId="0B62F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1" w:type="pct"/>
                  <w:tcBorders>
                    <w:top w:val="single" w:color="auto" w:sz="4" w:space="0"/>
                    <w:left w:val="single" w:color="auto" w:sz="4" w:space="0"/>
                    <w:bottom w:val="single" w:color="auto" w:sz="4" w:space="0"/>
                    <w:right w:val="single" w:color="auto" w:sz="4" w:space="0"/>
                    <w:tl2br w:val="nil"/>
                    <w:tr2bl w:val="nil"/>
                  </w:tcBorders>
                  <w:vAlign w:val="center"/>
                </w:tcPr>
                <w:p w14:paraId="2F6DFE25">
                  <w:pPr>
                    <w:pStyle w:val="13"/>
                    <w:rPr>
                      <w:b/>
                      <w:bCs/>
                      <w:color w:val="auto"/>
                      <w:highlight w:val="none"/>
                    </w:rPr>
                  </w:pPr>
                  <w:r>
                    <w:rPr>
                      <w:rFonts w:hint="eastAsia"/>
                      <w:b/>
                      <w:bCs/>
                      <w:color w:val="auto"/>
                      <w:highlight w:val="none"/>
                    </w:rPr>
                    <w:t>贮存场所</w:t>
                  </w:r>
                </w:p>
              </w:tc>
              <w:tc>
                <w:tcPr>
                  <w:tcW w:w="832" w:type="pct"/>
                  <w:tcBorders>
                    <w:top w:val="single" w:color="auto" w:sz="4" w:space="0"/>
                    <w:left w:val="single" w:color="auto" w:sz="4" w:space="0"/>
                    <w:bottom w:val="single" w:color="auto" w:sz="4" w:space="0"/>
                    <w:right w:val="single" w:color="auto" w:sz="4" w:space="0"/>
                    <w:tl2br w:val="nil"/>
                    <w:tr2bl w:val="nil"/>
                  </w:tcBorders>
                  <w:vAlign w:val="center"/>
                </w:tcPr>
                <w:p w14:paraId="29BB9481">
                  <w:pPr>
                    <w:pStyle w:val="13"/>
                    <w:rPr>
                      <w:b/>
                      <w:bCs/>
                      <w:color w:val="auto"/>
                      <w:highlight w:val="none"/>
                    </w:rPr>
                  </w:pPr>
                  <w:r>
                    <w:rPr>
                      <w:rFonts w:hint="eastAsia"/>
                      <w:b/>
                      <w:bCs/>
                      <w:color w:val="auto"/>
                      <w:highlight w:val="none"/>
                    </w:rPr>
                    <w:t>危险废物名称</w:t>
                  </w:r>
                </w:p>
              </w:tc>
              <w:tc>
                <w:tcPr>
                  <w:tcW w:w="833" w:type="pct"/>
                  <w:tcBorders>
                    <w:top w:val="single" w:color="auto" w:sz="4" w:space="0"/>
                    <w:left w:val="single" w:color="auto" w:sz="4" w:space="0"/>
                    <w:bottom w:val="single" w:color="auto" w:sz="4" w:space="0"/>
                    <w:right w:val="single" w:color="auto" w:sz="4" w:space="0"/>
                    <w:tl2br w:val="nil"/>
                    <w:tr2bl w:val="nil"/>
                  </w:tcBorders>
                  <w:vAlign w:val="center"/>
                </w:tcPr>
                <w:p w14:paraId="1C3CE225">
                  <w:pPr>
                    <w:pStyle w:val="13"/>
                    <w:rPr>
                      <w:b/>
                      <w:bCs/>
                      <w:color w:val="auto"/>
                      <w:highlight w:val="none"/>
                    </w:rPr>
                  </w:pPr>
                  <w:r>
                    <w:rPr>
                      <w:rFonts w:hint="eastAsia"/>
                      <w:b/>
                      <w:bCs/>
                      <w:color w:val="auto"/>
                      <w:highlight w:val="none"/>
                    </w:rPr>
                    <w:t>占地面积</w:t>
                  </w:r>
                </w:p>
              </w:tc>
              <w:tc>
                <w:tcPr>
                  <w:tcW w:w="833" w:type="pct"/>
                  <w:tcBorders>
                    <w:top w:val="single" w:color="auto" w:sz="4" w:space="0"/>
                    <w:left w:val="single" w:color="auto" w:sz="4" w:space="0"/>
                    <w:bottom w:val="single" w:color="auto" w:sz="4" w:space="0"/>
                    <w:right w:val="single" w:color="auto" w:sz="4" w:space="0"/>
                    <w:tl2br w:val="nil"/>
                    <w:tr2bl w:val="nil"/>
                  </w:tcBorders>
                  <w:vAlign w:val="center"/>
                </w:tcPr>
                <w:p w14:paraId="66BC71A4">
                  <w:pPr>
                    <w:pStyle w:val="13"/>
                    <w:rPr>
                      <w:b/>
                      <w:bCs/>
                      <w:color w:val="auto"/>
                      <w:highlight w:val="none"/>
                    </w:rPr>
                  </w:pPr>
                  <w:r>
                    <w:rPr>
                      <w:rFonts w:hint="eastAsia"/>
                      <w:b/>
                      <w:bCs/>
                      <w:color w:val="auto"/>
                      <w:highlight w:val="none"/>
                    </w:rPr>
                    <w:t>贮存方式</w:t>
                  </w:r>
                </w:p>
              </w:tc>
              <w:tc>
                <w:tcPr>
                  <w:tcW w:w="833" w:type="pct"/>
                  <w:tcBorders>
                    <w:top w:val="single" w:color="auto" w:sz="4" w:space="0"/>
                    <w:left w:val="single" w:color="auto" w:sz="4" w:space="0"/>
                    <w:bottom w:val="single" w:color="auto" w:sz="4" w:space="0"/>
                    <w:right w:val="single" w:color="auto" w:sz="4" w:space="0"/>
                    <w:tl2br w:val="nil"/>
                    <w:tr2bl w:val="nil"/>
                  </w:tcBorders>
                  <w:vAlign w:val="center"/>
                </w:tcPr>
                <w:p w14:paraId="6660965D">
                  <w:pPr>
                    <w:pStyle w:val="13"/>
                    <w:rPr>
                      <w:b/>
                      <w:bCs/>
                      <w:color w:val="auto"/>
                      <w:highlight w:val="none"/>
                    </w:rPr>
                  </w:pPr>
                  <w:r>
                    <w:rPr>
                      <w:rFonts w:hint="eastAsia"/>
                      <w:b/>
                      <w:bCs/>
                      <w:color w:val="auto"/>
                      <w:highlight w:val="none"/>
                    </w:rPr>
                    <w:t>贮存能力</w:t>
                  </w:r>
                </w:p>
              </w:tc>
              <w:tc>
                <w:tcPr>
                  <w:tcW w:w="836" w:type="pct"/>
                  <w:tcBorders>
                    <w:top w:val="single" w:color="auto" w:sz="4" w:space="0"/>
                    <w:left w:val="single" w:color="auto" w:sz="4" w:space="0"/>
                    <w:bottom w:val="single" w:color="auto" w:sz="4" w:space="0"/>
                    <w:right w:val="single" w:color="auto" w:sz="4" w:space="0"/>
                    <w:tl2br w:val="nil"/>
                    <w:tr2bl w:val="nil"/>
                  </w:tcBorders>
                  <w:vAlign w:val="center"/>
                </w:tcPr>
                <w:p w14:paraId="22755C4E">
                  <w:pPr>
                    <w:pStyle w:val="13"/>
                    <w:rPr>
                      <w:b/>
                      <w:bCs/>
                      <w:color w:val="auto"/>
                      <w:highlight w:val="none"/>
                    </w:rPr>
                  </w:pPr>
                  <w:r>
                    <w:rPr>
                      <w:rFonts w:hint="eastAsia"/>
                      <w:b/>
                      <w:bCs/>
                      <w:color w:val="auto"/>
                      <w:highlight w:val="none"/>
                    </w:rPr>
                    <w:t>贮存周期</w:t>
                  </w:r>
                </w:p>
              </w:tc>
            </w:tr>
            <w:tr w14:paraId="19039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1" w:type="pct"/>
                  <w:vMerge w:val="restart"/>
                  <w:tcBorders>
                    <w:top w:val="single" w:color="auto" w:sz="4" w:space="0"/>
                    <w:left w:val="single" w:color="auto" w:sz="4" w:space="0"/>
                    <w:right w:val="single" w:color="auto" w:sz="4" w:space="0"/>
                    <w:tl2br w:val="nil"/>
                    <w:tr2bl w:val="nil"/>
                  </w:tcBorders>
                  <w:vAlign w:val="center"/>
                </w:tcPr>
                <w:p w14:paraId="6E151352">
                  <w:pPr>
                    <w:pStyle w:val="13"/>
                    <w:rPr>
                      <w:color w:val="auto"/>
                      <w:highlight w:val="none"/>
                    </w:rPr>
                  </w:pPr>
                  <w:r>
                    <w:rPr>
                      <w:rFonts w:hint="eastAsia"/>
                      <w:color w:val="auto"/>
                      <w:highlight w:val="none"/>
                    </w:rPr>
                    <w:t>固废库</w:t>
                  </w:r>
                </w:p>
              </w:tc>
              <w:tc>
                <w:tcPr>
                  <w:tcW w:w="832" w:type="pct"/>
                  <w:tcBorders>
                    <w:top w:val="single" w:color="auto" w:sz="4" w:space="0"/>
                    <w:left w:val="single" w:color="auto" w:sz="4" w:space="0"/>
                    <w:bottom w:val="single" w:color="auto" w:sz="4" w:space="0"/>
                    <w:right w:val="single" w:color="auto" w:sz="4" w:space="0"/>
                    <w:tl2br w:val="nil"/>
                    <w:tr2bl w:val="nil"/>
                  </w:tcBorders>
                  <w:vAlign w:val="center"/>
                </w:tcPr>
                <w:p w14:paraId="399319B0">
                  <w:pPr>
                    <w:pStyle w:val="13"/>
                    <w:rPr>
                      <w:color w:val="auto"/>
                      <w:highlight w:val="none"/>
                    </w:rPr>
                  </w:pPr>
                  <w:r>
                    <w:rPr>
                      <w:rFonts w:hint="eastAsia" w:cs="Times New Roman"/>
                      <w:color w:val="auto"/>
                      <w:highlight w:val="none"/>
                    </w:rPr>
                    <w:t>筛分杂质</w:t>
                  </w:r>
                </w:p>
              </w:tc>
              <w:tc>
                <w:tcPr>
                  <w:tcW w:w="833" w:type="pct"/>
                  <w:vMerge w:val="restart"/>
                  <w:tcBorders>
                    <w:top w:val="single" w:color="auto" w:sz="4" w:space="0"/>
                    <w:left w:val="single" w:color="auto" w:sz="4" w:space="0"/>
                    <w:right w:val="single" w:color="auto" w:sz="4" w:space="0"/>
                    <w:tl2br w:val="nil"/>
                    <w:tr2bl w:val="nil"/>
                  </w:tcBorders>
                  <w:vAlign w:val="center"/>
                </w:tcPr>
                <w:p w14:paraId="5B4D5A2A">
                  <w:pPr>
                    <w:pStyle w:val="13"/>
                    <w:rPr>
                      <w:color w:val="auto"/>
                      <w:highlight w:val="none"/>
                    </w:rPr>
                  </w:pPr>
                  <w:r>
                    <w:rPr>
                      <w:rFonts w:hint="eastAsia"/>
                      <w:color w:val="auto"/>
                      <w:highlight w:val="none"/>
                    </w:rPr>
                    <w:t>15</w:t>
                  </w:r>
                  <w:r>
                    <w:rPr>
                      <w:color w:val="auto"/>
                      <w:highlight w:val="none"/>
                    </w:rPr>
                    <w:t>m²</w:t>
                  </w:r>
                </w:p>
              </w:tc>
              <w:tc>
                <w:tcPr>
                  <w:tcW w:w="833" w:type="pct"/>
                  <w:tcBorders>
                    <w:top w:val="single" w:color="auto" w:sz="4" w:space="0"/>
                    <w:left w:val="single" w:color="auto" w:sz="4" w:space="0"/>
                    <w:bottom w:val="single" w:color="auto" w:sz="4" w:space="0"/>
                    <w:right w:val="single" w:color="auto" w:sz="4" w:space="0"/>
                    <w:tl2br w:val="nil"/>
                    <w:tr2bl w:val="nil"/>
                  </w:tcBorders>
                  <w:vAlign w:val="center"/>
                </w:tcPr>
                <w:p w14:paraId="4188E64F">
                  <w:pPr>
                    <w:pStyle w:val="13"/>
                    <w:rPr>
                      <w:color w:val="auto"/>
                      <w:highlight w:val="none"/>
                    </w:rPr>
                  </w:pPr>
                  <w:r>
                    <w:rPr>
                      <w:rFonts w:hint="eastAsia"/>
                      <w:color w:val="auto"/>
                      <w:highlight w:val="none"/>
                    </w:rPr>
                    <w:t>袋装</w:t>
                  </w:r>
                </w:p>
              </w:tc>
              <w:tc>
                <w:tcPr>
                  <w:tcW w:w="833" w:type="pct"/>
                  <w:vMerge w:val="restart"/>
                  <w:tcBorders>
                    <w:top w:val="single" w:color="auto" w:sz="4" w:space="0"/>
                    <w:left w:val="single" w:color="auto" w:sz="4" w:space="0"/>
                    <w:right w:val="single" w:color="auto" w:sz="4" w:space="0"/>
                    <w:tl2br w:val="nil"/>
                    <w:tr2bl w:val="nil"/>
                  </w:tcBorders>
                  <w:vAlign w:val="center"/>
                </w:tcPr>
                <w:p w14:paraId="3BF83180">
                  <w:pPr>
                    <w:pStyle w:val="13"/>
                    <w:rPr>
                      <w:color w:val="auto"/>
                      <w:highlight w:val="none"/>
                    </w:rPr>
                  </w:pPr>
                  <w:r>
                    <w:rPr>
                      <w:rFonts w:hint="eastAsia"/>
                      <w:color w:val="auto"/>
                      <w:highlight w:val="none"/>
                    </w:rPr>
                    <w:t>10t</w:t>
                  </w:r>
                </w:p>
              </w:tc>
              <w:tc>
                <w:tcPr>
                  <w:tcW w:w="836" w:type="pct"/>
                  <w:vMerge w:val="restart"/>
                  <w:tcBorders>
                    <w:top w:val="single" w:color="auto" w:sz="4" w:space="0"/>
                    <w:left w:val="single" w:color="auto" w:sz="4" w:space="0"/>
                    <w:right w:val="single" w:color="auto" w:sz="4" w:space="0"/>
                    <w:tl2br w:val="nil"/>
                    <w:tr2bl w:val="nil"/>
                  </w:tcBorders>
                  <w:vAlign w:val="center"/>
                </w:tcPr>
                <w:p w14:paraId="3B8FDC4F">
                  <w:pPr>
                    <w:pStyle w:val="13"/>
                    <w:rPr>
                      <w:color w:val="auto"/>
                      <w:highlight w:val="none"/>
                    </w:rPr>
                  </w:pPr>
                  <w:r>
                    <w:rPr>
                      <w:rFonts w:hint="eastAsia"/>
                      <w:color w:val="auto"/>
                      <w:highlight w:val="none"/>
                    </w:rPr>
                    <w:t>30天</w:t>
                  </w:r>
                </w:p>
              </w:tc>
            </w:tr>
            <w:tr w14:paraId="4D7FD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1" w:type="pct"/>
                  <w:vMerge w:val="continue"/>
                  <w:tcBorders>
                    <w:left w:val="single" w:color="auto" w:sz="4" w:space="0"/>
                    <w:right w:val="single" w:color="auto" w:sz="4" w:space="0"/>
                    <w:tl2br w:val="nil"/>
                    <w:tr2bl w:val="nil"/>
                  </w:tcBorders>
                  <w:vAlign w:val="center"/>
                </w:tcPr>
                <w:p w14:paraId="38C1C104">
                  <w:pPr>
                    <w:pStyle w:val="13"/>
                    <w:rPr>
                      <w:color w:val="auto"/>
                      <w:highlight w:val="none"/>
                    </w:rPr>
                  </w:pPr>
                </w:p>
              </w:tc>
              <w:tc>
                <w:tcPr>
                  <w:tcW w:w="832" w:type="pct"/>
                  <w:tcBorders>
                    <w:top w:val="single" w:color="auto" w:sz="4" w:space="0"/>
                    <w:left w:val="single" w:color="auto" w:sz="4" w:space="0"/>
                    <w:bottom w:val="single" w:color="auto" w:sz="4" w:space="0"/>
                    <w:right w:val="single" w:color="auto" w:sz="4" w:space="0"/>
                    <w:tl2br w:val="nil"/>
                    <w:tr2bl w:val="nil"/>
                  </w:tcBorders>
                  <w:vAlign w:val="center"/>
                </w:tcPr>
                <w:p w14:paraId="7C168127">
                  <w:pPr>
                    <w:pStyle w:val="13"/>
                    <w:rPr>
                      <w:color w:val="auto"/>
                      <w:highlight w:val="none"/>
                    </w:rPr>
                  </w:pPr>
                  <w:r>
                    <w:rPr>
                      <w:rFonts w:hint="eastAsia" w:cs="Times New Roman"/>
                      <w:color w:val="auto"/>
                      <w:highlight w:val="none"/>
                    </w:rPr>
                    <w:t>磁选杂质</w:t>
                  </w:r>
                </w:p>
              </w:tc>
              <w:tc>
                <w:tcPr>
                  <w:tcW w:w="833" w:type="pct"/>
                  <w:vMerge w:val="continue"/>
                  <w:tcBorders>
                    <w:left w:val="single" w:color="auto" w:sz="4" w:space="0"/>
                    <w:right w:val="single" w:color="auto" w:sz="4" w:space="0"/>
                    <w:tl2br w:val="nil"/>
                    <w:tr2bl w:val="nil"/>
                  </w:tcBorders>
                  <w:vAlign w:val="center"/>
                </w:tcPr>
                <w:p w14:paraId="0665B90C">
                  <w:pPr>
                    <w:pStyle w:val="13"/>
                    <w:rPr>
                      <w:color w:val="auto"/>
                      <w:highlight w:val="none"/>
                    </w:rPr>
                  </w:pPr>
                </w:p>
              </w:tc>
              <w:tc>
                <w:tcPr>
                  <w:tcW w:w="833" w:type="pct"/>
                  <w:tcBorders>
                    <w:top w:val="single" w:color="auto" w:sz="4" w:space="0"/>
                    <w:left w:val="single" w:color="auto" w:sz="4" w:space="0"/>
                    <w:bottom w:val="single" w:color="auto" w:sz="4" w:space="0"/>
                    <w:right w:val="single" w:color="auto" w:sz="4" w:space="0"/>
                    <w:tl2br w:val="nil"/>
                    <w:tr2bl w:val="nil"/>
                  </w:tcBorders>
                  <w:vAlign w:val="center"/>
                </w:tcPr>
                <w:p w14:paraId="0778A8DA">
                  <w:pPr>
                    <w:pStyle w:val="13"/>
                    <w:rPr>
                      <w:color w:val="auto"/>
                      <w:highlight w:val="none"/>
                    </w:rPr>
                  </w:pPr>
                  <w:r>
                    <w:rPr>
                      <w:rFonts w:hint="eastAsia"/>
                      <w:color w:val="auto"/>
                      <w:highlight w:val="none"/>
                    </w:rPr>
                    <w:t>袋装</w:t>
                  </w:r>
                </w:p>
              </w:tc>
              <w:tc>
                <w:tcPr>
                  <w:tcW w:w="833" w:type="pct"/>
                  <w:vMerge w:val="continue"/>
                  <w:tcBorders>
                    <w:left w:val="single" w:color="auto" w:sz="4" w:space="0"/>
                    <w:right w:val="single" w:color="auto" w:sz="4" w:space="0"/>
                    <w:tl2br w:val="nil"/>
                    <w:tr2bl w:val="nil"/>
                  </w:tcBorders>
                  <w:vAlign w:val="center"/>
                </w:tcPr>
                <w:p w14:paraId="3AF25C1B">
                  <w:pPr>
                    <w:pStyle w:val="13"/>
                    <w:rPr>
                      <w:color w:val="auto"/>
                      <w:highlight w:val="none"/>
                    </w:rPr>
                  </w:pPr>
                </w:p>
              </w:tc>
              <w:tc>
                <w:tcPr>
                  <w:tcW w:w="836" w:type="pct"/>
                  <w:vMerge w:val="continue"/>
                  <w:tcBorders>
                    <w:left w:val="single" w:color="auto" w:sz="4" w:space="0"/>
                    <w:right w:val="single" w:color="auto" w:sz="4" w:space="0"/>
                    <w:tl2br w:val="nil"/>
                    <w:tr2bl w:val="nil"/>
                  </w:tcBorders>
                  <w:vAlign w:val="center"/>
                </w:tcPr>
                <w:p w14:paraId="7EC45863">
                  <w:pPr>
                    <w:pStyle w:val="13"/>
                    <w:rPr>
                      <w:color w:val="auto"/>
                      <w:highlight w:val="none"/>
                    </w:rPr>
                  </w:pPr>
                </w:p>
              </w:tc>
            </w:tr>
            <w:tr w14:paraId="5D114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1" w:type="pct"/>
                  <w:vMerge w:val="continue"/>
                  <w:tcBorders>
                    <w:left w:val="single" w:color="auto" w:sz="4" w:space="0"/>
                    <w:right w:val="single" w:color="auto" w:sz="4" w:space="0"/>
                    <w:tl2br w:val="nil"/>
                    <w:tr2bl w:val="nil"/>
                  </w:tcBorders>
                  <w:vAlign w:val="center"/>
                </w:tcPr>
                <w:p w14:paraId="3BDB705F">
                  <w:pPr>
                    <w:pStyle w:val="13"/>
                    <w:rPr>
                      <w:color w:val="auto"/>
                      <w:highlight w:val="none"/>
                    </w:rPr>
                  </w:pPr>
                </w:p>
              </w:tc>
              <w:tc>
                <w:tcPr>
                  <w:tcW w:w="832" w:type="pct"/>
                  <w:tcBorders>
                    <w:top w:val="single" w:color="auto" w:sz="4" w:space="0"/>
                    <w:left w:val="single" w:color="auto" w:sz="4" w:space="0"/>
                    <w:bottom w:val="single" w:color="auto" w:sz="4" w:space="0"/>
                    <w:right w:val="single" w:color="auto" w:sz="4" w:space="0"/>
                    <w:tl2br w:val="nil"/>
                    <w:tr2bl w:val="nil"/>
                  </w:tcBorders>
                  <w:vAlign w:val="center"/>
                </w:tcPr>
                <w:p w14:paraId="6C72B617">
                  <w:pPr>
                    <w:pStyle w:val="13"/>
                    <w:rPr>
                      <w:color w:val="auto"/>
                      <w:highlight w:val="none"/>
                    </w:rPr>
                  </w:pPr>
                  <w:r>
                    <w:rPr>
                      <w:rFonts w:hint="eastAsia" w:cs="Times New Roman"/>
                      <w:color w:val="auto"/>
                      <w:highlight w:val="none"/>
                    </w:rPr>
                    <w:t>废包装材料</w:t>
                  </w:r>
                </w:p>
              </w:tc>
              <w:tc>
                <w:tcPr>
                  <w:tcW w:w="833" w:type="pct"/>
                  <w:vMerge w:val="continue"/>
                  <w:tcBorders>
                    <w:left w:val="single" w:color="auto" w:sz="4" w:space="0"/>
                    <w:right w:val="single" w:color="auto" w:sz="4" w:space="0"/>
                    <w:tl2br w:val="nil"/>
                    <w:tr2bl w:val="nil"/>
                  </w:tcBorders>
                  <w:vAlign w:val="center"/>
                </w:tcPr>
                <w:p w14:paraId="07C0786F">
                  <w:pPr>
                    <w:pStyle w:val="13"/>
                    <w:rPr>
                      <w:color w:val="auto"/>
                      <w:highlight w:val="none"/>
                    </w:rPr>
                  </w:pPr>
                </w:p>
              </w:tc>
              <w:tc>
                <w:tcPr>
                  <w:tcW w:w="833" w:type="pct"/>
                  <w:tcBorders>
                    <w:top w:val="single" w:color="auto" w:sz="4" w:space="0"/>
                    <w:left w:val="single" w:color="auto" w:sz="4" w:space="0"/>
                    <w:bottom w:val="single" w:color="auto" w:sz="4" w:space="0"/>
                    <w:right w:val="single" w:color="auto" w:sz="4" w:space="0"/>
                    <w:tl2br w:val="nil"/>
                    <w:tr2bl w:val="nil"/>
                  </w:tcBorders>
                  <w:vAlign w:val="center"/>
                </w:tcPr>
                <w:p w14:paraId="7DD8F956">
                  <w:pPr>
                    <w:pStyle w:val="13"/>
                    <w:rPr>
                      <w:color w:val="auto"/>
                      <w:highlight w:val="none"/>
                    </w:rPr>
                  </w:pPr>
                  <w:r>
                    <w:rPr>
                      <w:rFonts w:hint="eastAsia"/>
                      <w:color w:val="auto"/>
                      <w:highlight w:val="none"/>
                    </w:rPr>
                    <w:t>袋装</w:t>
                  </w:r>
                </w:p>
              </w:tc>
              <w:tc>
                <w:tcPr>
                  <w:tcW w:w="833" w:type="pct"/>
                  <w:vMerge w:val="continue"/>
                  <w:tcBorders>
                    <w:left w:val="single" w:color="auto" w:sz="4" w:space="0"/>
                    <w:right w:val="single" w:color="auto" w:sz="4" w:space="0"/>
                    <w:tl2br w:val="nil"/>
                    <w:tr2bl w:val="nil"/>
                  </w:tcBorders>
                  <w:vAlign w:val="center"/>
                </w:tcPr>
                <w:p w14:paraId="07E24F3B">
                  <w:pPr>
                    <w:pStyle w:val="13"/>
                    <w:rPr>
                      <w:color w:val="auto"/>
                      <w:highlight w:val="none"/>
                    </w:rPr>
                  </w:pPr>
                </w:p>
              </w:tc>
              <w:tc>
                <w:tcPr>
                  <w:tcW w:w="836" w:type="pct"/>
                  <w:vMerge w:val="continue"/>
                  <w:tcBorders>
                    <w:left w:val="single" w:color="auto" w:sz="4" w:space="0"/>
                    <w:right w:val="single" w:color="auto" w:sz="4" w:space="0"/>
                    <w:tl2br w:val="nil"/>
                    <w:tr2bl w:val="nil"/>
                  </w:tcBorders>
                  <w:vAlign w:val="center"/>
                </w:tcPr>
                <w:p w14:paraId="10064EFF">
                  <w:pPr>
                    <w:pStyle w:val="13"/>
                    <w:rPr>
                      <w:color w:val="auto"/>
                      <w:highlight w:val="none"/>
                    </w:rPr>
                  </w:pPr>
                </w:p>
              </w:tc>
            </w:tr>
            <w:tr w14:paraId="35F20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831" w:type="pct"/>
                  <w:vMerge w:val="continue"/>
                  <w:tcBorders>
                    <w:left w:val="single" w:color="auto" w:sz="4" w:space="0"/>
                    <w:right w:val="single" w:color="auto" w:sz="4" w:space="0"/>
                    <w:tl2br w:val="nil"/>
                    <w:tr2bl w:val="nil"/>
                  </w:tcBorders>
                  <w:vAlign w:val="center"/>
                </w:tcPr>
                <w:p w14:paraId="7AFD7CE2">
                  <w:pPr>
                    <w:pStyle w:val="13"/>
                    <w:rPr>
                      <w:color w:val="auto"/>
                      <w:highlight w:val="none"/>
                    </w:rPr>
                  </w:pPr>
                </w:p>
              </w:tc>
              <w:tc>
                <w:tcPr>
                  <w:tcW w:w="832" w:type="pct"/>
                  <w:tcBorders>
                    <w:top w:val="single" w:color="auto" w:sz="4" w:space="0"/>
                    <w:left w:val="single" w:color="auto" w:sz="4" w:space="0"/>
                    <w:bottom w:val="single" w:color="auto" w:sz="4" w:space="0"/>
                    <w:right w:val="single" w:color="auto" w:sz="4" w:space="0"/>
                    <w:tl2br w:val="nil"/>
                    <w:tr2bl w:val="nil"/>
                  </w:tcBorders>
                  <w:vAlign w:val="center"/>
                </w:tcPr>
                <w:p w14:paraId="69ACE761">
                  <w:pPr>
                    <w:pStyle w:val="13"/>
                    <w:rPr>
                      <w:color w:val="auto"/>
                      <w:highlight w:val="none"/>
                    </w:rPr>
                  </w:pPr>
                  <w:r>
                    <w:rPr>
                      <w:rFonts w:hint="eastAsia" w:cs="Times New Roman"/>
                      <w:color w:val="auto"/>
                      <w:highlight w:val="none"/>
                    </w:rPr>
                    <w:t>炉渣</w:t>
                  </w:r>
                </w:p>
              </w:tc>
              <w:tc>
                <w:tcPr>
                  <w:tcW w:w="833" w:type="pct"/>
                  <w:vMerge w:val="continue"/>
                  <w:tcBorders>
                    <w:left w:val="single" w:color="auto" w:sz="4" w:space="0"/>
                    <w:right w:val="single" w:color="auto" w:sz="4" w:space="0"/>
                    <w:tl2br w:val="nil"/>
                    <w:tr2bl w:val="nil"/>
                  </w:tcBorders>
                  <w:vAlign w:val="center"/>
                </w:tcPr>
                <w:p w14:paraId="2935690E">
                  <w:pPr>
                    <w:pStyle w:val="13"/>
                    <w:rPr>
                      <w:color w:val="auto"/>
                      <w:highlight w:val="none"/>
                    </w:rPr>
                  </w:pPr>
                </w:p>
              </w:tc>
              <w:tc>
                <w:tcPr>
                  <w:tcW w:w="833" w:type="pct"/>
                  <w:tcBorders>
                    <w:top w:val="single" w:color="auto" w:sz="4" w:space="0"/>
                    <w:left w:val="single" w:color="auto" w:sz="4" w:space="0"/>
                    <w:bottom w:val="single" w:color="auto" w:sz="4" w:space="0"/>
                    <w:right w:val="single" w:color="auto" w:sz="4" w:space="0"/>
                    <w:tl2br w:val="nil"/>
                    <w:tr2bl w:val="nil"/>
                  </w:tcBorders>
                  <w:vAlign w:val="center"/>
                </w:tcPr>
                <w:p w14:paraId="010BF862">
                  <w:pPr>
                    <w:pStyle w:val="13"/>
                    <w:rPr>
                      <w:color w:val="auto"/>
                      <w:highlight w:val="none"/>
                    </w:rPr>
                  </w:pPr>
                  <w:r>
                    <w:rPr>
                      <w:rFonts w:hint="eastAsia"/>
                      <w:color w:val="auto"/>
                      <w:highlight w:val="none"/>
                    </w:rPr>
                    <w:t>袋装</w:t>
                  </w:r>
                </w:p>
              </w:tc>
              <w:tc>
                <w:tcPr>
                  <w:tcW w:w="833" w:type="pct"/>
                  <w:vMerge w:val="continue"/>
                  <w:tcBorders>
                    <w:left w:val="single" w:color="auto" w:sz="4" w:space="0"/>
                    <w:right w:val="single" w:color="auto" w:sz="4" w:space="0"/>
                    <w:tl2br w:val="nil"/>
                    <w:tr2bl w:val="nil"/>
                  </w:tcBorders>
                  <w:vAlign w:val="center"/>
                </w:tcPr>
                <w:p w14:paraId="43448737">
                  <w:pPr>
                    <w:pStyle w:val="13"/>
                    <w:rPr>
                      <w:color w:val="auto"/>
                      <w:highlight w:val="none"/>
                    </w:rPr>
                  </w:pPr>
                </w:p>
              </w:tc>
              <w:tc>
                <w:tcPr>
                  <w:tcW w:w="836" w:type="pct"/>
                  <w:vMerge w:val="continue"/>
                  <w:tcBorders>
                    <w:left w:val="single" w:color="auto" w:sz="4" w:space="0"/>
                    <w:right w:val="single" w:color="auto" w:sz="4" w:space="0"/>
                    <w:tl2br w:val="nil"/>
                    <w:tr2bl w:val="nil"/>
                  </w:tcBorders>
                  <w:vAlign w:val="center"/>
                </w:tcPr>
                <w:p w14:paraId="37042AFD">
                  <w:pPr>
                    <w:pStyle w:val="13"/>
                    <w:rPr>
                      <w:color w:val="auto"/>
                      <w:highlight w:val="none"/>
                    </w:rPr>
                  </w:pPr>
                </w:p>
              </w:tc>
            </w:tr>
            <w:tr w14:paraId="3B86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1" w:type="pct"/>
                  <w:vMerge w:val="continue"/>
                  <w:tcBorders>
                    <w:left w:val="single" w:color="auto" w:sz="4" w:space="0"/>
                    <w:right w:val="single" w:color="auto" w:sz="4" w:space="0"/>
                    <w:tl2br w:val="nil"/>
                    <w:tr2bl w:val="nil"/>
                  </w:tcBorders>
                  <w:vAlign w:val="center"/>
                </w:tcPr>
                <w:p w14:paraId="2029D00E">
                  <w:pPr>
                    <w:pStyle w:val="13"/>
                    <w:rPr>
                      <w:color w:val="auto"/>
                      <w:highlight w:val="none"/>
                    </w:rPr>
                  </w:pPr>
                </w:p>
              </w:tc>
              <w:tc>
                <w:tcPr>
                  <w:tcW w:w="832" w:type="pct"/>
                  <w:tcBorders>
                    <w:top w:val="single" w:color="auto" w:sz="4" w:space="0"/>
                    <w:left w:val="single" w:color="auto" w:sz="4" w:space="0"/>
                    <w:bottom w:val="single" w:color="auto" w:sz="4" w:space="0"/>
                    <w:right w:val="single" w:color="auto" w:sz="4" w:space="0"/>
                    <w:tl2br w:val="nil"/>
                    <w:tr2bl w:val="nil"/>
                  </w:tcBorders>
                  <w:vAlign w:val="center"/>
                </w:tcPr>
                <w:p w14:paraId="7F1F6912">
                  <w:pPr>
                    <w:pStyle w:val="13"/>
                    <w:rPr>
                      <w:color w:val="auto"/>
                      <w:highlight w:val="none"/>
                    </w:rPr>
                  </w:pPr>
                  <w:r>
                    <w:rPr>
                      <w:rFonts w:hint="eastAsia" w:cs="Times New Roman"/>
                      <w:color w:val="auto"/>
                      <w:highlight w:val="none"/>
                    </w:rPr>
                    <w:t>除尘粉尘</w:t>
                  </w:r>
                </w:p>
              </w:tc>
              <w:tc>
                <w:tcPr>
                  <w:tcW w:w="833" w:type="pct"/>
                  <w:vMerge w:val="continue"/>
                  <w:tcBorders>
                    <w:left w:val="single" w:color="auto" w:sz="4" w:space="0"/>
                    <w:right w:val="single" w:color="auto" w:sz="4" w:space="0"/>
                    <w:tl2br w:val="nil"/>
                    <w:tr2bl w:val="nil"/>
                  </w:tcBorders>
                  <w:vAlign w:val="center"/>
                </w:tcPr>
                <w:p w14:paraId="730EDC62">
                  <w:pPr>
                    <w:pStyle w:val="13"/>
                    <w:rPr>
                      <w:color w:val="auto"/>
                      <w:highlight w:val="none"/>
                    </w:rPr>
                  </w:pPr>
                </w:p>
              </w:tc>
              <w:tc>
                <w:tcPr>
                  <w:tcW w:w="833" w:type="pct"/>
                  <w:tcBorders>
                    <w:top w:val="single" w:color="auto" w:sz="4" w:space="0"/>
                    <w:left w:val="single" w:color="auto" w:sz="4" w:space="0"/>
                    <w:bottom w:val="single" w:color="auto" w:sz="4" w:space="0"/>
                    <w:right w:val="single" w:color="auto" w:sz="4" w:space="0"/>
                    <w:tl2br w:val="nil"/>
                    <w:tr2bl w:val="nil"/>
                  </w:tcBorders>
                  <w:vAlign w:val="center"/>
                </w:tcPr>
                <w:p w14:paraId="1C299DC1">
                  <w:pPr>
                    <w:pStyle w:val="13"/>
                    <w:rPr>
                      <w:color w:val="auto"/>
                      <w:highlight w:val="none"/>
                    </w:rPr>
                  </w:pPr>
                  <w:r>
                    <w:rPr>
                      <w:rFonts w:hint="eastAsia"/>
                      <w:color w:val="auto"/>
                      <w:highlight w:val="none"/>
                    </w:rPr>
                    <w:t>袋装</w:t>
                  </w:r>
                </w:p>
              </w:tc>
              <w:tc>
                <w:tcPr>
                  <w:tcW w:w="833" w:type="pct"/>
                  <w:vMerge w:val="continue"/>
                  <w:tcBorders>
                    <w:left w:val="single" w:color="auto" w:sz="4" w:space="0"/>
                    <w:right w:val="single" w:color="auto" w:sz="4" w:space="0"/>
                    <w:tl2br w:val="nil"/>
                    <w:tr2bl w:val="nil"/>
                  </w:tcBorders>
                  <w:vAlign w:val="center"/>
                </w:tcPr>
                <w:p w14:paraId="0395BC39">
                  <w:pPr>
                    <w:pStyle w:val="13"/>
                    <w:rPr>
                      <w:color w:val="auto"/>
                      <w:highlight w:val="none"/>
                    </w:rPr>
                  </w:pPr>
                </w:p>
              </w:tc>
              <w:tc>
                <w:tcPr>
                  <w:tcW w:w="836" w:type="pct"/>
                  <w:vMerge w:val="continue"/>
                  <w:tcBorders>
                    <w:left w:val="single" w:color="auto" w:sz="4" w:space="0"/>
                    <w:right w:val="single" w:color="auto" w:sz="4" w:space="0"/>
                    <w:tl2br w:val="nil"/>
                    <w:tr2bl w:val="nil"/>
                  </w:tcBorders>
                  <w:vAlign w:val="center"/>
                </w:tcPr>
                <w:p w14:paraId="226298A5">
                  <w:pPr>
                    <w:pStyle w:val="13"/>
                    <w:rPr>
                      <w:color w:val="auto"/>
                      <w:highlight w:val="none"/>
                    </w:rPr>
                  </w:pPr>
                </w:p>
              </w:tc>
            </w:tr>
          </w:tbl>
          <w:p w14:paraId="3C5E93AD">
            <w:pPr>
              <w:ind w:firstLine="480"/>
              <w:rPr>
                <w:color w:val="auto"/>
                <w:highlight w:val="none"/>
              </w:rPr>
            </w:pPr>
            <w:r>
              <w:rPr>
                <w:rFonts w:hint="eastAsia"/>
                <w:color w:val="auto"/>
                <w:highlight w:val="none"/>
              </w:rPr>
              <w:t>新建1座15m</w:t>
            </w:r>
            <w:r>
              <w:rPr>
                <w:rFonts w:cs="Times New Roman"/>
                <w:color w:val="auto"/>
                <w:highlight w:val="none"/>
              </w:rPr>
              <w:t>²</w:t>
            </w:r>
            <w:r>
              <w:rPr>
                <w:rFonts w:hint="eastAsia"/>
                <w:color w:val="auto"/>
                <w:highlight w:val="none"/>
              </w:rPr>
              <w:t>固废库，位于加工车间外西南侧，贮存容量为10t，设施编号为TS003，用于暂存筛分杂质、磁选杂质、废包装材料、炉渣；除尘粉尘回用于饲料颗粒生产。固废库每周期贮存量最多为1.25t（1.25t=12.5</w:t>
            </w:r>
            <w:r>
              <w:rPr>
                <w:rFonts w:hint="eastAsia"/>
                <w:color w:val="auto"/>
                <w:highlight w:val="none"/>
                <w:lang w:val="en-US" w:eastAsia="zh-CN"/>
              </w:rPr>
              <w:t>371</w:t>
            </w:r>
            <w:r>
              <w:rPr>
                <w:rFonts w:hint="eastAsia"/>
                <w:color w:val="auto"/>
                <w:highlight w:val="none"/>
              </w:rPr>
              <w:t>t/10），低于固废库10t的储存上限。</w:t>
            </w:r>
          </w:p>
          <w:p w14:paraId="13541DA8">
            <w:pPr>
              <w:ind w:firstLine="480"/>
              <w:rPr>
                <w:color w:val="auto"/>
                <w:highlight w:val="none"/>
              </w:rPr>
            </w:pPr>
            <w:r>
              <w:rPr>
                <w:rFonts w:hint="eastAsia"/>
                <w:color w:val="auto"/>
                <w:highlight w:val="none"/>
              </w:rPr>
              <w:t>根据《一般工业固体废物贮存和填埋污染控制标准》（GB 18599-2020）中适用范围：本标准不适用于“采用库房、包装工具（罐、桶、包装袋等）贮存一般工业固体废物过程的污染控制”，本项目新建15</w:t>
            </w:r>
            <w:r>
              <w:rPr>
                <w:color w:val="auto"/>
                <w:highlight w:val="none"/>
              </w:rPr>
              <w:t>m²</w:t>
            </w:r>
            <w:r>
              <w:rPr>
                <w:rFonts w:hint="eastAsia"/>
                <w:color w:val="auto"/>
                <w:highlight w:val="none"/>
              </w:rPr>
              <w:t>的固废库贮存一般工业固体废物，贮存过程达到相应防渗漏、防雨淋、防扬尘等环境保护要求。</w:t>
            </w:r>
          </w:p>
          <w:p w14:paraId="1D02664A">
            <w:pPr>
              <w:pStyle w:val="4"/>
              <w:ind w:firstLine="482"/>
              <w:rPr>
                <w:color w:val="auto"/>
                <w:highlight w:val="none"/>
              </w:rPr>
            </w:pPr>
            <w:r>
              <w:rPr>
                <w:rFonts w:hint="eastAsia"/>
                <w:color w:val="auto"/>
                <w:highlight w:val="none"/>
              </w:rPr>
              <w:t>②项目一般工业固体废物贮存要求如下：</w:t>
            </w:r>
          </w:p>
          <w:p w14:paraId="001AD777">
            <w:pPr>
              <w:ind w:firstLine="480"/>
              <w:rPr>
                <w:color w:val="auto"/>
                <w:highlight w:val="none"/>
              </w:rPr>
            </w:pPr>
            <w:r>
              <w:rPr>
                <w:rFonts w:hint="eastAsia"/>
                <w:color w:val="auto"/>
                <w:highlight w:val="none"/>
              </w:rPr>
              <w:t>A.设置1个一般工业固体废物暂存间，一般工业固体废物暂存间位于混凝土结构的库房内，仅留1个门口出入，暂存间门口日常由铁门锁住密封，可以避免出现被雨淋的情况；</w:t>
            </w:r>
          </w:p>
          <w:p w14:paraId="20C894A6">
            <w:pPr>
              <w:ind w:firstLine="480"/>
              <w:rPr>
                <w:color w:val="auto"/>
                <w:highlight w:val="none"/>
              </w:rPr>
            </w:pPr>
            <w:r>
              <w:rPr>
                <w:rFonts w:hint="eastAsia"/>
                <w:color w:val="auto"/>
                <w:highlight w:val="none"/>
              </w:rPr>
              <w:t>B.一般工业固废暂存间均为水泥硬底化地面，地面复刷环氧树脂防渗漆面，同时项目运营期间产生的一般工业固体废物存放在密封的胶桶内，日常加强检查存放一般工业固体废物的包装工具，可以避免出现渗漏的情况；</w:t>
            </w:r>
          </w:p>
          <w:p w14:paraId="49FB626C">
            <w:pPr>
              <w:ind w:firstLine="480"/>
              <w:rPr>
                <w:color w:val="auto"/>
                <w:highlight w:val="none"/>
              </w:rPr>
            </w:pPr>
            <w:r>
              <w:rPr>
                <w:rFonts w:hint="eastAsia"/>
                <w:color w:val="auto"/>
                <w:highlight w:val="none"/>
              </w:rPr>
              <w:t>C.项目运营期间产生的一般工业固体废物为较大块状或较大颗粒状的物质，不会形成飘尘；较小颗粒的一般工业固体废物存放在密封的包装桶、包装袋内可以避免出现扬尘的情况。</w:t>
            </w:r>
          </w:p>
          <w:p w14:paraId="4BFBA15A">
            <w:pPr>
              <w:ind w:firstLine="480"/>
              <w:rPr>
                <w:color w:val="auto"/>
                <w:highlight w:val="none"/>
              </w:rPr>
            </w:pPr>
            <w:r>
              <w:rPr>
                <w:rFonts w:hint="eastAsia"/>
                <w:color w:val="auto"/>
                <w:highlight w:val="none"/>
              </w:rPr>
              <w:t>通过上述措施后，项目设置的一般工业固废暂存间可以满足防渗漏、防雨淋、防扬尘等相关环保措施要求。</w:t>
            </w:r>
          </w:p>
          <w:p w14:paraId="0F69C48D">
            <w:pPr>
              <w:ind w:firstLine="480"/>
              <w:rPr>
                <w:color w:val="auto"/>
                <w:highlight w:val="none"/>
              </w:rPr>
            </w:pPr>
            <w:r>
              <w:rPr>
                <w:rFonts w:hint="eastAsia"/>
                <w:color w:val="auto"/>
                <w:highlight w:val="none"/>
              </w:rPr>
              <w:t>项目生产过程中产生的一般工业固体申报管理应认真落实《中华人民共和国固体废物污染环境防治法》第三十二条：国家实行工业固体废物申报登记制度。产生工业固体废物的单位必须按照国务院环境保护行政主管部门的规定，向所在地县级以上人民政府环境保护行政主管部门提供工业固体废物的种类、产生量、流向、贮存、处置等有关资料。</w:t>
            </w:r>
          </w:p>
          <w:p w14:paraId="67A61A4E">
            <w:pPr>
              <w:ind w:firstLine="480"/>
              <w:rPr>
                <w:color w:val="auto"/>
                <w:highlight w:val="none"/>
              </w:rPr>
            </w:pPr>
            <w:r>
              <w:rPr>
                <w:rFonts w:hint="eastAsia"/>
                <w:color w:val="auto"/>
                <w:highlight w:val="none"/>
              </w:rPr>
              <w:t>一般工业固体废物产生单位必须如实申报正常作业条件下一般工业固体废物的种类、产生量、流向、贮存、利用、处置状况等有关资料，以及执行有关法律、法规的真实情况，不得隐瞒不报或者虚报、谎报。一般工业固体废物产生单位应按要求在网上申报登记上一年度的信息，通过省固体废物管理信息平台依法申报固体废物的种类、产生量、流向、交接、贮存、利用、处置情况。申报企业要签署承诺书，依法向县级环保部门申报登记信息，确保申报数据的真实性、准确性和完整性。</w:t>
            </w:r>
          </w:p>
          <w:p w14:paraId="6A4C0E4E">
            <w:pPr>
              <w:pStyle w:val="4"/>
              <w:ind w:firstLine="482"/>
              <w:rPr>
                <w:color w:val="auto"/>
                <w:highlight w:val="none"/>
              </w:rPr>
            </w:pPr>
            <w:r>
              <w:rPr>
                <w:rFonts w:hint="eastAsia"/>
                <w:color w:val="auto"/>
                <w:highlight w:val="none"/>
              </w:rPr>
              <w:t>③根据《中华人民共和国固体废物污染环境防治法》（2020年修订）规定如下：</w:t>
            </w:r>
          </w:p>
          <w:p w14:paraId="02CDBCBA">
            <w:pPr>
              <w:ind w:firstLine="480"/>
              <w:rPr>
                <w:color w:val="auto"/>
                <w:highlight w:val="none"/>
              </w:rPr>
            </w:pPr>
            <w:r>
              <w:rPr>
                <w:rFonts w:hint="eastAsia"/>
                <w:color w:val="auto"/>
                <w:highlight w:val="none"/>
              </w:rPr>
              <w:t>（1）转移固体废物出省、自治区、直辖市行政区域贮存、处置的，应当向固体废物转移出地的省、自治区、直辖市人民政府生态环境主管部门提出申请。移出地的省、直辖市人民政府生态环境主管部门同意后，在规定期限内批准转移该固体废物出省、自治区、直辖市行政区域。未经批准的，不得转移。转移固体废物出省、自治区、直辖市行政区域利用的，应当报固体废物移出地的省、自治区、直辖市人民政府生态环境主管部门备案。移出地的省、直辖市人民政府生态环境主管部门应当将备案信息通报接收地的省、自治区、直辖市人民政府环境主管部门。</w:t>
            </w:r>
          </w:p>
          <w:p w14:paraId="29CDDEBF">
            <w:pPr>
              <w:ind w:firstLine="480"/>
              <w:rPr>
                <w:color w:val="auto"/>
                <w:highlight w:val="none"/>
              </w:rPr>
            </w:pPr>
            <w:r>
              <w:rPr>
                <w:rFonts w:hint="eastAsia"/>
                <w:color w:val="auto"/>
                <w:highlight w:val="none"/>
              </w:rPr>
              <w:t>（2）产生工业固体废物的单位应当建立健全工业固体废物产生、收集、贮存、运输、利用、处置全过程的污染环境防治责任制度，建立工业固体废物管理台账，如实记录产生工业固体废物的种类、数量、流向、贮存、利用、处置等信息、实现工业固体废物可追溯、可查询，并采取防治工业固体废物污染环境的措施。</w:t>
            </w:r>
          </w:p>
          <w:p w14:paraId="59E7218D">
            <w:pPr>
              <w:ind w:firstLine="480"/>
              <w:rPr>
                <w:color w:val="auto"/>
                <w:highlight w:val="none"/>
              </w:rPr>
            </w:pPr>
            <w:r>
              <w:rPr>
                <w:rFonts w:hint="eastAsia"/>
                <w:color w:val="auto"/>
                <w:highlight w:val="none"/>
              </w:rPr>
              <w:t>（3）产生工业固体废物的单位委托他人运输、利用、处置工业固体废物的，应当对受托方的主体资格和技术能力进行核实，依法签订书面合同，在合同中约定污染防治要求。</w:t>
            </w:r>
          </w:p>
          <w:p w14:paraId="12FEF8BD">
            <w:pPr>
              <w:pStyle w:val="3"/>
              <w:ind w:firstLine="482"/>
              <w:rPr>
                <w:color w:val="auto"/>
                <w:highlight w:val="none"/>
              </w:rPr>
            </w:pPr>
            <w:r>
              <w:rPr>
                <w:rFonts w:hint="eastAsia"/>
                <w:color w:val="auto"/>
                <w:highlight w:val="none"/>
              </w:rPr>
              <w:t>（4）危险废物产生情况</w:t>
            </w:r>
          </w:p>
          <w:p w14:paraId="5A992E52">
            <w:pPr>
              <w:ind w:firstLine="480"/>
              <w:rPr>
                <w:color w:val="auto"/>
                <w:highlight w:val="none"/>
              </w:rPr>
            </w:pPr>
            <w:r>
              <w:rPr>
                <w:rFonts w:hint="eastAsia"/>
                <w:color w:val="auto"/>
                <w:highlight w:val="none"/>
              </w:rPr>
              <w:t>本项目危险废物主要为废矿物油。</w:t>
            </w:r>
          </w:p>
          <w:p w14:paraId="4192DA74">
            <w:pPr>
              <w:pStyle w:val="4"/>
              <w:ind w:firstLine="482"/>
              <w:rPr>
                <w:rFonts w:cs="Times New Roman"/>
                <w:color w:val="auto"/>
                <w:highlight w:val="none"/>
              </w:rPr>
            </w:pPr>
            <w:r>
              <w:rPr>
                <w:rFonts w:hint="eastAsia"/>
                <w:color w:val="auto"/>
                <w:highlight w:val="none"/>
              </w:rPr>
              <w:t>S6</w:t>
            </w:r>
            <w:r>
              <w:rPr>
                <w:rFonts w:hint="eastAsia" w:cs="Times New Roman"/>
                <w:color w:val="auto"/>
                <w:highlight w:val="none"/>
              </w:rPr>
              <w:t>废机油</w:t>
            </w:r>
          </w:p>
          <w:p w14:paraId="6804DE7F">
            <w:pPr>
              <w:ind w:firstLine="480"/>
              <w:rPr>
                <w:rFonts w:hint="eastAsia"/>
                <w:color w:val="auto"/>
                <w:highlight w:val="none"/>
                <w:lang w:val="en-US" w:eastAsia="zh-CN"/>
              </w:rPr>
            </w:pPr>
            <w:r>
              <w:rPr>
                <w:rFonts w:hint="eastAsia"/>
                <w:color w:val="auto"/>
                <w:highlight w:val="none"/>
              </w:rPr>
              <w:t>本项目设备需定期维护保养，定期更换补充机油，其中会产生废机油；制粒机等均会使用液压油，液压油一年一换；废机油、废液压油均属于废矿物油，废矿物油属于《国家危险废物名录》（2025）中“HW08 废矿物油与含矿物油废物--非特定行业--900-214-08--车辆、轮船及其它机械维修过程中产生的废发动机油、制动器油、自动变速器油、齿轮油等废润滑油”。根据建设单位提供资料，机油使用量为0.5t/a，废机油产生量约为使用量10%，即废机油产生量为0.05t/a；液压油使用量为1t/a，即废液压油产生量为1t/a。废矿物油产生量为1.05t/a，采用废油桶收集后暂存危废库内，交有危废处置资质的</w:t>
            </w:r>
            <w:r>
              <w:rPr>
                <w:rFonts w:hint="eastAsia"/>
                <w:color w:val="auto"/>
                <w:highlight w:val="none"/>
                <w:lang w:val="en-US" w:eastAsia="zh-CN"/>
              </w:rPr>
              <w:t>单位处理。</w:t>
            </w:r>
          </w:p>
          <w:p w14:paraId="7DF2D614">
            <w:pPr>
              <w:ind w:firstLine="480"/>
              <w:rPr>
                <w:color w:val="auto"/>
                <w:highlight w:val="none"/>
              </w:rPr>
            </w:pPr>
            <w:r>
              <w:rPr>
                <w:color w:val="auto"/>
                <w:highlight w:val="none"/>
              </w:rPr>
              <w:t>根据《建设项目危险废物环境影响评价指南》（环境保护部公告，2017年第43号），经前文分析，项目危险废物基本情况见下表：</w:t>
            </w:r>
          </w:p>
          <w:p w14:paraId="680BB5F9">
            <w:pPr>
              <w:pStyle w:val="14"/>
              <w:spacing w:before="156"/>
              <w:rPr>
                <w:color w:val="auto"/>
                <w:highlight w:val="none"/>
              </w:rPr>
            </w:pPr>
            <w:r>
              <w:rPr>
                <w:color w:val="auto"/>
                <w:highlight w:val="none"/>
              </w:rPr>
              <w:t>表4-</w:t>
            </w:r>
            <w:r>
              <w:rPr>
                <w:rFonts w:hint="eastAsia"/>
                <w:color w:val="auto"/>
                <w:highlight w:val="none"/>
              </w:rPr>
              <w:t>1</w:t>
            </w:r>
            <w:r>
              <w:rPr>
                <w:rFonts w:hint="eastAsia"/>
                <w:color w:val="auto"/>
                <w:highlight w:val="none"/>
                <w:lang w:val="en-US" w:eastAsia="zh-CN"/>
              </w:rPr>
              <w:t>7</w:t>
            </w:r>
            <w:r>
              <w:rPr>
                <w:color w:val="auto"/>
                <w:highlight w:val="none"/>
              </w:rPr>
              <w:t xml:space="preserve">  项目危险废物汇总表</w:t>
            </w:r>
          </w:p>
          <w:tbl>
            <w:tblPr>
              <w:tblStyle w:val="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1"/>
              <w:gridCol w:w="1043"/>
              <w:gridCol w:w="1739"/>
              <w:gridCol w:w="2890"/>
              <w:gridCol w:w="719"/>
              <w:gridCol w:w="643"/>
              <w:gridCol w:w="699"/>
              <w:gridCol w:w="886"/>
            </w:tblGrid>
            <w:tr w14:paraId="01021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3" w:type="pct"/>
                  <w:tcBorders>
                    <w:top w:val="single" w:color="auto" w:sz="4" w:space="0"/>
                    <w:left w:val="single" w:color="auto" w:sz="4" w:space="0"/>
                    <w:bottom w:val="single" w:color="auto" w:sz="4" w:space="0"/>
                    <w:right w:val="single" w:color="auto" w:sz="4" w:space="0"/>
                    <w:tl2br w:val="nil"/>
                    <w:tr2bl w:val="nil"/>
                  </w:tcBorders>
                  <w:vAlign w:val="center"/>
                </w:tcPr>
                <w:p w14:paraId="24510346">
                  <w:pPr>
                    <w:pStyle w:val="13"/>
                    <w:rPr>
                      <w:b/>
                      <w:bCs/>
                      <w:color w:val="auto"/>
                      <w:highlight w:val="none"/>
                    </w:rPr>
                  </w:pPr>
                  <w:r>
                    <w:rPr>
                      <w:rFonts w:hint="eastAsia"/>
                      <w:b/>
                      <w:bCs/>
                      <w:color w:val="auto"/>
                      <w:highlight w:val="none"/>
                    </w:rPr>
                    <w:t>序号</w:t>
                  </w:r>
                </w:p>
              </w:tc>
              <w:tc>
                <w:tcPr>
                  <w:tcW w:w="575" w:type="pct"/>
                  <w:tcBorders>
                    <w:top w:val="single" w:color="auto" w:sz="4" w:space="0"/>
                    <w:left w:val="single" w:color="auto" w:sz="4" w:space="0"/>
                    <w:bottom w:val="single" w:color="auto" w:sz="4" w:space="0"/>
                    <w:right w:val="single" w:color="auto" w:sz="4" w:space="0"/>
                    <w:tl2br w:val="nil"/>
                    <w:tr2bl w:val="nil"/>
                  </w:tcBorders>
                  <w:vAlign w:val="center"/>
                </w:tcPr>
                <w:p w14:paraId="52F76AE5">
                  <w:pPr>
                    <w:pStyle w:val="13"/>
                    <w:rPr>
                      <w:b/>
                      <w:bCs/>
                      <w:color w:val="auto"/>
                      <w:highlight w:val="none"/>
                    </w:rPr>
                  </w:pPr>
                  <w:r>
                    <w:rPr>
                      <w:rFonts w:hint="eastAsia"/>
                      <w:b/>
                      <w:bCs/>
                      <w:color w:val="auto"/>
                      <w:highlight w:val="none"/>
                    </w:rPr>
                    <w:t>危险废物名称</w:t>
                  </w:r>
                </w:p>
              </w:tc>
              <w:tc>
                <w:tcPr>
                  <w:tcW w:w="959" w:type="pct"/>
                  <w:tcBorders>
                    <w:top w:val="single" w:color="auto" w:sz="4" w:space="0"/>
                    <w:left w:val="single" w:color="auto" w:sz="4" w:space="0"/>
                    <w:bottom w:val="single" w:color="auto" w:sz="4" w:space="0"/>
                    <w:right w:val="single" w:color="auto" w:sz="4" w:space="0"/>
                    <w:tl2br w:val="nil"/>
                    <w:tr2bl w:val="nil"/>
                  </w:tcBorders>
                  <w:vAlign w:val="center"/>
                </w:tcPr>
                <w:p w14:paraId="78CCC48E">
                  <w:pPr>
                    <w:pStyle w:val="13"/>
                    <w:rPr>
                      <w:b/>
                      <w:bCs/>
                      <w:color w:val="auto"/>
                      <w:highlight w:val="none"/>
                    </w:rPr>
                  </w:pPr>
                  <w:r>
                    <w:rPr>
                      <w:rFonts w:hint="eastAsia"/>
                      <w:b/>
                      <w:bCs/>
                      <w:color w:val="auto"/>
                      <w:highlight w:val="none"/>
                    </w:rPr>
                    <w:t>危险废物类别及代码</w:t>
                  </w:r>
                </w:p>
              </w:tc>
              <w:tc>
                <w:tcPr>
                  <w:tcW w:w="1595" w:type="pct"/>
                  <w:tcBorders>
                    <w:top w:val="single" w:color="auto" w:sz="4" w:space="0"/>
                    <w:left w:val="single" w:color="auto" w:sz="4" w:space="0"/>
                    <w:bottom w:val="single" w:color="auto" w:sz="4" w:space="0"/>
                    <w:right w:val="single" w:color="auto" w:sz="4" w:space="0"/>
                    <w:tl2br w:val="nil"/>
                    <w:tr2bl w:val="nil"/>
                  </w:tcBorders>
                  <w:vAlign w:val="center"/>
                </w:tcPr>
                <w:p w14:paraId="629D74F8">
                  <w:pPr>
                    <w:pStyle w:val="13"/>
                    <w:rPr>
                      <w:b/>
                      <w:bCs/>
                      <w:color w:val="auto"/>
                      <w:highlight w:val="none"/>
                    </w:rPr>
                  </w:pPr>
                  <w:r>
                    <w:rPr>
                      <w:rFonts w:hint="eastAsia"/>
                      <w:b/>
                      <w:bCs/>
                      <w:color w:val="auto"/>
                      <w:highlight w:val="none"/>
                    </w:rPr>
                    <w:t>防治措施</w:t>
                  </w:r>
                </w:p>
              </w:tc>
              <w:tc>
                <w:tcPr>
                  <w:tcW w:w="397" w:type="pct"/>
                  <w:tcBorders>
                    <w:top w:val="single" w:color="auto" w:sz="4" w:space="0"/>
                    <w:left w:val="single" w:color="auto" w:sz="4" w:space="0"/>
                    <w:bottom w:val="single" w:color="auto" w:sz="4" w:space="0"/>
                    <w:right w:val="single" w:color="auto" w:sz="4" w:space="0"/>
                    <w:tl2br w:val="nil"/>
                    <w:tr2bl w:val="nil"/>
                  </w:tcBorders>
                  <w:vAlign w:val="center"/>
                </w:tcPr>
                <w:p w14:paraId="4D9D31D3">
                  <w:pPr>
                    <w:pStyle w:val="13"/>
                    <w:rPr>
                      <w:b/>
                      <w:bCs/>
                      <w:color w:val="auto"/>
                      <w:highlight w:val="none"/>
                    </w:rPr>
                  </w:pPr>
                  <w:r>
                    <w:rPr>
                      <w:rFonts w:hint="eastAsia"/>
                      <w:b/>
                      <w:bCs/>
                      <w:color w:val="auto"/>
                      <w:highlight w:val="none"/>
                    </w:rPr>
                    <w:t>产生工序</w:t>
                  </w:r>
                </w:p>
              </w:tc>
              <w:tc>
                <w:tcPr>
                  <w:tcW w:w="355" w:type="pct"/>
                  <w:tcBorders>
                    <w:top w:val="single" w:color="auto" w:sz="4" w:space="0"/>
                    <w:left w:val="single" w:color="auto" w:sz="4" w:space="0"/>
                    <w:bottom w:val="single" w:color="auto" w:sz="4" w:space="0"/>
                    <w:right w:val="single" w:color="auto" w:sz="4" w:space="0"/>
                    <w:tl2br w:val="nil"/>
                    <w:tr2bl w:val="nil"/>
                  </w:tcBorders>
                  <w:vAlign w:val="center"/>
                </w:tcPr>
                <w:p w14:paraId="228D3C6D">
                  <w:pPr>
                    <w:pStyle w:val="13"/>
                    <w:rPr>
                      <w:b/>
                      <w:bCs/>
                      <w:color w:val="auto"/>
                      <w:highlight w:val="none"/>
                    </w:rPr>
                  </w:pPr>
                  <w:r>
                    <w:rPr>
                      <w:rFonts w:hint="eastAsia"/>
                      <w:b/>
                      <w:bCs/>
                      <w:color w:val="auto"/>
                      <w:highlight w:val="none"/>
                    </w:rPr>
                    <w:t>形态</w:t>
                  </w:r>
                </w:p>
              </w:tc>
              <w:tc>
                <w:tcPr>
                  <w:tcW w:w="383" w:type="pct"/>
                  <w:tcBorders>
                    <w:top w:val="single" w:color="auto" w:sz="4" w:space="0"/>
                    <w:left w:val="single" w:color="auto" w:sz="4" w:space="0"/>
                    <w:bottom w:val="single" w:color="auto" w:sz="4" w:space="0"/>
                    <w:right w:val="single" w:color="auto" w:sz="4" w:space="0"/>
                    <w:tl2br w:val="nil"/>
                    <w:tr2bl w:val="nil"/>
                  </w:tcBorders>
                  <w:vAlign w:val="center"/>
                </w:tcPr>
                <w:p w14:paraId="1F53F419">
                  <w:pPr>
                    <w:pStyle w:val="13"/>
                    <w:rPr>
                      <w:b/>
                      <w:bCs/>
                      <w:color w:val="auto"/>
                      <w:highlight w:val="none"/>
                    </w:rPr>
                  </w:pPr>
                  <w:r>
                    <w:rPr>
                      <w:rFonts w:hint="eastAsia"/>
                      <w:b/>
                      <w:bCs/>
                      <w:color w:val="auto"/>
                      <w:highlight w:val="none"/>
                    </w:rPr>
                    <w:t>危险特性</w:t>
                  </w:r>
                </w:p>
              </w:tc>
              <w:tc>
                <w:tcPr>
                  <w:tcW w:w="489" w:type="pct"/>
                  <w:tcBorders>
                    <w:top w:val="single" w:color="auto" w:sz="4" w:space="0"/>
                    <w:left w:val="single" w:color="auto" w:sz="4" w:space="0"/>
                    <w:bottom w:val="single" w:color="auto" w:sz="4" w:space="0"/>
                    <w:right w:val="single" w:color="auto" w:sz="4" w:space="0"/>
                    <w:tl2br w:val="nil"/>
                    <w:tr2bl w:val="nil"/>
                  </w:tcBorders>
                  <w:vAlign w:val="center"/>
                </w:tcPr>
                <w:p w14:paraId="72C81608">
                  <w:pPr>
                    <w:pStyle w:val="13"/>
                    <w:rPr>
                      <w:b/>
                      <w:bCs/>
                      <w:color w:val="auto"/>
                      <w:highlight w:val="none"/>
                    </w:rPr>
                  </w:pPr>
                  <w:r>
                    <w:rPr>
                      <w:rFonts w:hint="eastAsia"/>
                      <w:b/>
                      <w:bCs/>
                      <w:color w:val="auto"/>
                      <w:highlight w:val="none"/>
                    </w:rPr>
                    <w:t>产生量（t/a）</w:t>
                  </w:r>
                </w:p>
              </w:tc>
            </w:tr>
            <w:tr w14:paraId="11629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3" w:type="pct"/>
                  <w:tcBorders>
                    <w:top w:val="single" w:color="auto" w:sz="4" w:space="0"/>
                    <w:left w:val="single" w:color="auto" w:sz="4" w:space="0"/>
                    <w:bottom w:val="single" w:color="auto" w:sz="4" w:space="0"/>
                    <w:right w:val="single" w:color="auto" w:sz="4" w:space="0"/>
                    <w:tl2br w:val="nil"/>
                    <w:tr2bl w:val="nil"/>
                  </w:tcBorders>
                  <w:vAlign w:val="center"/>
                </w:tcPr>
                <w:p w14:paraId="4959F0FE">
                  <w:pPr>
                    <w:pStyle w:val="13"/>
                    <w:rPr>
                      <w:color w:val="auto"/>
                      <w:highlight w:val="none"/>
                    </w:rPr>
                  </w:pPr>
                  <w:r>
                    <w:rPr>
                      <w:rFonts w:hint="eastAsia"/>
                      <w:color w:val="auto"/>
                      <w:highlight w:val="none"/>
                    </w:rPr>
                    <w:t>1</w:t>
                  </w:r>
                </w:p>
              </w:tc>
              <w:tc>
                <w:tcPr>
                  <w:tcW w:w="575" w:type="pct"/>
                  <w:tcBorders>
                    <w:top w:val="single" w:color="auto" w:sz="4" w:space="0"/>
                    <w:left w:val="single" w:color="auto" w:sz="4" w:space="0"/>
                    <w:bottom w:val="single" w:color="auto" w:sz="4" w:space="0"/>
                    <w:right w:val="single" w:color="auto" w:sz="4" w:space="0"/>
                    <w:tl2br w:val="nil"/>
                    <w:tr2bl w:val="nil"/>
                  </w:tcBorders>
                  <w:vAlign w:val="center"/>
                </w:tcPr>
                <w:p w14:paraId="1A7F12D9">
                  <w:pPr>
                    <w:pStyle w:val="13"/>
                    <w:rPr>
                      <w:color w:val="auto"/>
                      <w:highlight w:val="none"/>
                    </w:rPr>
                  </w:pPr>
                  <w:r>
                    <w:rPr>
                      <w:rFonts w:hint="eastAsia"/>
                      <w:color w:val="auto"/>
                      <w:highlight w:val="none"/>
                    </w:rPr>
                    <w:t>废矿物油</w:t>
                  </w:r>
                </w:p>
              </w:tc>
              <w:tc>
                <w:tcPr>
                  <w:tcW w:w="959" w:type="pct"/>
                  <w:tcBorders>
                    <w:top w:val="single" w:color="auto" w:sz="4" w:space="0"/>
                    <w:left w:val="single" w:color="auto" w:sz="4" w:space="0"/>
                    <w:bottom w:val="single" w:color="auto" w:sz="4" w:space="0"/>
                    <w:right w:val="single" w:color="auto" w:sz="4" w:space="0"/>
                    <w:tl2br w:val="nil"/>
                    <w:tr2bl w:val="nil"/>
                  </w:tcBorders>
                  <w:vAlign w:val="center"/>
                </w:tcPr>
                <w:p w14:paraId="1802D438">
                  <w:pPr>
                    <w:pStyle w:val="13"/>
                    <w:rPr>
                      <w:color w:val="auto"/>
                      <w:highlight w:val="none"/>
                    </w:rPr>
                  </w:pPr>
                  <w:r>
                    <w:rPr>
                      <w:rFonts w:hint="eastAsia"/>
                      <w:color w:val="auto"/>
                      <w:highlight w:val="none"/>
                    </w:rPr>
                    <w:t>HW08 废矿物油与含矿物油废物</w:t>
                  </w:r>
                </w:p>
              </w:tc>
              <w:tc>
                <w:tcPr>
                  <w:tcW w:w="1595" w:type="pct"/>
                  <w:tcBorders>
                    <w:top w:val="single" w:color="auto" w:sz="4" w:space="0"/>
                    <w:left w:val="single" w:color="auto" w:sz="4" w:space="0"/>
                    <w:right w:val="single" w:color="auto" w:sz="4" w:space="0"/>
                    <w:tl2br w:val="nil"/>
                    <w:tr2bl w:val="nil"/>
                  </w:tcBorders>
                  <w:vAlign w:val="center"/>
                </w:tcPr>
                <w:p w14:paraId="3F942376">
                  <w:pPr>
                    <w:pStyle w:val="13"/>
                    <w:rPr>
                      <w:color w:val="auto"/>
                      <w:highlight w:val="none"/>
                    </w:rPr>
                  </w:pPr>
                  <w:r>
                    <w:rPr>
                      <w:rFonts w:hint="eastAsia"/>
                      <w:color w:val="auto"/>
                      <w:highlight w:val="none"/>
                    </w:rPr>
                    <w:t>分类收集后暂存危废库内，交有危废处置资质的单位处理。</w:t>
                  </w:r>
                </w:p>
              </w:tc>
              <w:tc>
                <w:tcPr>
                  <w:tcW w:w="397" w:type="pct"/>
                  <w:tcBorders>
                    <w:top w:val="single" w:color="auto" w:sz="4" w:space="0"/>
                    <w:left w:val="single" w:color="auto" w:sz="4" w:space="0"/>
                    <w:bottom w:val="single" w:color="auto" w:sz="4" w:space="0"/>
                    <w:right w:val="single" w:color="auto" w:sz="4" w:space="0"/>
                    <w:tl2br w:val="nil"/>
                    <w:tr2bl w:val="nil"/>
                  </w:tcBorders>
                  <w:vAlign w:val="center"/>
                </w:tcPr>
                <w:p w14:paraId="31214BC5">
                  <w:pPr>
                    <w:pStyle w:val="13"/>
                    <w:rPr>
                      <w:color w:val="auto"/>
                      <w:highlight w:val="none"/>
                    </w:rPr>
                  </w:pPr>
                  <w:r>
                    <w:rPr>
                      <w:rFonts w:hint="eastAsia"/>
                      <w:color w:val="auto"/>
                      <w:highlight w:val="none"/>
                    </w:rPr>
                    <w:t>设备维护</w:t>
                  </w:r>
                </w:p>
              </w:tc>
              <w:tc>
                <w:tcPr>
                  <w:tcW w:w="355" w:type="pct"/>
                  <w:tcBorders>
                    <w:top w:val="single" w:color="auto" w:sz="4" w:space="0"/>
                    <w:left w:val="single" w:color="auto" w:sz="4" w:space="0"/>
                    <w:bottom w:val="single" w:color="auto" w:sz="4" w:space="0"/>
                    <w:right w:val="single" w:color="auto" w:sz="4" w:space="0"/>
                    <w:tl2br w:val="nil"/>
                    <w:tr2bl w:val="nil"/>
                  </w:tcBorders>
                  <w:vAlign w:val="center"/>
                </w:tcPr>
                <w:p w14:paraId="65649F9A">
                  <w:pPr>
                    <w:pStyle w:val="13"/>
                    <w:rPr>
                      <w:color w:val="auto"/>
                      <w:highlight w:val="none"/>
                    </w:rPr>
                  </w:pPr>
                  <w:r>
                    <w:rPr>
                      <w:rFonts w:hint="eastAsia"/>
                      <w:color w:val="auto"/>
                      <w:highlight w:val="none"/>
                    </w:rPr>
                    <w:t>液态</w:t>
                  </w:r>
                </w:p>
              </w:tc>
              <w:tc>
                <w:tcPr>
                  <w:tcW w:w="383" w:type="pct"/>
                  <w:tcBorders>
                    <w:top w:val="single" w:color="auto" w:sz="4" w:space="0"/>
                    <w:left w:val="single" w:color="auto" w:sz="4" w:space="0"/>
                    <w:bottom w:val="single" w:color="auto" w:sz="4" w:space="0"/>
                    <w:right w:val="single" w:color="auto" w:sz="4" w:space="0"/>
                    <w:tl2br w:val="nil"/>
                    <w:tr2bl w:val="nil"/>
                  </w:tcBorders>
                  <w:vAlign w:val="center"/>
                </w:tcPr>
                <w:p w14:paraId="604BCB62">
                  <w:pPr>
                    <w:pStyle w:val="13"/>
                    <w:rPr>
                      <w:color w:val="auto"/>
                      <w:highlight w:val="none"/>
                    </w:rPr>
                  </w:pPr>
                  <w:r>
                    <w:rPr>
                      <w:rFonts w:hint="eastAsia"/>
                      <w:color w:val="auto"/>
                      <w:highlight w:val="none"/>
                    </w:rPr>
                    <w:t>T，I</w:t>
                  </w:r>
                </w:p>
              </w:tc>
              <w:tc>
                <w:tcPr>
                  <w:tcW w:w="489" w:type="pct"/>
                  <w:tcBorders>
                    <w:top w:val="single" w:color="auto" w:sz="4" w:space="0"/>
                    <w:left w:val="single" w:color="auto" w:sz="4" w:space="0"/>
                    <w:right w:val="single" w:color="auto" w:sz="4" w:space="0"/>
                    <w:tl2br w:val="nil"/>
                    <w:tr2bl w:val="nil"/>
                  </w:tcBorders>
                  <w:vAlign w:val="center"/>
                </w:tcPr>
                <w:p w14:paraId="56C652C8">
                  <w:pPr>
                    <w:pStyle w:val="13"/>
                    <w:rPr>
                      <w:color w:val="auto"/>
                      <w:highlight w:val="none"/>
                    </w:rPr>
                  </w:pPr>
                  <w:r>
                    <w:rPr>
                      <w:rFonts w:hint="eastAsia"/>
                      <w:color w:val="auto"/>
                      <w:highlight w:val="none"/>
                    </w:rPr>
                    <w:t>1.05</w:t>
                  </w:r>
                </w:p>
              </w:tc>
            </w:tr>
            <w:tr w14:paraId="30AF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10" w:type="pct"/>
                  <w:gridSpan w:val="7"/>
                  <w:tcBorders>
                    <w:top w:val="single" w:color="auto" w:sz="4" w:space="0"/>
                    <w:left w:val="single" w:color="auto" w:sz="4" w:space="0"/>
                    <w:bottom w:val="single" w:color="auto" w:sz="4" w:space="0"/>
                    <w:right w:val="single" w:color="auto" w:sz="4" w:space="0"/>
                    <w:tl2br w:val="nil"/>
                    <w:tr2bl w:val="nil"/>
                  </w:tcBorders>
                  <w:vAlign w:val="center"/>
                </w:tcPr>
                <w:p w14:paraId="0E42EF83">
                  <w:pPr>
                    <w:pStyle w:val="13"/>
                    <w:rPr>
                      <w:color w:val="auto"/>
                      <w:highlight w:val="none"/>
                    </w:rPr>
                  </w:pPr>
                  <w:r>
                    <w:rPr>
                      <w:rFonts w:hint="eastAsia"/>
                      <w:color w:val="auto"/>
                      <w:highlight w:val="none"/>
                    </w:rPr>
                    <w:t>合计</w:t>
                  </w:r>
                </w:p>
              </w:tc>
              <w:tc>
                <w:tcPr>
                  <w:tcW w:w="489" w:type="pct"/>
                  <w:tcBorders>
                    <w:left w:val="single" w:color="auto" w:sz="4" w:space="0"/>
                    <w:right w:val="single" w:color="auto" w:sz="4" w:space="0"/>
                    <w:tl2br w:val="nil"/>
                    <w:tr2bl w:val="nil"/>
                  </w:tcBorders>
                  <w:vAlign w:val="center"/>
                </w:tcPr>
                <w:p w14:paraId="38EB29CA">
                  <w:pPr>
                    <w:pStyle w:val="13"/>
                    <w:rPr>
                      <w:color w:val="auto"/>
                      <w:highlight w:val="none"/>
                    </w:rPr>
                  </w:pPr>
                  <w:r>
                    <w:rPr>
                      <w:rFonts w:hint="eastAsia"/>
                      <w:color w:val="auto"/>
                      <w:highlight w:val="none"/>
                    </w:rPr>
                    <w:t>1.05</w:t>
                  </w:r>
                </w:p>
              </w:tc>
            </w:tr>
          </w:tbl>
          <w:p w14:paraId="450E12B5">
            <w:pPr>
              <w:pStyle w:val="14"/>
              <w:spacing w:before="156"/>
              <w:rPr>
                <w:color w:val="auto"/>
                <w:highlight w:val="none"/>
              </w:rPr>
            </w:pPr>
            <w:r>
              <w:rPr>
                <w:color w:val="auto"/>
                <w:highlight w:val="none"/>
              </w:rPr>
              <w:t>表4-</w:t>
            </w:r>
            <w:r>
              <w:rPr>
                <w:rFonts w:hint="eastAsia"/>
                <w:color w:val="auto"/>
                <w:highlight w:val="none"/>
              </w:rPr>
              <w:t>1</w:t>
            </w:r>
            <w:r>
              <w:rPr>
                <w:rFonts w:hint="eastAsia"/>
                <w:color w:val="auto"/>
                <w:highlight w:val="none"/>
                <w:lang w:val="en-US" w:eastAsia="zh-CN"/>
              </w:rPr>
              <w:t>8</w:t>
            </w:r>
            <w:r>
              <w:rPr>
                <w:color w:val="auto"/>
                <w:highlight w:val="none"/>
              </w:rPr>
              <w:t xml:space="preserve">  </w:t>
            </w:r>
            <w:r>
              <w:rPr>
                <w:rFonts w:hint="eastAsia"/>
                <w:color w:val="auto"/>
                <w:highlight w:val="none"/>
              </w:rPr>
              <w:t>本</w:t>
            </w:r>
            <w:r>
              <w:rPr>
                <w:color w:val="auto"/>
                <w:highlight w:val="none"/>
              </w:rPr>
              <w:t>项目危险废物贮存场所（设施）基本情况表</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7"/>
              <w:gridCol w:w="1511"/>
              <w:gridCol w:w="1511"/>
              <w:gridCol w:w="1511"/>
              <w:gridCol w:w="1511"/>
              <w:gridCol w:w="1511"/>
            </w:tblGrid>
            <w:tr w14:paraId="6341A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1" w:type="pct"/>
                  <w:tcBorders>
                    <w:top w:val="single" w:color="auto" w:sz="4" w:space="0"/>
                    <w:left w:val="single" w:color="auto" w:sz="4" w:space="0"/>
                    <w:bottom w:val="single" w:color="auto" w:sz="4" w:space="0"/>
                    <w:right w:val="single" w:color="auto" w:sz="4" w:space="0"/>
                    <w:tl2br w:val="nil"/>
                    <w:tr2bl w:val="nil"/>
                  </w:tcBorders>
                  <w:vAlign w:val="center"/>
                </w:tcPr>
                <w:p w14:paraId="47F08098">
                  <w:pPr>
                    <w:pStyle w:val="13"/>
                    <w:rPr>
                      <w:b/>
                      <w:bCs/>
                      <w:color w:val="auto"/>
                      <w:highlight w:val="none"/>
                    </w:rPr>
                  </w:pPr>
                  <w:r>
                    <w:rPr>
                      <w:rFonts w:hint="eastAsia"/>
                      <w:b/>
                      <w:bCs/>
                      <w:color w:val="auto"/>
                      <w:highlight w:val="none"/>
                    </w:rPr>
                    <w:t>贮存场所</w:t>
                  </w:r>
                </w:p>
              </w:tc>
              <w:tc>
                <w:tcPr>
                  <w:tcW w:w="833" w:type="pct"/>
                  <w:tcBorders>
                    <w:top w:val="single" w:color="auto" w:sz="4" w:space="0"/>
                    <w:left w:val="single" w:color="auto" w:sz="4" w:space="0"/>
                    <w:bottom w:val="single" w:color="auto" w:sz="4" w:space="0"/>
                    <w:right w:val="single" w:color="auto" w:sz="4" w:space="0"/>
                    <w:tl2br w:val="nil"/>
                    <w:tr2bl w:val="nil"/>
                  </w:tcBorders>
                  <w:vAlign w:val="center"/>
                </w:tcPr>
                <w:p w14:paraId="70823510">
                  <w:pPr>
                    <w:pStyle w:val="13"/>
                    <w:rPr>
                      <w:b/>
                      <w:bCs/>
                      <w:color w:val="auto"/>
                      <w:highlight w:val="none"/>
                    </w:rPr>
                  </w:pPr>
                  <w:r>
                    <w:rPr>
                      <w:rFonts w:hint="eastAsia"/>
                      <w:b/>
                      <w:bCs/>
                      <w:color w:val="auto"/>
                      <w:highlight w:val="none"/>
                    </w:rPr>
                    <w:t>危险废物名称</w:t>
                  </w:r>
                </w:p>
              </w:tc>
              <w:tc>
                <w:tcPr>
                  <w:tcW w:w="833" w:type="pct"/>
                  <w:tcBorders>
                    <w:top w:val="single" w:color="auto" w:sz="4" w:space="0"/>
                    <w:left w:val="single" w:color="auto" w:sz="4" w:space="0"/>
                    <w:bottom w:val="single" w:color="auto" w:sz="4" w:space="0"/>
                    <w:right w:val="single" w:color="auto" w:sz="4" w:space="0"/>
                    <w:tl2br w:val="nil"/>
                    <w:tr2bl w:val="nil"/>
                  </w:tcBorders>
                  <w:vAlign w:val="center"/>
                </w:tcPr>
                <w:p w14:paraId="4E3A8B97">
                  <w:pPr>
                    <w:pStyle w:val="13"/>
                    <w:rPr>
                      <w:b/>
                      <w:bCs/>
                      <w:color w:val="auto"/>
                      <w:highlight w:val="none"/>
                    </w:rPr>
                  </w:pPr>
                  <w:r>
                    <w:rPr>
                      <w:rFonts w:hint="eastAsia"/>
                      <w:b/>
                      <w:bCs/>
                      <w:color w:val="auto"/>
                      <w:highlight w:val="none"/>
                    </w:rPr>
                    <w:t>占地面积</w:t>
                  </w:r>
                </w:p>
              </w:tc>
              <w:tc>
                <w:tcPr>
                  <w:tcW w:w="833" w:type="pct"/>
                  <w:tcBorders>
                    <w:top w:val="single" w:color="auto" w:sz="4" w:space="0"/>
                    <w:left w:val="single" w:color="auto" w:sz="4" w:space="0"/>
                    <w:bottom w:val="single" w:color="auto" w:sz="4" w:space="0"/>
                    <w:right w:val="single" w:color="auto" w:sz="4" w:space="0"/>
                    <w:tl2br w:val="nil"/>
                    <w:tr2bl w:val="nil"/>
                  </w:tcBorders>
                  <w:vAlign w:val="center"/>
                </w:tcPr>
                <w:p w14:paraId="370A0589">
                  <w:pPr>
                    <w:pStyle w:val="13"/>
                    <w:rPr>
                      <w:b/>
                      <w:bCs/>
                      <w:color w:val="auto"/>
                      <w:highlight w:val="none"/>
                    </w:rPr>
                  </w:pPr>
                  <w:r>
                    <w:rPr>
                      <w:rFonts w:hint="eastAsia"/>
                      <w:b/>
                      <w:bCs/>
                      <w:color w:val="auto"/>
                      <w:highlight w:val="none"/>
                    </w:rPr>
                    <w:t>贮存方式</w:t>
                  </w:r>
                </w:p>
              </w:tc>
              <w:tc>
                <w:tcPr>
                  <w:tcW w:w="833" w:type="pct"/>
                  <w:tcBorders>
                    <w:top w:val="single" w:color="auto" w:sz="4" w:space="0"/>
                    <w:left w:val="single" w:color="auto" w:sz="4" w:space="0"/>
                    <w:bottom w:val="single" w:color="auto" w:sz="4" w:space="0"/>
                    <w:right w:val="single" w:color="auto" w:sz="4" w:space="0"/>
                    <w:tl2br w:val="nil"/>
                    <w:tr2bl w:val="nil"/>
                  </w:tcBorders>
                  <w:vAlign w:val="center"/>
                </w:tcPr>
                <w:p w14:paraId="16831EE8">
                  <w:pPr>
                    <w:pStyle w:val="13"/>
                    <w:rPr>
                      <w:b/>
                      <w:bCs/>
                      <w:color w:val="auto"/>
                      <w:highlight w:val="none"/>
                    </w:rPr>
                  </w:pPr>
                  <w:r>
                    <w:rPr>
                      <w:rFonts w:hint="eastAsia"/>
                      <w:b/>
                      <w:bCs/>
                      <w:color w:val="auto"/>
                      <w:highlight w:val="none"/>
                    </w:rPr>
                    <w:t>贮存能力</w:t>
                  </w:r>
                </w:p>
              </w:tc>
              <w:tc>
                <w:tcPr>
                  <w:tcW w:w="833" w:type="pct"/>
                  <w:tcBorders>
                    <w:top w:val="single" w:color="auto" w:sz="4" w:space="0"/>
                    <w:left w:val="single" w:color="auto" w:sz="4" w:space="0"/>
                    <w:bottom w:val="single" w:color="auto" w:sz="4" w:space="0"/>
                    <w:right w:val="single" w:color="auto" w:sz="4" w:space="0"/>
                    <w:tl2br w:val="nil"/>
                    <w:tr2bl w:val="nil"/>
                  </w:tcBorders>
                  <w:vAlign w:val="center"/>
                </w:tcPr>
                <w:p w14:paraId="3F455E5B">
                  <w:pPr>
                    <w:pStyle w:val="13"/>
                    <w:rPr>
                      <w:b/>
                      <w:bCs/>
                      <w:color w:val="auto"/>
                      <w:highlight w:val="none"/>
                    </w:rPr>
                  </w:pPr>
                  <w:r>
                    <w:rPr>
                      <w:rFonts w:hint="eastAsia"/>
                      <w:b/>
                      <w:bCs/>
                      <w:color w:val="auto"/>
                      <w:highlight w:val="none"/>
                    </w:rPr>
                    <w:t>贮存周期</w:t>
                  </w:r>
                </w:p>
              </w:tc>
            </w:tr>
            <w:tr w14:paraId="191F9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1" w:type="pct"/>
                  <w:tcBorders>
                    <w:top w:val="single" w:color="auto" w:sz="4" w:space="0"/>
                    <w:left w:val="single" w:color="auto" w:sz="4" w:space="0"/>
                    <w:right w:val="single" w:color="auto" w:sz="4" w:space="0"/>
                    <w:tl2br w:val="nil"/>
                    <w:tr2bl w:val="nil"/>
                  </w:tcBorders>
                  <w:vAlign w:val="center"/>
                </w:tcPr>
                <w:p w14:paraId="6974B351">
                  <w:pPr>
                    <w:pStyle w:val="13"/>
                    <w:rPr>
                      <w:color w:val="auto"/>
                      <w:highlight w:val="none"/>
                    </w:rPr>
                  </w:pPr>
                  <w:r>
                    <w:rPr>
                      <w:rFonts w:hint="eastAsia"/>
                      <w:color w:val="auto"/>
                      <w:highlight w:val="none"/>
                    </w:rPr>
                    <w:t>危废库</w:t>
                  </w:r>
                </w:p>
              </w:tc>
              <w:tc>
                <w:tcPr>
                  <w:tcW w:w="833" w:type="pct"/>
                  <w:tcBorders>
                    <w:top w:val="single" w:color="auto" w:sz="4" w:space="0"/>
                    <w:left w:val="single" w:color="auto" w:sz="4" w:space="0"/>
                    <w:bottom w:val="single" w:color="auto" w:sz="4" w:space="0"/>
                    <w:right w:val="single" w:color="auto" w:sz="4" w:space="0"/>
                    <w:tl2br w:val="nil"/>
                    <w:tr2bl w:val="nil"/>
                  </w:tcBorders>
                  <w:vAlign w:val="center"/>
                </w:tcPr>
                <w:p w14:paraId="3D102203">
                  <w:pPr>
                    <w:pStyle w:val="13"/>
                    <w:rPr>
                      <w:color w:val="auto"/>
                      <w:highlight w:val="none"/>
                    </w:rPr>
                  </w:pPr>
                  <w:r>
                    <w:rPr>
                      <w:rFonts w:hint="eastAsia"/>
                      <w:color w:val="auto"/>
                      <w:highlight w:val="none"/>
                    </w:rPr>
                    <w:t>废矿物油</w:t>
                  </w:r>
                </w:p>
              </w:tc>
              <w:tc>
                <w:tcPr>
                  <w:tcW w:w="833" w:type="pct"/>
                  <w:tcBorders>
                    <w:top w:val="single" w:color="auto" w:sz="4" w:space="0"/>
                    <w:left w:val="single" w:color="auto" w:sz="4" w:space="0"/>
                    <w:right w:val="single" w:color="auto" w:sz="4" w:space="0"/>
                    <w:tl2br w:val="nil"/>
                    <w:tr2bl w:val="nil"/>
                  </w:tcBorders>
                  <w:vAlign w:val="center"/>
                </w:tcPr>
                <w:p w14:paraId="2EF5A309">
                  <w:pPr>
                    <w:pStyle w:val="13"/>
                    <w:rPr>
                      <w:color w:val="auto"/>
                      <w:highlight w:val="none"/>
                    </w:rPr>
                  </w:pPr>
                  <w:r>
                    <w:rPr>
                      <w:rFonts w:hint="eastAsia"/>
                      <w:color w:val="auto"/>
                      <w:highlight w:val="none"/>
                    </w:rPr>
                    <w:t>15</w:t>
                  </w:r>
                  <w:r>
                    <w:rPr>
                      <w:color w:val="auto"/>
                      <w:highlight w:val="none"/>
                    </w:rPr>
                    <w:t>m²</w:t>
                  </w:r>
                </w:p>
              </w:tc>
              <w:tc>
                <w:tcPr>
                  <w:tcW w:w="833" w:type="pct"/>
                  <w:tcBorders>
                    <w:top w:val="single" w:color="auto" w:sz="4" w:space="0"/>
                    <w:left w:val="single" w:color="auto" w:sz="4" w:space="0"/>
                    <w:bottom w:val="single" w:color="auto" w:sz="4" w:space="0"/>
                    <w:right w:val="single" w:color="auto" w:sz="4" w:space="0"/>
                    <w:tl2br w:val="nil"/>
                    <w:tr2bl w:val="nil"/>
                  </w:tcBorders>
                  <w:vAlign w:val="center"/>
                </w:tcPr>
                <w:p w14:paraId="207C50DC">
                  <w:pPr>
                    <w:pStyle w:val="13"/>
                    <w:rPr>
                      <w:color w:val="auto"/>
                      <w:highlight w:val="none"/>
                    </w:rPr>
                  </w:pPr>
                  <w:r>
                    <w:rPr>
                      <w:rFonts w:hint="eastAsia"/>
                      <w:color w:val="auto"/>
                      <w:highlight w:val="none"/>
                    </w:rPr>
                    <w:t>桶装</w:t>
                  </w:r>
                </w:p>
              </w:tc>
              <w:tc>
                <w:tcPr>
                  <w:tcW w:w="833" w:type="pct"/>
                  <w:tcBorders>
                    <w:top w:val="single" w:color="auto" w:sz="4" w:space="0"/>
                    <w:left w:val="single" w:color="auto" w:sz="4" w:space="0"/>
                    <w:right w:val="single" w:color="auto" w:sz="4" w:space="0"/>
                    <w:tl2br w:val="nil"/>
                    <w:tr2bl w:val="nil"/>
                  </w:tcBorders>
                  <w:vAlign w:val="center"/>
                </w:tcPr>
                <w:p w14:paraId="5C36D16D">
                  <w:pPr>
                    <w:pStyle w:val="13"/>
                    <w:rPr>
                      <w:color w:val="auto"/>
                      <w:highlight w:val="none"/>
                    </w:rPr>
                  </w:pPr>
                  <w:r>
                    <w:rPr>
                      <w:rFonts w:hint="eastAsia"/>
                      <w:color w:val="auto"/>
                      <w:highlight w:val="none"/>
                    </w:rPr>
                    <w:t>10t</w:t>
                  </w:r>
                </w:p>
              </w:tc>
              <w:tc>
                <w:tcPr>
                  <w:tcW w:w="833" w:type="pct"/>
                  <w:tcBorders>
                    <w:top w:val="single" w:color="auto" w:sz="4" w:space="0"/>
                    <w:left w:val="single" w:color="auto" w:sz="4" w:space="0"/>
                    <w:right w:val="single" w:color="auto" w:sz="4" w:space="0"/>
                    <w:tl2br w:val="nil"/>
                    <w:tr2bl w:val="nil"/>
                  </w:tcBorders>
                  <w:vAlign w:val="center"/>
                </w:tcPr>
                <w:p w14:paraId="3E0D23B5">
                  <w:pPr>
                    <w:pStyle w:val="13"/>
                    <w:rPr>
                      <w:color w:val="auto"/>
                      <w:highlight w:val="none"/>
                    </w:rPr>
                  </w:pPr>
                  <w:r>
                    <w:rPr>
                      <w:rFonts w:hint="eastAsia"/>
                      <w:color w:val="auto"/>
                      <w:highlight w:val="none"/>
                    </w:rPr>
                    <w:t>100天</w:t>
                  </w:r>
                </w:p>
              </w:tc>
            </w:tr>
          </w:tbl>
          <w:p w14:paraId="6C5CB034">
            <w:pPr>
              <w:pStyle w:val="4"/>
              <w:ind w:firstLine="482"/>
              <w:rPr>
                <w:color w:val="auto"/>
                <w:highlight w:val="none"/>
              </w:rPr>
            </w:pPr>
            <w:r>
              <w:rPr>
                <w:color w:val="auto"/>
                <w:highlight w:val="none"/>
              </w:rPr>
              <w:t>（</w:t>
            </w:r>
            <w:r>
              <w:rPr>
                <w:rFonts w:hint="eastAsia"/>
                <w:color w:val="auto"/>
                <w:highlight w:val="none"/>
              </w:rPr>
              <w:t>5</w:t>
            </w:r>
            <w:r>
              <w:rPr>
                <w:color w:val="auto"/>
                <w:highlight w:val="none"/>
              </w:rPr>
              <w:t>）</w:t>
            </w:r>
            <w:r>
              <w:rPr>
                <w:rFonts w:hint="eastAsia"/>
                <w:color w:val="auto"/>
                <w:highlight w:val="none"/>
              </w:rPr>
              <w:t>危险废物</w:t>
            </w:r>
            <w:r>
              <w:rPr>
                <w:color w:val="auto"/>
                <w:highlight w:val="none"/>
              </w:rPr>
              <w:t>贮存设施</w:t>
            </w:r>
            <w:r>
              <w:rPr>
                <w:rFonts w:hint="eastAsia"/>
                <w:color w:val="auto"/>
                <w:highlight w:val="none"/>
              </w:rPr>
              <w:t>运营期</w:t>
            </w:r>
            <w:r>
              <w:rPr>
                <w:color w:val="auto"/>
                <w:highlight w:val="none"/>
              </w:rPr>
              <w:t>环境管理要求</w:t>
            </w:r>
          </w:p>
          <w:p w14:paraId="3AE0AD75">
            <w:pPr>
              <w:ind w:firstLine="480"/>
              <w:rPr>
                <w:color w:val="auto"/>
                <w:highlight w:val="none"/>
              </w:rPr>
            </w:pPr>
            <w:r>
              <w:rPr>
                <w:rFonts w:hint="eastAsia"/>
                <w:color w:val="auto"/>
                <w:highlight w:val="none"/>
              </w:rPr>
              <w:t>新建一座15</w:t>
            </w:r>
            <w:r>
              <w:rPr>
                <w:rFonts w:cs="Times New Roman"/>
                <w:color w:val="auto"/>
                <w:highlight w:val="none"/>
              </w:rPr>
              <w:t>m²</w:t>
            </w:r>
            <w:r>
              <w:rPr>
                <w:rFonts w:hint="eastAsia"/>
                <w:color w:val="auto"/>
                <w:highlight w:val="none"/>
              </w:rPr>
              <w:t>危废库</w:t>
            </w:r>
            <w:r>
              <w:rPr>
                <w:color w:val="auto"/>
                <w:highlight w:val="none"/>
              </w:rPr>
              <w:t>，位于</w:t>
            </w:r>
            <w:r>
              <w:rPr>
                <w:rFonts w:hint="eastAsia"/>
                <w:color w:val="auto"/>
                <w:highlight w:val="none"/>
              </w:rPr>
              <w:t>加工车间外西南侧</w:t>
            </w:r>
            <w:r>
              <w:rPr>
                <w:color w:val="auto"/>
                <w:highlight w:val="none"/>
              </w:rPr>
              <w:t>，储存能力</w:t>
            </w:r>
            <w:r>
              <w:rPr>
                <w:rFonts w:hint="eastAsia"/>
                <w:color w:val="auto"/>
                <w:highlight w:val="none"/>
              </w:rPr>
              <w:t>10t</w:t>
            </w:r>
            <w:r>
              <w:rPr>
                <w:color w:val="auto"/>
                <w:highlight w:val="none"/>
              </w:rPr>
              <w:t>，</w:t>
            </w:r>
            <w:r>
              <w:rPr>
                <w:rFonts w:hint="eastAsia"/>
                <w:color w:val="auto"/>
                <w:highlight w:val="none"/>
              </w:rPr>
              <w:t>设施编号TS004。</w:t>
            </w:r>
          </w:p>
          <w:p w14:paraId="586B3100">
            <w:pPr>
              <w:ind w:firstLine="480"/>
              <w:rPr>
                <w:color w:val="auto"/>
                <w:highlight w:val="none"/>
              </w:rPr>
            </w:pPr>
            <w:r>
              <w:rPr>
                <w:rFonts w:hint="eastAsia"/>
                <w:color w:val="auto"/>
                <w:highlight w:val="none"/>
              </w:rPr>
              <w:t>项目需暂存于危废库的危险废物总量为1.05t/a，按储存周期100天，一年转运3次计，每周期贮存危险废物最多为0.35t，低于危废库10t的储存上限。</w:t>
            </w:r>
          </w:p>
          <w:p w14:paraId="2343C27D">
            <w:pPr>
              <w:ind w:firstLine="480"/>
              <w:rPr>
                <w:color w:val="auto"/>
                <w:highlight w:val="none"/>
              </w:rPr>
            </w:pPr>
            <w:r>
              <w:rPr>
                <w:color w:val="auto"/>
                <w:highlight w:val="none"/>
              </w:rPr>
              <w:t>危险废物的贮存条件应满足《危险废物贮存污染控制标准》（GB 18597-2023）的规定。危险废物交接应认真执行《危险废物转移联单管理办法》和《危险废物转移联单制度》，明确危险废物的数量、性质及组分等。</w:t>
            </w:r>
          </w:p>
          <w:p w14:paraId="48D1380E">
            <w:pPr>
              <w:pStyle w:val="4"/>
              <w:ind w:firstLine="482"/>
              <w:rPr>
                <w:color w:val="auto"/>
                <w:highlight w:val="none"/>
              </w:rPr>
            </w:pPr>
          </w:p>
          <w:p w14:paraId="7989080E">
            <w:pPr>
              <w:pStyle w:val="4"/>
              <w:ind w:firstLine="482"/>
              <w:rPr>
                <w:color w:val="auto"/>
                <w:highlight w:val="none"/>
              </w:rPr>
            </w:pPr>
            <w:r>
              <w:rPr>
                <w:color w:val="auto"/>
                <w:highlight w:val="none"/>
              </w:rPr>
              <w:t>①根据《危险废物贮存污染控制标准》（GB 18597-2023），贮存设施</w:t>
            </w:r>
            <w:r>
              <w:rPr>
                <w:rFonts w:hint="eastAsia"/>
                <w:color w:val="auto"/>
                <w:highlight w:val="none"/>
              </w:rPr>
              <w:t>运营期</w:t>
            </w:r>
            <w:r>
              <w:rPr>
                <w:color w:val="auto"/>
                <w:highlight w:val="none"/>
              </w:rPr>
              <w:t>环境管理要求如下：</w:t>
            </w:r>
          </w:p>
          <w:p w14:paraId="1906E857">
            <w:pPr>
              <w:ind w:firstLine="480"/>
              <w:rPr>
                <w:color w:val="auto"/>
                <w:highlight w:val="none"/>
              </w:rPr>
            </w:pPr>
            <w:r>
              <w:rPr>
                <w:color w:val="auto"/>
                <w:highlight w:val="none"/>
              </w:rPr>
              <w:t>（1）危险废物存入贮存设施前应对危险废物类别和特性与危险废物标签等危险废物识别标志的一致性进行核验，不一致的或类别、特性不明的不应存入。</w:t>
            </w:r>
          </w:p>
          <w:p w14:paraId="390C10C5">
            <w:pPr>
              <w:ind w:firstLine="480"/>
              <w:rPr>
                <w:color w:val="auto"/>
                <w:highlight w:val="none"/>
              </w:rPr>
            </w:pPr>
            <w:r>
              <w:rPr>
                <w:color w:val="auto"/>
                <w:highlight w:val="none"/>
              </w:rPr>
              <w:t>（2）应定期检查危险废物的贮存状况，及时清理贮存设施地面，更换破损泄漏的危险废物贮存容器和包装物，保证堆存危险废物的防雨、防风、防扬尘等设施功能完好。</w:t>
            </w:r>
          </w:p>
          <w:p w14:paraId="1EEC3421">
            <w:pPr>
              <w:ind w:firstLine="480"/>
              <w:rPr>
                <w:color w:val="auto"/>
                <w:highlight w:val="none"/>
              </w:rPr>
            </w:pPr>
            <w:r>
              <w:rPr>
                <w:color w:val="auto"/>
                <w:highlight w:val="none"/>
              </w:rPr>
              <w:t>（3）作业设备及车辆等结束作业离开贮存设施时，应对其残留的危险废物进行清理，清理的废物或清洗废水应收集处理。</w:t>
            </w:r>
          </w:p>
          <w:p w14:paraId="6698924E">
            <w:pPr>
              <w:ind w:firstLine="480"/>
              <w:rPr>
                <w:color w:val="auto"/>
                <w:highlight w:val="none"/>
              </w:rPr>
            </w:pPr>
            <w:r>
              <w:rPr>
                <w:color w:val="auto"/>
                <w:highlight w:val="none"/>
              </w:rPr>
              <w:t>（4）贮存设施</w:t>
            </w:r>
            <w:r>
              <w:rPr>
                <w:rFonts w:hint="eastAsia"/>
                <w:color w:val="auto"/>
                <w:highlight w:val="none"/>
              </w:rPr>
              <w:t>运营期</w:t>
            </w:r>
            <w:r>
              <w:rPr>
                <w:color w:val="auto"/>
                <w:highlight w:val="none"/>
              </w:rPr>
              <w:t>间，应按国家有关标准和规定建立危险废物管理台账并保存。</w:t>
            </w:r>
          </w:p>
          <w:p w14:paraId="06319CA5">
            <w:pPr>
              <w:ind w:firstLine="480"/>
              <w:rPr>
                <w:color w:val="auto"/>
                <w:highlight w:val="none"/>
              </w:rPr>
            </w:pPr>
            <w:r>
              <w:rPr>
                <w:color w:val="auto"/>
                <w:highlight w:val="none"/>
              </w:rPr>
              <w:t>（5）贮存设施所有者或运营者应建立贮存设施环境管理制度、管理人员岗位职责制度、设施运行操作制度、人员岗位培训制度等。</w:t>
            </w:r>
          </w:p>
          <w:p w14:paraId="38532568">
            <w:pPr>
              <w:ind w:firstLine="480"/>
              <w:rPr>
                <w:color w:val="auto"/>
                <w:highlight w:val="none"/>
              </w:rPr>
            </w:pPr>
            <w:r>
              <w:rPr>
                <w:color w:val="auto"/>
                <w:highlight w:val="none"/>
              </w:rPr>
              <w:t>（6）贮存设施所有者或运营者应依据国家土壤和地下水污染防治的有关规定，结合贮存设施特点建立土壤和地下水污染隐患排查制度，并定期开展隐患排查；发现隐患应及时采取措施消除隐患，并建立档案。</w:t>
            </w:r>
          </w:p>
          <w:p w14:paraId="68CEDAD9">
            <w:pPr>
              <w:ind w:firstLine="480"/>
              <w:rPr>
                <w:color w:val="auto"/>
                <w:highlight w:val="none"/>
              </w:rPr>
            </w:pPr>
            <w:r>
              <w:rPr>
                <w:color w:val="auto"/>
                <w:highlight w:val="none"/>
              </w:rPr>
              <w:t>（7）贮存设施所有者或运营者应建立贮存设施全部档案，包括设计、施工、验收、运行、监测和环境应急等，应按国家有关档案管理的法律法规进行整理和归档。</w:t>
            </w:r>
          </w:p>
          <w:p w14:paraId="62AEAF64">
            <w:pPr>
              <w:pStyle w:val="4"/>
              <w:ind w:firstLine="482"/>
              <w:rPr>
                <w:color w:val="auto"/>
                <w:highlight w:val="none"/>
              </w:rPr>
            </w:pPr>
            <w:r>
              <w:rPr>
                <w:color w:val="auto"/>
                <w:highlight w:val="none"/>
              </w:rPr>
              <w:t>②根据《中华人民共和国固体废物污染环境防治法》（2020年修订）规定：</w:t>
            </w:r>
          </w:p>
          <w:p w14:paraId="628B7321">
            <w:pPr>
              <w:ind w:firstLine="480"/>
              <w:rPr>
                <w:color w:val="auto"/>
                <w:highlight w:val="none"/>
              </w:rPr>
            </w:pPr>
            <w:r>
              <w:rPr>
                <w:color w:val="auto"/>
                <w:highlight w:val="none"/>
              </w:rPr>
              <w:t>（1）产生危险废物的单位，应当按照国家有关规定制定危险废物管理计划；危险废物管理计划应当包括减少危险废物产生量和降低危险废物危害性的措施以及危险废物贮存、利用、处置措施。危险废物管理计划应当报产生危险废物的单位所在地生态环境主管部门备案。</w:t>
            </w:r>
          </w:p>
          <w:p w14:paraId="1ACCB718">
            <w:pPr>
              <w:ind w:firstLine="480"/>
              <w:rPr>
                <w:color w:val="auto"/>
                <w:highlight w:val="none"/>
              </w:rPr>
            </w:pPr>
            <w:r>
              <w:rPr>
                <w:color w:val="auto"/>
                <w:highlight w:val="none"/>
              </w:rPr>
              <w:t>（2）建立危险废物管理台账，如实记录有关信息，并通过国家危险废物信息管理系统向所在地生态环境主管部门申报危险废物的种类、产生量、流向、贮存、处置等有关资料。</w:t>
            </w:r>
          </w:p>
          <w:p w14:paraId="3A98E218">
            <w:pPr>
              <w:ind w:firstLine="480"/>
              <w:rPr>
                <w:color w:val="auto"/>
                <w:highlight w:val="none"/>
              </w:rPr>
            </w:pPr>
            <w:r>
              <w:rPr>
                <w:color w:val="auto"/>
                <w:highlight w:val="none"/>
              </w:rPr>
              <w:t>（3）产生危险废物的单位已经取得排污许可证的，执行排污许可管理制度的规定。</w:t>
            </w:r>
          </w:p>
          <w:p w14:paraId="16268C69">
            <w:pPr>
              <w:pStyle w:val="4"/>
              <w:ind w:firstLine="482"/>
              <w:rPr>
                <w:color w:val="auto"/>
                <w:highlight w:val="none"/>
              </w:rPr>
            </w:pPr>
            <w:r>
              <w:rPr>
                <w:color w:val="auto"/>
                <w:highlight w:val="none"/>
              </w:rPr>
              <w:t>③针对危险废物的储存提出以下要求：</w:t>
            </w:r>
          </w:p>
          <w:p w14:paraId="5FE55BE1">
            <w:pPr>
              <w:ind w:firstLine="480"/>
              <w:rPr>
                <w:color w:val="auto"/>
                <w:highlight w:val="none"/>
              </w:rPr>
            </w:pPr>
            <w:r>
              <w:rPr>
                <w:color w:val="auto"/>
                <w:highlight w:val="none"/>
              </w:rPr>
              <w:t>（1）基础必须防渗，防渗层必须为砼结构。</w:t>
            </w:r>
          </w:p>
          <w:p w14:paraId="7D02A85E">
            <w:pPr>
              <w:ind w:firstLine="480"/>
              <w:rPr>
                <w:color w:val="auto"/>
                <w:highlight w:val="none"/>
              </w:rPr>
            </w:pPr>
            <w:r>
              <w:rPr>
                <w:color w:val="auto"/>
                <w:highlight w:val="none"/>
              </w:rPr>
              <w:t>（2）堆放危险废物的高度应根据地面承载能力确定。</w:t>
            </w:r>
          </w:p>
          <w:p w14:paraId="6A0211FC">
            <w:pPr>
              <w:ind w:firstLine="480"/>
              <w:rPr>
                <w:color w:val="auto"/>
                <w:highlight w:val="none"/>
              </w:rPr>
            </w:pPr>
            <w:r>
              <w:rPr>
                <w:color w:val="auto"/>
                <w:highlight w:val="none"/>
              </w:rPr>
              <w:t>（3）衬里放在一个基础或底座上。</w:t>
            </w:r>
          </w:p>
          <w:p w14:paraId="6C78E9DA">
            <w:pPr>
              <w:ind w:firstLine="480"/>
              <w:rPr>
                <w:color w:val="auto"/>
                <w:highlight w:val="none"/>
              </w:rPr>
            </w:pPr>
            <w:r>
              <w:rPr>
                <w:color w:val="auto"/>
                <w:highlight w:val="none"/>
              </w:rPr>
              <w:t>（4）衬里要能够覆盖危险废物或其溶出物可能</w:t>
            </w:r>
            <w:r>
              <w:rPr>
                <w:rFonts w:hint="eastAsia"/>
                <w:color w:val="auto"/>
                <w:highlight w:val="none"/>
              </w:rPr>
              <w:t>涉及的</w:t>
            </w:r>
            <w:r>
              <w:rPr>
                <w:color w:val="auto"/>
                <w:highlight w:val="none"/>
              </w:rPr>
              <w:t>范围。</w:t>
            </w:r>
          </w:p>
          <w:p w14:paraId="75B05351">
            <w:pPr>
              <w:ind w:firstLine="480"/>
              <w:rPr>
                <w:color w:val="auto"/>
                <w:highlight w:val="none"/>
              </w:rPr>
            </w:pPr>
            <w:r>
              <w:rPr>
                <w:color w:val="auto"/>
                <w:highlight w:val="none"/>
              </w:rPr>
              <w:t>（5）衬里材料与堆放危险废物相容。</w:t>
            </w:r>
          </w:p>
          <w:p w14:paraId="087945D6">
            <w:pPr>
              <w:ind w:firstLine="480"/>
              <w:rPr>
                <w:color w:val="auto"/>
                <w:highlight w:val="none"/>
              </w:rPr>
            </w:pPr>
            <w:r>
              <w:rPr>
                <w:color w:val="auto"/>
                <w:highlight w:val="none"/>
              </w:rPr>
              <w:t>（6）在衬里上设计、建造浸出液收集清除系统。</w:t>
            </w:r>
          </w:p>
          <w:p w14:paraId="2F78DC83">
            <w:pPr>
              <w:ind w:firstLine="480"/>
              <w:rPr>
                <w:color w:val="auto"/>
                <w:highlight w:val="none"/>
              </w:rPr>
            </w:pPr>
            <w:r>
              <w:rPr>
                <w:color w:val="auto"/>
                <w:highlight w:val="none"/>
              </w:rPr>
              <w:t>（7）应设计建造径流疏导系统，保证能防止25年一遇的暴雨不会流到危险废物临时堆放场内。</w:t>
            </w:r>
          </w:p>
          <w:p w14:paraId="4AB06927">
            <w:pPr>
              <w:ind w:firstLine="480"/>
              <w:rPr>
                <w:color w:val="auto"/>
                <w:highlight w:val="none"/>
              </w:rPr>
            </w:pPr>
            <w:r>
              <w:rPr>
                <w:color w:val="auto"/>
                <w:highlight w:val="none"/>
              </w:rPr>
              <w:t>（8）危险废物临时堆放场要做好防风、防雨、防晒。</w:t>
            </w:r>
          </w:p>
          <w:p w14:paraId="6CBED5A8">
            <w:pPr>
              <w:ind w:firstLine="480"/>
              <w:rPr>
                <w:color w:val="auto"/>
                <w:highlight w:val="none"/>
              </w:rPr>
            </w:pPr>
            <w:r>
              <w:rPr>
                <w:color w:val="auto"/>
                <w:highlight w:val="none"/>
              </w:rPr>
              <w:t>（9）不相容的危险废物不能堆放在一起。</w:t>
            </w:r>
          </w:p>
          <w:p w14:paraId="70177BB9">
            <w:pPr>
              <w:ind w:firstLine="480"/>
              <w:rPr>
                <w:color w:val="auto"/>
                <w:highlight w:val="none"/>
              </w:rPr>
            </w:pPr>
            <w:r>
              <w:rPr>
                <w:color w:val="auto"/>
                <w:highlight w:val="none"/>
              </w:rPr>
              <w:t>（10）设置围堰，防止废液外流。</w:t>
            </w:r>
          </w:p>
          <w:p w14:paraId="4FF26569">
            <w:pPr>
              <w:pStyle w:val="4"/>
              <w:ind w:firstLine="482"/>
              <w:rPr>
                <w:color w:val="auto"/>
                <w:highlight w:val="none"/>
              </w:rPr>
            </w:pPr>
            <w:r>
              <w:rPr>
                <w:rFonts w:hint="eastAsia" w:ascii="宋体" w:hAnsi="宋体" w:cs="宋体"/>
                <w:color w:val="auto"/>
                <w:highlight w:val="none"/>
              </w:rPr>
              <w:t>④</w:t>
            </w:r>
            <w:r>
              <w:rPr>
                <w:color w:val="auto"/>
                <w:highlight w:val="none"/>
              </w:rPr>
              <w:t>贮存点环境管理要求</w:t>
            </w:r>
          </w:p>
          <w:p w14:paraId="21295B11">
            <w:pPr>
              <w:ind w:firstLine="480"/>
              <w:rPr>
                <w:color w:val="auto"/>
                <w:highlight w:val="none"/>
              </w:rPr>
            </w:pPr>
            <w:r>
              <w:rPr>
                <w:rFonts w:hint="eastAsia"/>
                <w:color w:val="auto"/>
                <w:highlight w:val="none"/>
              </w:rPr>
              <w:t>危废库</w:t>
            </w:r>
            <w:r>
              <w:rPr>
                <w:color w:val="auto"/>
                <w:highlight w:val="none"/>
              </w:rPr>
              <w:t>设置点位应满足以下环境管理要求：</w:t>
            </w:r>
          </w:p>
          <w:p w14:paraId="4A97608F">
            <w:pPr>
              <w:ind w:firstLine="480"/>
              <w:rPr>
                <w:color w:val="auto"/>
                <w:highlight w:val="none"/>
              </w:rPr>
            </w:pPr>
            <w:r>
              <w:rPr>
                <w:color w:val="auto"/>
                <w:highlight w:val="none"/>
              </w:rPr>
              <w:t>（1）贮存点应具有固定的区域边界，并应采取与其他区域进行隔离的措施。</w:t>
            </w:r>
          </w:p>
          <w:p w14:paraId="2C602F6F">
            <w:pPr>
              <w:ind w:firstLine="480"/>
              <w:rPr>
                <w:color w:val="auto"/>
                <w:highlight w:val="none"/>
              </w:rPr>
            </w:pPr>
            <w:r>
              <w:rPr>
                <w:color w:val="auto"/>
                <w:highlight w:val="none"/>
              </w:rPr>
              <w:t>（2）贮存点应采取防风、防雨、防晒和防止危险废物流失、扬散等措施。</w:t>
            </w:r>
          </w:p>
          <w:p w14:paraId="010874DE">
            <w:pPr>
              <w:ind w:firstLine="480"/>
              <w:rPr>
                <w:color w:val="auto"/>
                <w:highlight w:val="none"/>
              </w:rPr>
            </w:pPr>
            <w:r>
              <w:rPr>
                <w:rFonts w:hint="eastAsia"/>
                <w:color w:val="auto"/>
                <w:highlight w:val="none"/>
              </w:rPr>
              <w:t>（3）</w:t>
            </w:r>
            <w:r>
              <w:rPr>
                <w:color w:val="auto"/>
                <w:highlight w:val="none"/>
              </w:rPr>
              <w:t>贮存点贮存的危险废物应置于容器或包装物中，不应直接散堆。</w:t>
            </w:r>
          </w:p>
          <w:p w14:paraId="3C781D53">
            <w:pPr>
              <w:ind w:firstLine="480"/>
              <w:rPr>
                <w:color w:val="auto"/>
                <w:highlight w:val="none"/>
              </w:rPr>
            </w:pPr>
            <w:r>
              <w:rPr>
                <w:rFonts w:hint="eastAsia"/>
                <w:color w:val="auto"/>
                <w:highlight w:val="none"/>
              </w:rPr>
              <w:t>（4）</w:t>
            </w:r>
            <w:r>
              <w:rPr>
                <w:color w:val="auto"/>
                <w:highlight w:val="none"/>
              </w:rPr>
              <w:t>贮存点应根据危险废物的形态、物理化学性质、包装形式等，采取防渗、防漏等污染防治措施。</w:t>
            </w:r>
          </w:p>
          <w:p w14:paraId="6709C73A">
            <w:pPr>
              <w:pStyle w:val="4"/>
              <w:ind w:firstLine="482"/>
              <w:rPr>
                <w:color w:val="auto"/>
                <w:highlight w:val="none"/>
              </w:rPr>
            </w:pPr>
            <w:r>
              <w:rPr>
                <w:rFonts w:hint="eastAsia" w:ascii="宋体" w:hAnsi="宋体" w:cs="宋体"/>
                <w:color w:val="auto"/>
                <w:highlight w:val="none"/>
              </w:rPr>
              <w:t>⑤</w:t>
            </w:r>
            <w:r>
              <w:rPr>
                <w:color w:val="auto"/>
                <w:highlight w:val="none"/>
              </w:rPr>
              <w:t>环境应急要求</w:t>
            </w:r>
          </w:p>
          <w:p w14:paraId="7D2CEBB6">
            <w:pPr>
              <w:ind w:firstLine="480"/>
              <w:rPr>
                <w:color w:val="auto"/>
                <w:highlight w:val="none"/>
              </w:rPr>
            </w:pPr>
            <w:r>
              <w:rPr>
                <w:rFonts w:hint="eastAsia"/>
                <w:color w:val="auto"/>
                <w:highlight w:val="none"/>
              </w:rPr>
              <w:t>（1）</w:t>
            </w:r>
            <w:r>
              <w:rPr>
                <w:color w:val="auto"/>
                <w:highlight w:val="none"/>
              </w:rPr>
              <w:t>贮存设施所有者或运营者应按照国家有关规定编制突发环境事件应急预案，定期开展必要的培训和环境应急演练，并做好培训、演练记录。</w:t>
            </w:r>
          </w:p>
          <w:p w14:paraId="3F5B97AF">
            <w:pPr>
              <w:ind w:firstLine="480"/>
              <w:rPr>
                <w:color w:val="auto"/>
                <w:highlight w:val="none"/>
              </w:rPr>
            </w:pPr>
            <w:r>
              <w:rPr>
                <w:rFonts w:hint="eastAsia"/>
                <w:color w:val="auto"/>
                <w:highlight w:val="none"/>
              </w:rPr>
              <w:t>（2）</w:t>
            </w:r>
            <w:r>
              <w:rPr>
                <w:color w:val="auto"/>
                <w:highlight w:val="none"/>
              </w:rPr>
              <w:t>贮存设施所有者或运营者应配备满足其突发环境事件应急要求的应急人员、装备和物资，并应设置应急照明系统。</w:t>
            </w:r>
          </w:p>
          <w:p w14:paraId="37D6E413">
            <w:pPr>
              <w:ind w:firstLine="480"/>
              <w:rPr>
                <w:color w:val="auto"/>
                <w:highlight w:val="none"/>
              </w:rPr>
            </w:pPr>
            <w:r>
              <w:rPr>
                <w:color w:val="auto"/>
                <w:highlight w:val="none"/>
              </w:rPr>
              <w:t>（3）相关部门发布自然灾害或恶劣天气预警后，贮存设施所有者或运营者应启动相应防控措施，若有必要可将危险废物转移至其他具有防护条件的地点贮存。</w:t>
            </w:r>
          </w:p>
          <w:p w14:paraId="49F87C07">
            <w:pPr>
              <w:pStyle w:val="3"/>
              <w:ind w:firstLine="482"/>
              <w:rPr>
                <w:color w:val="auto"/>
                <w:highlight w:val="none"/>
              </w:rPr>
            </w:pPr>
            <w:r>
              <w:rPr>
                <w:rFonts w:hint="eastAsia"/>
                <w:color w:val="auto"/>
                <w:highlight w:val="none"/>
              </w:rPr>
              <w:t>（6）生活垃圾</w:t>
            </w:r>
          </w:p>
          <w:p w14:paraId="5CBAEB30">
            <w:pPr>
              <w:ind w:firstLine="480"/>
              <w:rPr>
                <w:color w:val="auto"/>
                <w:highlight w:val="none"/>
              </w:rPr>
            </w:pPr>
            <w:r>
              <w:rPr>
                <w:rFonts w:hint="eastAsia"/>
                <w:color w:val="auto"/>
                <w:highlight w:val="none"/>
              </w:rPr>
              <w:t>项目劳动定员20人，按平均每人每天产生0.5kg生活垃圾计，则项目的生活垃圾的产生量约为0.01t/d，即3t/a（按300天/年计）。生活垃圾交环卫部门定期清理，统一处理，并对垃圾堆放点进行消毒，杀灭害虫，以免散发恶臭，滋生蚊蝇。</w:t>
            </w:r>
          </w:p>
          <w:p w14:paraId="09DD77B1">
            <w:pPr>
              <w:pStyle w:val="2"/>
              <w:ind w:firstLine="482"/>
              <w:rPr>
                <w:color w:val="auto"/>
                <w:highlight w:val="none"/>
              </w:rPr>
            </w:pPr>
            <w:r>
              <w:rPr>
                <w:rFonts w:hint="eastAsia"/>
                <w:color w:val="auto"/>
                <w:highlight w:val="none"/>
              </w:rPr>
              <w:t>5</w:t>
            </w:r>
            <w:r>
              <w:rPr>
                <w:color w:val="auto"/>
                <w:highlight w:val="none"/>
              </w:rPr>
              <w:t>、</w:t>
            </w:r>
            <w:r>
              <w:rPr>
                <w:rFonts w:hint="eastAsia"/>
                <w:color w:val="auto"/>
                <w:highlight w:val="none"/>
              </w:rPr>
              <w:t>地下水及土壤</w:t>
            </w:r>
          </w:p>
          <w:p w14:paraId="10458052">
            <w:pPr>
              <w:ind w:firstLine="480"/>
              <w:rPr>
                <w:color w:val="auto"/>
                <w:highlight w:val="none"/>
              </w:rPr>
            </w:pPr>
            <w:r>
              <w:rPr>
                <w:rFonts w:hint="eastAsia"/>
                <w:color w:val="auto"/>
                <w:highlight w:val="none"/>
              </w:rPr>
              <w:t>本项目运营期对地下水环境和土壤环境的影响主要为废水泄漏对地下水环境的影响。针对可能发生的地下水及土壤污染，本项目污染防治措施将按照“源头控制、分区防治、污染监控、应急响应”相结合的原则，从污染物产生、入渗、扩散、应急响应全方位进行防控。</w:t>
            </w:r>
          </w:p>
          <w:p w14:paraId="3B00A583">
            <w:pPr>
              <w:ind w:firstLine="480"/>
              <w:rPr>
                <w:color w:val="auto"/>
                <w:highlight w:val="none"/>
              </w:rPr>
            </w:pPr>
            <w:r>
              <w:rPr>
                <w:color w:val="auto"/>
                <w:highlight w:val="none"/>
              </w:rPr>
              <w:t>本项目将对可能产生地下水和土壤污染的源头进行合理的</w:t>
            </w:r>
            <w:r>
              <w:rPr>
                <w:rFonts w:hint="eastAsia"/>
                <w:color w:val="auto"/>
                <w:highlight w:val="none"/>
              </w:rPr>
              <w:t>防控和治理</w:t>
            </w:r>
            <w:r>
              <w:rPr>
                <w:color w:val="auto"/>
                <w:highlight w:val="none"/>
              </w:rPr>
              <w:t>，以尽可能从源头上减少污染物排放；严格按照国家相关规范要求，对工艺、管道、设备等储存构筑物采用相应的措施，以防止和降低污染物跑、冒、滴、漏，将污染物泄漏的环境风险事故降低到最低程度；管道尽可</w:t>
            </w:r>
            <w:r>
              <w:rPr>
                <w:rFonts w:hint="eastAsia"/>
                <w:color w:val="auto"/>
                <w:highlight w:val="none"/>
              </w:rPr>
              <w:t>能在</w:t>
            </w:r>
            <w:r>
              <w:rPr>
                <w:color w:val="auto"/>
                <w:highlight w:val="none"/>
              </w:rPr>
              <w:t>地上敷设，做到污染物</w:t>
            </w:r>
            <w:r>
              <w:rPr>
                <w:rFonts w:hint="eastAsia"/>
                <w:color w:val="auto"/>
                <w:highlight w:val="none"/>
              </w:rPr>
              <w:t>“</w:t>
            </w:r>
            <w:r>
              <w:rPr>
                <w:color w:val="auto"/>
                <w:highlight w:val="none"/>
              </w:rPr>
              <w:t>早发现、早处理</w:t>
            </w:r>
            <w:r>
              <w:rPr>
                <w:rFonts w:hint="eastAsia"/>
                <w:color w:val="auto"/>
                <w:highlight w:val="none"/>
              </w:rPr>
              <w:t>”</w:t>
            </w:r>
            <w:r>
              <w:rPr>
                <w:color w:val="auto"/>
                <w:highlight w:val="none"/>
              </w:rPr>
              <w:t>，以减少由于埋地管道泄漏而可能造成的地下水污染，</w:t>
            </w:r>
            <w:r>
              <w:rPr>
                <w:rFonts w:hint="eastAsia"/>
                <w:color w:val="auto"/>
                <w:highlight w:val="none"/>
              </w:rPr>
              <w:t>废水</w:t>
            </w:r>
            <w:r>
              <w:rPr>
                <w:color w:val="auto"/>
                <w:highlight w:val="none"/>
              </w:rPr>
              <w:t>走地下管道</w:t>
            </w:r>
            <w:r>
              <w:rPr>
                <w:rFonts w:hint="eastAsia"/>
                <w:color w:val="auto"/>
                <w:highlight w:val="none"/>
              </w:rPr>
              <w:t>。</w:t>
            </w:r>
          </w:p>
          <w:p w14:paraId="22DA5C06">
            <w:pPr>
              <w:pStyle w:val="3"/>
              <w:ind w:firstLine="482"/>
              <w:rPr>
                <w:color w:val="auto"/>
                <w:highlight w:val="none"/>
              </w:rPr>
            </w:pPr>
            <w:r>
              <w:rPr>
                <w:rFonts w:hint="eastAsia"/>
                <w:color w:val="auto"/>
                <w:highlight w:val="none"/>
              </w:rPr>
              <w:t>（3）</w:t>
            </w:r>
            <w:r>
              <w:rPr>
                <w:color w:val="auto"/>
                <w:highlight w:val="none"/>
              </w:rPr>
              <w:t>分区控制措施</w:t>
            </w:r>
          </w:p>
          <w:p w14:paraId="2E0905F5">
            <w:pPr>
              <w:ind w:firstLine="480"/>
              <w:rPr>
                <w:color w:val="auto"/>
                <w:highlight w:val="none"/>
              </w:rPr>
            </w:pPr>
            <w:r>
              <w:rPr>
                <w:color w:val="auto"/>
                <w:highlight w:val="none"/>
              </w:rPr>
              <w:t>本项目的防渗区要求如下：</w:t>
            </w:r>
          </w:p>
          <w:p w14:paraId="2B364F30">
            <w:pPr>
              <w:pStyle w:val="14"/>
              <w:spacing w:before="156"/>
              <w:rPr>
                <w:color w:val="auto"/>
                <w:highlight w:val="none"/>
              </w:rPr>
            </w:pPr>
            <w:r>
              <w:rPr>
                <w:color w:val="auto"/>
                <w:highlight w:val="none"/>
              </w:rPr>
              <w:t>表4-</w:t>
            </w:r>
            <w:r>
              <w:rPr>
                <w:rFonts w:hint="eastAsia"/>
                <w:color w:val="auto"/>
                <w:highlight w:val="none"/>
              </w:rPr>
              <w:t>1</w:t>
            </w:r>
            <w:r>
              <w:rPr>
                <w:rFonts w:hint="eastAsia"/>
                <w:color w:val="auto"/>
                <w:highlight w:val="none"/>
                <w:lang w:val="en-US" w:eastAsia="zh-CN"/>
              </w:rPr>
              <w:t>9</w:t>
            </w:r>
            <w:r>
              <w:rPr>
                <w:color w:val="auto"/>
                <w:highlight w:val="none"/>
              </w:rPr>
              <w:t xml:space="preserve">  地下水污染防渗分区参照表</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62"/>
              <w:gridCol w:w="2000"/>
              <w:gridCol w:w="1801"/>
              <w:gridCol w:w="1889"/>
              <w:gridCol w:w="2110"/>
            </w:tblGrid>
            <w:tr w14:paraId="51AB2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96" w:type="pct"/>
                  <w:tcBorders>
                    <w:top w:val="single" w:color="auto" w:sz="4" w:space="0"/>
                    <w:left w:val="single" w:color="auto" w:sz="4" w:space="0"/>
                    <w:bottom w:val="single" w:color="auto" w:sz="4" w:space="0"/>
                    <w:right w:val="single" w:color="auto" w:sz="4" w:space="0"/>
                    <w:tl2br w:val="nil"/>
                    <w:tr2bl w:val="nil"/>
                  </w:tcBorders>
                  <w:vAlign w:val="center"/>
                </w:tcPr>
                <w:p w14:paraId="5D88AD57">
                  <w:pPr>
                    <w:pStyle w:val="13"/>
                    <w:rPr>
                      <w:b/>
                      <w:bCs/>
                      <w:color w:val="auto"/>
                      <w:highlight w:val="none"/>
                    </w:rPr>
                  </w:pPr>
                  <w:r>
                    <w:rPr>
                      <w:b/>
                      <w:bCs/>
                      <w:color w:val="auto"/>
                      <w:highlight w:val="none"/>
                    </w:rPr>
                    <w:t>防渗分区</w:t>
                  </w:r>
                </w:p>
              </w:tc>
              <w:tc>
                <w:tcPr>
                  <w:tcW w:w="1103" w:type="pct"/>
                  <w:tcBorders>
                    <w:top w:val="single" w:color="auto" w:sz="4" w:space="0"/>
                    <w:left w:val="single" w:color="auto" w:sz="4" w:space="0"/>
                    <w:bottom w:val="single" w:color="auto" w:sz="4" w:space="0"/>
                    <w:right w:val="single" w:color="auto" w:sz="4" w:space="0"/>
                    <w:tl2br w:val="nil"/>
                    <w:tr2bl w:val="nil"/>
                  </w:tcBorders>
                  <w:vAlign w:val="center"/>
                </w:tcPr>
                <w:p w14:paraId="5F6ED8B1">
                  <w:pPr>
                    <w:pStyle w:val="13"/>
                    <w:rPr>
                      <w:b/>
                      <w:bCs/>
                      <w:color w:val="auto"/>
                      <w:highlight w:val="none"/>
                    </w:rPr>
                  </w:pPr>
                  <w:r>
                    <w:rPr>
                      <w:b/>
                      <w:bCs/>
                      <w:color w:val="auto"/>
                      <w:highlight w:val="none"/>
                    </w:rPr>
                    <w:t>天然包气带防污性能</w:t>
                  </w:r>
                </w:p>
              </w:tc>
              <w:tc>
                <w:tcPr>
                  <w:tcW w:w="993" w:type="pct"/>
                  <w:tcBorders>
                    <w:top w:val="single" w:color="auto" w:sz="4" w:space="0"/>
                    <w:left w:val="single" w:color="auto" w:sz="4" w:space="0"/>
                    <w:bottom w:val="single" w:color="auto" w:sz="4" w:space="0"/>
                    <w:right w:val="single" w:color="auto" w:sz="4" w:space="0"/>
                    <w:tl2br w:val="nil"/>
                    <w:tr2bl w:val="nil"/>
                  </w:tcBorders>
                  <w:vAlign w:val="center"/>
                </w:tcPr>
                <w:p w14:paraId="3A7BE255">
                  <w:pPr>
                    <w:pStyle w:val="13"/>
                    <w:rPr>
                      <w:b/>
                      <w:bCs/>
                      <w:color w:val="auto"/>
                      <w:highlight w:val="none"/>
                    </w:rPr>
                  </w:pPr>
                  <w:r>
                    <w:rPr>
                      <w:b/>
                      <w:bCs/>
                      <w:color w:val="auto"/>
                      <w:highlight w:val="none"/>
                    </w:rPr>
                    <w:t>污染控制难易程度</w:t>
                  </w:r>
                </w:p>
              </w:tc>
              <w:tc>
                <w:tcPr>
                  <w:tcW w:w="1042" w:type="pct"/>
                  <w:tcBorders>
                    <w:top w:val="single" w:color="auto" w:sz="4" w:space="0"/>
                    <w:left w:val="single" w:color="auto" w:sz="4" w:space="0"/>
                    <w:bottom w:val="single" w:color="auto" w:sz="4" w:space="0"/>
                    <w:right w:val="single" w:color="auto" w:sz="4" w:space="0"/>
                    <w:tl2br w:val="nil"/>
                    <w:tr2bl w:val="nil"/>
                  </w:tcBorders>
                  <w:vAlign w:val="center"/>
                </w:tcPr>
                <w:p w14:paraId="3DA69D2A">
                  <w:pPr>
                    <w:pStyle w:val="13"/>
                    <w:rPr>
                      <w:b/>
                      <w:bCs/>
                      <w:color w:val="auto"/>
                      <w:highlight w:val="none"/>
                    </w:rPr>
                  </w:pPr>
                  <w:r>
                    <w:rPr>
                      <w:b/>
                      <w:bCs/>
                      <w:color w:val="auto"/>
                      <w:highlight w:val="none"/>
                    </w:rPr>
                    <w:t>污染物类型</w:t>
                  </w:r>
                </w:p>
              </w:tc>
              <w:tc>
                <w:tcPr>
                  <w:tcW w:w="1164" w:type="pct"/>
                  <w:tcBorders>
                    <w:top w:val="single" w:color="auto" w:sz="4" w:space="0"/>
                    <w:left w:val="single" w:color="auto" w:sz="4" w:space="0"/>
                    <w:bottom w:val="single" w:color="auto" w:sz="4" w:space="0"/>
                    <w:right w:val="single" w:color="auto" w:sz="4" w:space="0"/>
                    <w:tl2br w:val="nil"/>
                    <w:tr2bl w:val="nil"/>
                  </w:tcBorders>
                  <w:vAlign w:val="center"/>
                </w:tcPr>
                <w:p w14:paraId="3BE81645">
                  <w:pPr>
                    <w:pStyle w:val="13"/>
                    <w:rPr>
                      <w:b/>
                      <w:bCs/>
                      <w:color w:val="auto"/>
                      <w:highlight w:val="none"/>
                    </w:rPr>
                  </w:pPr>
                  <w:r>
                    <w:rPr>
                      <w:b/>
                      <w:bCs/>
                      <w:color w:val="auto"/>
                      <w:highlight w:val="none"/>
                    </w:rPr>
                    <w:t>防渗技术要求</w:t>
                  </w:r>
                </w:p>
              </w:tc>
            </w:tr>
            <w:tr w14:paraId="28834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96"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2F58AA46">
                  <w:pPr>
                    <w:pStyle w:val="13"/>
                    <w:rPr>
                      <w:color w:val="auto"/>
                      <w:highlight w:val="none"/>
                    </w:rPr>
                  </w:pPr>
                  <w:r>
                    <w:rPr>
                      <w:color w:val="auto"/>
                      <w:highlight w:val="none"/>
                    </w:rPr>
                    <w:t>重点防渗区</w:t>
                  </w:r>
                </w:p>
              </w:tc>
              <w:tc>
                <w:tcPr>
                  <w:tcW w:w="1103" w:type="pct"/>
                  <w:tcBorders>
                    <w:top w:val="single" w:color="auto" w:sz="4" w:space="0"/>
                    <w:left w:val="single" w:color="auto" w:sz="4" w:space="0"/>
                    <w:bottom w:val="single" w:color="auto" w:sz="4" w:space="0"/>
                    <w:right w:val="single" w:color="auto" w:sz="4" w:space="0"/>
                    <w:tl2br w:val="nil"/>
                    <w:tr2bl w:val="nil"/>
                  </w:tcBorders>
                  <w:vAlign w:val="center"/>
                </w:tcPr>
                <w:p w14:paraId="7789099B">
                  <w:pPr>
                    <w:pStyle w:val="13"/>
                    <w:rPr>
                      <w:color w:val="auto"/>
                      <w:highlight w:val="none"/>
                    </w:rPr>
                  </w:pPr>
                  <w:r>
                    <w:rPr>
                      <w:color w:val="auto"/>
                      <w:highlight w:val="none"/>
                    </w:rPr>
                    <w:t>弱</w:t>
                  </w:r>
                </w:p>
              </w:tc>
              <w:tc>
                <w:tcPr>
                  <w:tcW w:w="993" w:type="pct"/>
                  <w:tcBorders>
                    <w:top w:val="single" w:color="auto" w:sz="4" w:space="0"/>
                    <w:left w:val="single" w:color="auto" w:sz="4" w:space="0"/>
                    <w:bottom w:val="single" w:color="auto" w:sz="4" w:space="0"/>
                    <w:right w:val="single" w:color="auto" w:sz="4" w:space="0"/>
                    <w:tl2br w:val="nil"/>
                    <w:tr2bl w:val="nil"/>
                  </w:tcBorders>
                  <w:vAlign w:val="center"/>
                </w:tcPr>
                <w:p w14:paraId="5F4278C4">
                  <w:pPr>
                    <w:pStyle w:val="13"/>
                    <w:rPr>
                      <w:color w:val="auto"/>
                      <w:highlight w:val="none"/>
                    </w:rPr>
                  </w:pPr>
                  <w:r>
                    <w:rPr>
                      <w:color w:val="auto"/>
                      <w:highlight w:val="none"/>
                    </w:rPr>
                    <w:t>难</w:t>
                  </w:r>
                </w:p>
              </w:tc>
              <w:tc>
                <w:tcPr>
                  <w:tcW w:w="1042"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141FE1FB">
                  <w:pPr>
                    <w:pStyle w:val="13"/>
                    <w:rPr>
                      <w:color w:val="auto"/>
                      <w:highlight w:val="none"/>
                    </w:rPr>
                  </w:pPr>
                  <w:r>
                    <w:rPr>
                      <w:color w:val="auto"/>
                      <w:highlight w:val="none"/>
                    </w:rPr>
                    <w:t>重金属、持久性</w:t>
                  </w:r>
                  <w:r>
                    <w:rPr>
                      <w:rFonts w:hint="eastAsia"/>
                      <w:color w:val="auto"/>
                      <w:highlight w:val="none"/>
                    </w:rPr>
                    <w:t>、</w:t>
                  </w:r>
                  <w:r>
                    <w:rPr>
                      <w:color w:val="auto"/>
                      <w:highlight w:val="none"/>
                    </w:rPr>
                    <w:t>有机物污染物</w:t>
                  </w:r>
                </w:p>
              </w:tc>
              <w:tc>
                <w:tcPr>
                  <w:tcW w:w="1164"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262D0771">
                  <w:pPr>
                    <w:pStyle w:val="13"/>
                    <w:rPr>
                      <w:color w:val="auto"/>
                      <w:highlight w:val="none"/>
                    </w:rPr>
                  </w:pPr>
                  <w:r>
                    <w:rPr>
                      <w:color w:val="auto"/>
                      <w:highlight w:val="none"/>
                    </w:rPr>
                    <w:t>等效黏土防渗层Mb≥6.0m，K≤10</w:t>
                  </w:r>
                  <w:r>
                    <w:rPr>
                      <w:color w:val="auto"/>
                      <w:highlight w:val="none"/>
                      <w:vertAlign w:val="superscript"/>
                    </w:rPr>
                    <w:t>-7</w:t>
                  </w:r>
                  <w:r>
                    <w:rPr>
                      <w:color w:val="auto"/>
                      <w:highlight w:val="none"/>
                    </w:rPr>
                    <w:t>cm/s；或参照GB</w:t>
                  </w:r>
                  <w:r>
                    <w:rPr>
                      <w:rFonts w:hint="eastAsia"/>
                      <w:color w:val="auto"/>
                      <w:highlight w:val="none"/>
                    </w:rPr>
                    <w:t xml:space="preserve"> </w:t>
                  </w:r>
                  <w:r>
                    <w:rPr>
                      <w:color w:val="auto"/>
                      <w:highlight w:val="none"/>
                    </w:rPr>
                    <w:t>18598执行</w:t>
                  </w:r>
                </w:p>
              </w:tc>
            </w:tr>
            <w:tr w14:paraId="72446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96"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4F8CB6A4">
                  <w:pPr>
                    <w:pStyle w:val="13"/>
                    <w:rPr>
                      <w:color w:val="auto"/>
                      <w:highlight w:val="none"/>
                    </w:rPr>
                  </w:pPr>
                </w:p>
              </w:tc>
              <w:tc>
                <w:tcPr>
                  <w:tcW w:w="1103" w:type="pct"/>
                  <w:tcBorders>
                    <w:top w:val="single" w:color="auto" w:sz="4" w:space="0"/>
                    <w:left w:val="single" w:color="auto" w:sz="4" w:space="0"/>
                    <w:bottom w:val="single" w:color="auto" w:sz="4" w:space="0"/>
                    <w:right w:val="single" w:color="auto" w:sz="4" w:space="0"/>
                    <w:tl2br w:val="nil"/>
                    <w:tr2bl w:val="nil"/>
                  </w:tcBorders>
                  <w:vAlign w:val="center"/>
                </w:tcPr>
                <w:p w14:paraId="64478712">
                  <w:pPr>
                    <w:pStyle w:val="13"/>
                    <w:rPr>
                      <w:color w:val="auto"/>
                      <w:highlight w:val="none"/>
                    </w:rPr>
                  </w:pPr>
                  <w:r>
                    <w:rPr>
                      <w:color w:val="auto"/>
                      <w:highlight w:val="none"/>
                    </w:rPr>
                    <w:t>中-强</w:t>
                  </w:r>
                </w:p>
              </w:tc>
              <w:tc>
                <w:tcPr>
                  <w:tcW w:w="993" w:type="pct"/>
                  <w:tcBorders>
                    <w:top w:val="single" w:color="auto" w:sz="4" w:space="0"/>
                    <w:left w:val="single" w:color="auto" w:sz="4" w:space="0"/>
                    <w:bottom w:val="single" w:color="auto" w:sz="4" w:space="0"/>
                    <w:right w:val="single" w:color="auto" w:sz="4" w:space="0"/>
                    <w:tl2br w:val="nil"/>
                    <w:tr2bl w:val="nil"/>
                  </w:tcBorders>
                  <w:vAlign w:val="center"/>
                </w:tcPr>
                <w:p w14:paraId="2715A10C">
                  <w:pPr>
                    <w:pStyle w:val="13"/>
                    <w:rPr>
                      <w:color w:val="auto"/>
                      <w:highlight w:val="none"/>
                    </w:rPr>
                  </w:pPr>
                  <w:r>
                    <w:rPr>
                      <w:color w:val="auto"/>
                      <w:highlight w:val="none"/>
                    </w:rPr>
                    <w:t>难</w:t>
                  </w:r>
                </w:p>
              </w:tc>
              <w:tc>
                <w:tcPr>
                  <w:tcW w:w="1042"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03D0053B">
                  <w:pPr>
                    <w:pStyle w:val="13"/>
                    <w:rPr>
                      <w:color w:val="auto"/>
                      <w:highlight w:val="none"/>
                    </w:rPr>
                  </w:pPr>
                </w:p>
              </w:tc>
              <w:tc>
                <w:tcPr>
                  <w:tcW w:w="1164"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5E6560EE">
                  <w:pPr>
                    <w:pStyle w:val="13"/>
                    <w:rPr>
                      <w:color w:val="auto"/>
                      <w:highlight w:val="none"/>
                    </w:rPr>
                  </w:pPr>
                </w:p>
              </w:tc>
            </w:tr>
            <w:tr w14:paraId="4A3AC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96"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4489727D">
                  <w:pPr>
                    <w:pStyle w:val="13"/>
                    <w:rPr>
                      <w:color w:val="auto"/>
                      <w:highlight w:val="none"/>
                    </w:rPr>
                  </w:pPr>
                </w:p>
              </w:tc>
              <w:tc>
                <w:tcPr>
                  <w:tcW w:w="1103" w:type="pct"/>
                  <w:tcBorders>
                    <w:top w:val="single" w:color="auto" w:sz="4" w:space="0"/>
                    <w:left w:val="single" w:color="auto" w:sz="4" w:space="0"/>
                    <w:bottom w:val="single" w:color="auto" w:sz="4" w:space="0"/>
                    <w:right w:val="single" w:color="auto" w:sz="4" w:space="0"/>
                    <w:tl2br w:val="nil"/>
                    <w:tr2bl w:val="nil"/>
                  </w:tcBorders>
                  <w:vAlign w:val="center"/>
                </w:tcPr>
                <w:p w14:paraId="67FA0CBC">
                  <w:pPr>
                    <w:pStyle w:val="13"/>
                    <w:rPr>
                      <w:color w:val="auto"/>
                      <w:highlight w:val="none"/>
                    </w:rPr>
                  </w:pPr>
                  <w:r>
                    <w:rPr>
                      <w:color w:val="auto"/>
                      <w:highlight w:val="none"/>
                    </w:rPr>
                    <w:t>强</w:t>
                  </w:r>
                </w:p>
              </w:tc>
              <w:tc>
                <w:tcPr>
                  <w:tcW w:w="993" w:type="pct"/>
                  <w:tcBorders>
                    <w:top w:val="single" w:color="auto" w:sz="4" w:space="0"/>
                    <w:left w:val="single" w:color="auto" w:sz="4" w:space="0"/>
                    <w:bottom w:val="single" w:color="auto" w:sz="4" w:space="0"/>
                    <w:right w:val="single" w:color="auto" w:sz="4" w:space="0"/>
                    <w:tl2br w:val="nil"/>
                    <w:tr2bl w:val="nil"/>
                  </w:tcBorders>
                  <w:vAlign w:val="center"/>
                </w:tcPr>
                <w:p w14:paraId="7EC774A4">
                  <w:pPr>
                    <w:pStyle w:val="13"/>
                    <w:rPr>
                      <w:color w:val="auto"/>
                      <w:highlight w:val="none"/>
                    </w:rPr>
                  </w:pPr>
                  <w:r>
                    <w:rPr>
                      <w:color w:val="auto"/>
                      <w:highlight w:val="none"/>
                    </w:rPr>
                    <w:t>易</w:t>
                  </w:r>
                </w:p>
              </w:tc>
              <w:tc>
                <w:tcPr>
                  <w:tcW w:w="1042"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44D2AA71">
                  <w:pPr>
                    <w:pStyle w:val="13"/>
                    <w:rPr>
                      <w:color w:val="auto"/>
                      <w:highlight w:val="none"/>
                    </w:rPr>
                  </w:pPr>
                </w:p>
              </w:tc>
              <w:tc>
                <w:tcPr>
                  <w:tcW w:w="1164"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60E19C6C">
                  <w:pPr>
                    <w:pStyle w:val="13"/>
                    <w:rPr>
                      <w:color w:val="auto"/>
                      <w:highlight w:val="none"/>
                    </w:rPr>
                  </w:pPr>
                </w:p>
              </w:tc>
            </w:tr>
            <w:tr w14:paraId="78A0F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96"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4AEDB84E">
                  <w:pPr>
                    <w:pStyle w:val="13"/>
                    <w:rPr>
                      <w:color w:val="auto"/>
                      <w:highlight w:val="none"/>
                    </w:rPr>
                  </w:pPr>
                  <w:r>
                    <w:rPr>
                      <w:color w:val="auto"/>
                      <w:highlight w:val="none"/>
                    </w:rPr>
                    <w:t>一般防渗区</w:t>
                  </w:r>
                </w:p>
              </w:tc>
              <w:tc>
                <w:tcPr>
                  <w:tcW w:w="1103" w:type="pct"/>
                  <w:tcBorders>
                    <w:top w:val="single" w:color="auto" w:sz="4" w:space="0"/>
                    <w:left w:val="single" w:color="auto" w:sz="4" w:space="0"/>
                    <w:bottom w:val="single" w:color="auto" w:sz="4" w:space="0"/>
                    <w:right w:val="single" w:color="auto" w:sz="4" w:space="0"/>
                    <w:tl2br w:val="nil"/>
                    <w:tr2bl w:val="nil"/>
                  </w:tcBorders>
                  <w:vAlign w:val="center"/>
                </w:tcPr>
                <w:p w14:paraId="1CC46181">
                  <w:pPr>
                    <w:pStyle w:val="13"/>
                    <w:rPr>
                      <w:color w:val="auto"/>
                      <w:highlight w:val="none"/>
                    </w:rPr>
                  </w:pPr>
                  <w:r>
                    <w:rPr>
                      <w:color w:val="auto"/>
                      <w:highlight w:val="none"/>
                    </w:rPr>
                    <w:t>弱</w:t>
                  </w:r>
                </w:p>
              </w:tc>
              <w:tc>
                <w:tcPr>
                  <w:tcW w:w="993" w:type="pct"/>
                  <w:tcBorders>
                    <w:top w:val="single" w:color="auto" w:sz="4" w:space="0"/>
                    <w:left w:val="single" w:color="auto" w:sz="4" w:space="0"/>
                    <w:bottom w:val="single" w:color="auto" w:sz="4" w:space="0"/>
                    <w:right w:val="single" w:color="auto" w:sz="4" w:space="0"/>
                    <w:tl2br w:val="nil"/>
                    <w:tr2bl w:val="nil"/>
                  </w:tcBorders>
                  <w:vAlign w:val="center"/>
                </w:tcPr>
                <w:p w14:paraId="34DD4B2F">
                  <w:pPr>
                    <w:pStyle w:val="13"/>
                    <w:rPr>
                      <w:color w:val="auto"/>
                      <w:highlight w:val="none"/>
                    </w:rPr>
                  </w:pPr>
                  <w:r>
                    <w:rPr>
                      <w:color w:val="auto"/>
                      <w:highlight w:val="none"/>
                    </w:rPr>
                    <w:t>易-难</w:t>
                  </w:r>
                </w:p>
              </w:tc>
              <w:tc>
                <w:tcPr>
                  <w:tcW w:w="1042"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289A2231">
                  <w:pPr>
                    <w:pStyle w:val="13"/>
                    <w:rPr>
                      <w:color w:val="auto"/>
                      <w:highlight w:val="none"/>
                    </w:rPr>
                  </w:pPr>
                  <w:r>
                    <w:rPr>
                      <w:color w:val="auto"/>
                      <w:highlight w:val="none"/>
                    </w:rPr>
                    <w:t>其他类型</w:t>
                  </w:r>
                </w:p>
              </w:tc>
              <w:tc>
                <w:tcPr>
                  <w:tcW w:w="1164" w:type="pct"/>
                  <w:vMerge w:val="restart"/>
                  <w:tcBorders>
                    <w:top w:val="single" w:color="auto" w:sz="4" w:space="0"/>
                    <w:left w:val="single" w:color="auto" w:sz="4" w:space="0"/>
                    <w:bottom w:val="single" w:color="auto" w:sz="4" w:space="0"/>
                    <w:right w:val="single" w:color="auto" w:sz="4" w:space="0"/>
                    <w:tl2br w:val="nil"/>
                    <w:tr2bl w:val="nil"/>
                  </w:tcBorders>
                  <w:vAlign w:val="center"/>
                </w:tcPr>
                <w:p w14:paraId="3C1E7CA8">
                  <w:pPr>
                    <w:pStyle w:val="13"/>
                    <w:rPr>
                      <w:color w:val="auto"/>
                      <w:highlight w:val="none"/>
                    </w:rPr>
                  </w:pPr>
                  <w:r>
                    <w:rPr>
                      <w:color w:val="auto"/>
                      <w:highlight w:val="none"/>
                    </w:rPr>
                    <w:t>等效黏土防渗层Mb≥1.5m，K≤10</w:t>
                  </w:r>
                  <w:r>
                    <w:rPr>
                      <w:color w:val="auto"/>
                      <w:highlight w:val="none"/>
                      <w:vertAlign w:val="superscript"/>
                    </w:rPr>
                    <w:t>-7</w:t>
                  </w:r>
                  <w:r>
                    <w:rPr>
                      <w:color w:val="auto"/>
                      <w:highlight w:val="none"/>
                    </w:rPr>
                    <w:t>cm/s；或参照GB</w:t>
                  </w:r>
                  <w:r>
                    <w:rPr>
                      <w:rFonts w:hint="eastAsia"/>
                      <w:color w:val="auto"/>
                      <w:highlight w:val="none"/>
                    </w:rPr>
                    <w:t xml:space="preserve"> </w:t>
                  </w:r>
                  <w:r>
                    <w:rPr>
                      <w:color w:val="auto"/>
                      <w:highlight w:val="none"/>
                    </w:rPr>
                    <w:t>16889执行</w:t>
                  </w:r>
                </w:p>
              </w:tc>
            </w:tr>
            <w:tr w14:paraId="2DEDD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96"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53418A82">
                  <w:pPr>
                    <w:pStyle w:val="13"/>
                    <w:rPr>
                      <w:color w:val="auto"/>
                      <w:highlight w:val="none"/>
                    </w:rPr>
                  </w:pPr>
                </w:p>
              </w:tc>
              <w:tc>
                <w:tcPr>
                  <w:tcW w:w="1103" w:type="pct"/>
                  <w:tcBorders>
                    <w:top w:val="single" w:color="auto" w:sz="4" w:space="0"/>
                    <w:left w:val="single" w:color="auto" w:sz="4" w:space="0"/>
                    <w:bottom w:val="single" w:color="auto" w:sz="4" w:space="0"/>
                    <w:right w:val="single" w:color="auto" w:sz="4" w:space="0"/>
                    <w:tl2br w:val="nil"/>
                    <w:tr2bl w:val="nil"/>
                  </w:tcBorders>
                  <w:vAlign w:val="center"/>
                </w:tcPr>
                <w:p w14:paraId="146B6D54">
                  <w:pPr>
                    <w:pStyle w:val="13"/>
                    <w:rPr>
                      <w:color w:val="auto"/>
                      <w:highlight w:val="none"/>
                    </w:rPr>
                  </w:pPr>
                  <w:r>
                    <w:rPr>
                      <w:color w:val="auto"/>
                      <w:highlight w:val="none"/>
                    </w:rPr>
                    <w:t>中-强</w:t>
                  </w:r>
                </w:p>
              </w:tc>
              <w:tc>
                <w:tcPr>
                  <w:tcW w:w="993" w:type="pct"/>
                  <w:tcBorders>
                    <w:top w:val="single" w:color="auto" w:sz="4" w:space="0"/>
                    <w:left w:val="single" w:color="auto" w:sz="4" w:space="0"/>
                    <w:bottom w:val="single" w:color="auto" w:sz="4" w:space="0"/>
                    <w:right w:val="single" w:color="auto" w:sz="4" w:space="0"/>
                    <w:tl2br w:val="nil"/>
                    <w:tr2bl w:val="nil"/>
                  </w:tcBorders>
                  <w:vAlign w:val="center"/>
                </w:tcPr>
                <w:p w14:paraId="784DE9A8">
                  <w:pPr>
                    <w:pStyle w:val="13"/>
                    <w:rPr>
                      <w:color w:val="auto"/>
                      <w:highlight w:val="none"/>
                    </w:rPr>
                  </w:pPr>
                  <w:r>
                    <w:rPr>
                      <w:color w:val="auto"/>
                      <w:highlight w:val="none"/>
                    </w:rPr>
                    <w:t>难</w:t>
                  </w:r>
                </w:p>
              </w:tc>
              <w:tc>
                <w:tcPr>
                  <w:tcW w:w="1042"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6009D06F">
                  <w:pPr>
                    <w:pStyle w:val="13"/>
                    <w:rPr>
                      <w:color w:val="auto"/>
                      <w:highlight w:val="none"/>
                    </w:rPr>
                  </w:pPr>
                </w:p>
              </w:tc>
              <w:tc>
                <w:tcPr>
                  <w:tcW w:w="1164"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738E1CA5">
                  <w:pPr>
                    <w:pStyle w:val="13"/>
                    <w:rPr>
                      <w:color w:val="auto"/>
                      <w:highlight w:val="none"/>
                    </w:rPr>
                  </w:pPr>
                </w:p>
              </w:tc>
            </w:tr>
            <w:tr w14:paraId="0B9D4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96"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19301BF3">
                  <w:pPr>
                    <w:pStyle w:val="13"/>
                    <w:rPr>
                      <w:color w:val="auto"/>
                      <w:highlight w:val="none"/>
                    </w:rPr>
                  </w:pPr>
                </w:p>
              </w:tc>
              <w:tc>
                <w:tcPr>
                  <w:tcW w:w="1103" w:type="pct"/>
                  <w:tcBorders>
                    <w:top w:val="single" w:color="auto" w:sz="4" w:space="0"/>
                    <w:left w:val="single" w:color="auto" w:sz="4" w:space="0"/>
                    <w:bottom w:val="single" w:color="auto" w:sz="4" w:space="0"/>
                    <w:right w:val="single" w:color="auto" w:sz="4" w:space="0"/>
                    <w:tl2br w:val="nil"/>
                    <w:tr2bl w:val="nil"/>
                  </w:tcBorders>
                  <w:vAlign w:val="center"/>
                </w:tcPr>
                <w:p w14:paraId="65ACF4C5">
                  <w:pPr>
                    <w:pStyle w:val="13"/>
                    <w:rPr>
                      <w:color w:val="auto"/>
                      <w:highlight w:val="none"/>
                    </w:rPr>
                  </w:pPr>
                  <w:r>
                    <w:rPr>
                      <w:color w:val="auto"/>
                      <w:highlight w:val="none"/>
                    </w:rPr>
                    <w:t>中</w:t>
                  </w:r>
                </w:p>
              </w:tc>
              <w:tc>
                <w:tcPr>
                  <w:tcW w:w="993" w:type="pct"/>
                  <w:tcBorders>
                    <w:top w:val="single" w:color="auto" w:sz="4" w:space="0"/>
                    <w:left w:val="single" w:color="auto" w:sz="4" w:space="0"/>
                    <w:bottom w:val="single" w:color="auto" w:sz="4" w:space="0"/>
                    <w:right w:val="single" w:color="auto" w:sz="4" w:space="0"/>
                    <w:tl2br w:val="nil"/>
                    <w:tr2bl w:val="nil"/>
                  </w:tcBorders>
                  <w:vAlign w:val="center"/>
                </w:tcPr>
                <w:p w14:paraId="37370BF3">
                  <w:pPr>
                    <w:pStyle w:val="13"/>
                    <w:rPr>
                      <w:color w:val="auto"/>
                      <w:highlight w:val="none"/>
                    </w:rPr>
                  </w:pPr>
                  <w:r>
                    <w:rPr>
                      <w:color w:val="auto"/>
                      <w:highlight w:val="none"/>
                    </w:rPr>
                    <w:t>易</w:t>
                  </w:r>
                </w:p>
              </w:tc>
              <w:tc>
                <w:tcPr>
                  <w:tcW w:w="1042" w:type="pct"/>
                  <w:tcBorders>
                    <w:top w:val="single" w:color="auto" w:sz="4" w:space="0"/>
                    <w:left w:val="single" w:color="auto" w:sz="4" w:space="0"/>
                    <w:bottom w:val="single" w:color="auto" w:sz="4" w:space="0"/>
                    <w:right w:val="single" w:color="auto" w:sz="4" w:space="0"/>
                    <w:tl2br w:val="nil"/>
                    <w:tr2bl w:val="nil"/>
                  </w:tcBorders>
                  <w:vAlign w:val="center"/>
                </w:tcPr>
                <w:p w14:paraId="55D22FB5">
                  <w:pPr>
                    <w:pStyle w:val="13"/>
                    <w:rPr>
                      <w:color w:val="auto"/>
                      <w:highlight w:val="none"/>
                    </w:rPr>
                  </w:pPr>
                  <w:r>
                    <w:rPr>
                      <w:color w:val="auto"/>
                      <w:highlight w:val="none"/>
                    </w:rPr>
                    <w:t>重金属、持久性</w:t>
                  </w:r>
                </w:p>
              </w:tc>
              <w:tc>
                <w:tcPr>
                  <w:tcW w:w="1164"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7B7D2910">
                  <w:pPr>
                    <w:pStyle w:val="13"/>
                    <w:rPr>
                      <w:color w:val="auto"/>
                      <w:highlight w:val="none"/>
                    </w:rPr>
                  </w:pPr>
                </w:p>
              </w:tc>
            </w:tr>
            <w:tr w14:paraId="32265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96"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2B3CD6D2">
                  <w:pPr>
                    <w:pStyle w:val="13"/>
                    <w:rPr>
                      <w:color w:val="auto"/>
                      <w:highlight w:val="none"/>
                    </w:rPr>
                  </w:pPr>
                </w:p>
              </w:tc>
              <w:tc>
                <w:tcPr>
                  <w:tcW w:w="1103" w:type="pct"/>
                  <w:tcBorders>
                    <w:top w:val="single" w:color="auto" w:sz="4" w:space="0"/>
                    <w:left w:val="single" w:color="auto" w:sz="4" w:space="0"/>
                    <w:bottom w:val="single" w:color="auto" w:sz="4" w:space="0"/>
                    <w:right w:val="single" w:color="auto" w:sz="4" w:space="0"/>
                    <w:tl2br w:val="nil"/>
                    <w:tr2bl w:val="nil"/>
                  </w:tcBorders>
                  <w:vAlign w:val="center"/>
                </w:tcPr>
                <w:p w14:paraId="580A075C">
                  <w:pPr>
                    <w:pStyle w:val="13"/>
                    <w:rPr>
                      <w:color w:val="auto"/>
                      <w:highlight w:val="none"/>
                    </w:rPr>
                  </w:pPr>
                  <w:r>
                    <w:rPr>
                      <w:color w:val="auto"/>
                      <w:highlight w:val="none"/>
                    </w:rPr>
                    <w:t>强</w:t>
                  </w:r>
                </w:p>
              </w:tc>
              <w:tc>
                <w:tcPr>
                  <w:tcW w:w="993" w:type="pct"/>
                  <w:tcBorders>
                    <w:top w:val="single" w:color="auto" w:sz="4" w:space="0"/>
                    <w:left w:val="single" w:color="auto" w:sz="4" w:space="0"/>
                    <w:bottom w:val="single" w:color="auto" w:sz="4" w:space="0"/>
                    <w:right w:val="single" w:color="auto" w:sz="4" w:space="0"/>
                    <w:tl2br w:val="nil"/>
                    <w:tr2bl w:val="nil"/>
                  </w:tcBorders>
                  <w:vAlign w:val="center"/>
                </w:tcPr>
                <w:p w14:paraId="13C942CB">
                  <w:pPr>
                    <w:pStyle w:val="13"/>
                    <w:rPr>
                      <w:color w:val="auto"/>
                      <w:highlight w:val="none"/>
                    </w:rPr>
                  </w:pPr>
                  <w:r>
                    <w:rPr>
                      <w:color w:val="auto"/>
                      <w:highlight w:val="none"/>
                    </w:rPr>
                    <w:t>易</w:t>
                  </w:r>
                </w:p>
              </w:tc>
              <w:tc>
                <w:tcPr>
                  <w:tcW w:w="1042" w:type="pct"/>
                  <w:tcBorders>
                    <w:top w:val="single" w:color="auto" w:sz="4" w:space="0"/>
                    <w:left w:val="single" w:color="auto" w:sz="4" w:space="0"/>
                    <w:bottom w:val="single" w:color="auto" w:sz="4" w:space="0"/>
                    <w:right w:val="single" w:color="auto" w:sz="4" w:space="0"/>
                    <w:tl2br w:val="nil"/>
                    <w:tr2bl w:val="nil"/>
                  </w:tcBorders>
                  <w:vAlign w:val="center"/>
                </w:tcPr>
                <w:p w14:paraId="2B142E94">
                  <w:pPr>
                    <w:pStyle w:val="13"/>
                    <w:rPr>
                      <w:color w:val="auto"/>
                      <w:highlight w:val="none"/>
                    </w:rPr>
                  </w:pPr>
                  <w:r>
                    <w:rPr>
                      <w:color w:val="auto"/>
                      <w:highlight w:val="none"/>
                    </w:rPr>
                    <w:t>有机物污染物</w:t>
                  </w:r>
                </w:p>
              </w:tc>
              <w:tc>
                <w:tcPr>
                  <w:tcW w:w="1164" w:type="pct"/>
                  <w:vMerge w:val="continue"/>
                  <w:tcBorders>
                    <w:top w:val="single" w:color="auto" w:sz="4" w:space="0"/>
                    <w:left w:val="single" w:color="auto" w:sz="4" w:space="0"/>
                    <w:bottom w:val="single" w:color="auto" w:sz="4" w:space="0"/>
                    <w:right w:val="single" w:color="auto" w:sz="4" w:space="0"/>
                    <w:tl2br w:val="nil"/>
                    <w:tr2bl w:val="nil"/>
                  </w:tcBorders>
                  <w:vAlign w:val="center"/>
                </w:tcPr>
                <w:p w14:paraId="404BAC85">
                  <w:pPr>
                    <w:pStyle w:val="13"/>
                    <w:rPr>
                      <w:color w:val="auto"/>
                      <w:highlight w:val="none"/>
                    </w:rPr>
                  </w:pPr>
                </w:p>
              </w:tc>
            </w:tr>
            <w:tr w14:paraId="04A48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696" w:type="pct"/>
                  <w:tcBorders>
                    <w:top w:val="single" w:color="auto" w:sz="4" w:space="0"/>
                    <w:left w:val="single" w:color="auto" w:sz="4" w:space="0"/>
                    <w:bottom w:val="single" w:color="auto" w:sz="4" w:space="0"/>
                    <w:right w:val="single" w:color="auto" w:sz="4" w:space="0"/>
                    <w:tl2br w:val="nil"/>
                    <w:tr2bl w:val="nil"/>
                  </w:tcBorders>
                  <w:vAlign w:val="center"/>
                </w:tcPr>
                <w:p w14:paraId="03368B82">
                  <w:pPr>
                    <w:pStyle w:val="13"/>
                    <w:rPr>
                      <w:color w:val="auto"/>
                      <w:highlight w:val="none"/>
                    </w:rPr>
                  </w:pPr>
                  <w:r>
                    <w:rPr>
                      <w:color w:val="auto"/>
                      <w:highlight w:val="none"/>
                    </w:rPr>
                    <w:t>简单防渗区</w:t>
                  </w:r>
                </w:p>
              </w:tc>
              <w:tc>
                <w:tcPr>
                  <w:tcW w:w="1103" w:type="pct"/>
                  <w:tcBorders>
                    <w:top w:val="single" w:color="auto" w:sz="4" w:space="0"/>
                    <w:left w:val="single" w:color="auto" w:sz="4" w:space="0"/>
                    <w:bottom w:val="single" w:color="auto" w:sz="4" w:space="0"/>
                    <w:right w:val="single" w:color="auto" w:sz="4" w:space="0"/>
                    <w:tl2br w:val="nil"/>
                    <w:tr2bl w:val="nil"/>
                  </w:tcBorders>
                  <w:vAlign w:val="center"/>
                </w:tcPr>
                <w:p w14:paraId="5E929965">
                  <w:pPr>
                    <w:pStyle w:val="13"/>
                    <w:rPr>
                      <w:color w:val="auto"/>
                      <w:highlight w:val="none"/>
                    </w:rPr>
                  </w:pPr>
                  <w:r>
                    <w:rPr>
                      <w:rFonts w:hint="eastAsia"/>
                      <w:color w:val="auto"/>
                      <w:highlight w:val="none"/>
                    </w:rPr>
                    <w:t>中-</w:t>
                  </w:r>
                  <w:r>
                    <w:rPr>
                      <w:color w:val="auto"/>
                      <w:highlight w:val="none"/>
                    </w:rPr>
                    <w:t>强</w:t>
                  </w:r>
                </w:p>
              </w:tc>
              <w:tc>
                <w:tcPr>
                  <w:tcW w:w="993" w:type="pct"/>
                  <w:tcBorders>
                    <w:top w:val="single" w:color="auto" w:sz="4" w:space="0"/>
                    <w:left w:val="single" w:color="auto" w:sz="4" w:space="0"/>
                    <w:bottom w:val="single" w:color="auto" w:sz="4" w:space="0"/>
                    <w:right w:val="single" w:color="auto" w:sz="4" w:space="0"/>
                    <w:tl2br w:val="nil"/>
                    <w:tr2bl w:val="nil"/>
                  </w:tcBorders>
                  <w:vAlign w:val="center"/>
                </w:tcPr>
                <w:p w14:paraId="3913A71D">
                  <w:pPr>
                    <w:pStyle w:val="13"/>
                    <w:rPr>
                      <w:color w:val="auto"/>
                      <w:highlight w:val="none"/>
                    </w:rPr>
                  </w:pPr>
                  <w:r>
                    <w:rPr>
                      <w:color w:val="auto"/>
                      <w:highlight w:val="none"/>
                    </w:rPr>
                    <w:t>易</w:t>
                  </w:r>
                </w:p>
              </w:tc>
              <w:tc>
                <w:tcPr>
                  <w:tcW w:w="1042" w:type="pct"/>
                  <w:tcBorders>
                    <w:top w:val="single" w:color="auto" w:sz="4" w:space="0"/>
                    <w:left w:val="single" w:color="auto" w:sz="4" w:space="0"/>
                    <w:bottom w:val="single" w:color="auto" w:sz="4" w:space="0"/>
                    <w:right w:val="single" w:color="auto" w:sz="4" w:space="0"/>
                    <w:tl2br w:val="nil"/>
                    <w:tr2bl w:val="nil"/>
                  </w:tcBorders>
                  <w:vAlign w:val="center"/>
                </w:tcPr>
                <w:p w14:paraId="41FED1D6">
                  <w:pPr>
                    <w:pStyle w:val="13"/>
                    <w:rPr>
                      <w:color w:val="auto"/>
                      <w:highlight w:val="none"/>
                    </w:rPr>
                  </w:pPr>
                  <w:r>
                    <w:rPr>
                      <w:color w:val="auto"/>
                      <w:highlight w:val="none"/>
                    </w:rPr>
                    <w:t>其他类型</w:t>
                  </w:r>
                </w:p>
              </w:tc>
              <w:tc>
                <w:tcPr>
                  <w:tcW w:w="1164" w:type="pct"/>
                  <w:tcBorders>
                    <w:top w:val="single" w:color="auto" w:sz="4" w:space="0"/>
                    <w:left w:val="single" w:color="auto" w:sz="4" w:space="0"/>
                    <w:bottom w:val="single" w:color="auto" w:sz="4" w:space="0"/>
                    <w:right w:val="single" w:color="auto" w:sz="4" w:space="0"/>
                    <w:tl2br w:val="nil"/>
                    <w:tr2bl w:val="nil"/>
                  </w:tcBorders>
                  <w:vAlign w:val="center"/>
                </w:tcPr>
                <w:p w14:paraId="67C4D176">
                  <w:pPr>
                    <w:pStyle w:val="13"/>
                    <w:rPr>
                      <w:color w:val="auto"/>
                      <w:highlight w:val="none"/>
                    </w:rPr>
                  </w:pPr>
                  <w:r>
                    <w:rPr>
                      <w:color w:val="auto"/>
                      <w:highlight w:val="none"/>
                    </w:rPr>
                    <w:t>一般地面硬化</w:t>
                  </w:r>
                </w:p>
              </w:tc>
            </w:tr>
          </w:tbl>
          <w:p w14:paraId="37524F40">
            <w:pPr>
              <w:ind w:firstLine="480"/>
              <w:rPr>
                <w:color w:val="auto"/>
                <w:highlight w:val="none"/>
              </w:rPr>
            </w:pPr>
            <w:r>
              <w:rPr>
                <w:rFonts w:hint="eastAsia"/>
                <w:color w:val="auto"/>
                <w:highlight w:val="none"/>
              </w:rPr>
              <w:t>项目</w:t>
            </w:r>
            <w:r>
              <w:rPr>
                <w:color w:val="auto"/>
                <w:highlight w:val="none"/>
              </w:rPr>
              <w:t>对</w:t>
            </w:r>
            <w:r>
              <w:rPr>
                <w:rFonts w:hint="eastAsia"/>
                <w:color w:val="auto"/>
                <w:highlight w:val="none"/>
              </w:rPr>
              <w:t>危废库</w:t>
            </w:r>
            <w:r>
              <w:rPr>
                <w:color w:val="auto"/>
                <w:highlight w:val="none"/>
              </w:rPr>
              <w:t>设置重点防渗，</w:t>
            </w:r>
            <w:r>
              <w:rPr>
                <w:rFonts w:hint="eastAsia"/>
                <w:color w:val="auto"/>
                <w:highlight w:val="none"/>
              </w:rPr>
              <w:t>原料仓库、加工车间、研发办公楼、成品仓库、固废库设置一般防渗，其他区域设置简单防渗，</w:t>
            </w:r>
            <w:r>
              <w:rPr>
                <w:color w:val="auto"/>
                <w:highlight w:val="none"/>
              </w:rPr>
              <w:t>防渗措施如下：</w:t>
            </w:r>
          </w:p>
          <w:p w14:paraId="6BB71B3F">
            <w:pPr>
              <w:pStyle w:val="14"/>
              <w:spacing w:before="156"/>
              <w:rPr>
                <w:color w:val="auto"/>
                <w:highlight w:val="none"/>
              </w:rPr>
            </w:pPr>
            <w:r>
              <w:rPr>
                <w:color w:val="auto"/>
                <w:highlight w:val="none"/>
              </w:rPr>
              <w:t>表4-</w:t>
            </w:r>
            <w:r>
              <w:rPr>
                <w:rFonts w:hint="eastAsia"/>
                <w:color w:val="auto"/>
                <w:highlight w:val="none"/>
                <w:lang w:val="en-US" w:eastAsia="zh-CN"/>
              </w:rPr>
              <w:t>20</w:t>
            </w:r>
            <w:r>
              <w:rPr>
                <w:color w:val="auto"/>
                <w:highlight w:val="none"/>
              </w:rPr>
              <w:t xml:space="preserve">  地下水、土壤项目分区保护措施一览表</w:t>
            </w:r>
          </w:p>
          <w:tbl>
            <w:tblPr>
              <w:tblStyle w:val="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73"/>
              <w:gridCol w:w="1897"/>
              <w:gridCol w:w="6097"/>
            </w:tblGrid>
            <w:tr w14:paraId="689AC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92" w:type="pct"/>
                  <w:tcBorders>
                    <w:top w:val="single" w:color="auto" w:sz="4" w:space="0"/>
                    <w:left w:val="single" w:color="auto" w:sz="4" w:space="0"/>
                    <w:bottom w:val="single" w:color="auto" w:sz="4" w:space="0"/>
                    <w:right w:val="single" w:color="auto" w:sz="4" w:space="0"/>
                    <w:tl2br w:val="nil"/>
                    <w:tr2bl w:val="nil"/>
                  </w:tcBorders>
                  <w:vAlign w:val="center"/>
                </w:tcPr>
                <w:p w14:paraId="6A9D2749">
                  <w:pPr>
                    <w:pStyle w:val="13"/>
                    <w:rPr>
                      <w:b/>
                      <w:bCs/>
                      <w:color w:val="auto"/>
                      <w:highlight w:val="none"/>
                    </w:rPr>
                  </w:pPr>
                  <w:r>
                    <w:rPr>
                      <w:b/>
                      <w:bCs/>
                      <w:color w:val="auto"/>
                      <w:highlight w:val="none"/>
                    </w:rPr>
                    <w:t>分区</w:t>
                  </w:r>
                </w:p>
              </w:tc>
              <w:tc>
                <w:tcPr>
                  <w:tcW w:w="1046" w:type="pct"/>
                  <w:tcBorders>
                    <w:top w:val="single" w:color="auto" w:sz="4" w:space="0"/>
                    <w:left w:val="single" w:color="auto" w:sz="4" w:space="0"/>
                    <w:bottom w:val="single" w:color="auto" w:sz="4" w:space="0"/>
                    <w:right w:val="single" w:color="auto" w:sz="4" w:space="0"/>
                    <w:tl2br w:val="nil"/>
                    <w:tr2bl w:val="nil"/>
                  </w:tcBorders>
                  <w:vAlign w:val="center"/>
                </w:tcPr>
                <w:p w14:paraId="29F90ED6">
                  <w:pPr>
                    <w:pStyle w:val="13"/>
                    <w:rPr>
                      <w:b/>
                      <w:bCs/>
                      <w:color w:val="auto"/>
                      <w:highlight w:val="none"/>
                    </w:rPr>
                  </w:pPr>
                  <w:r>
                    <w:rPr>
                      <w:b/>
                      <w:bCs/>
                      <w:color w:val="auto"/>
                      <w:highlight w:val="none"/>
                    </w:rPr>
                    <w:t>区域</w:t>
                  </w:r>
                </w:p>
              </w:tc>
              <w:tc>
                <w:tcPr>
                  <w:tcW w:w="3361" w:type="pct"/>
                  <w:tcBorders>
                    <w:top w:val="single" w:color="auto" w:sz="4" w:space="0"/>
                    <w:left w:val="single" w:color="auto" w:sz="4" w:space="0"/>
                    <w:bottom w:val="single" w:color="auto" w:sz="4" w:space="0"/>
                    <w:right w:val="single" w:color="auto" w:sz="4" w:space="0"/>
                    <w:tl2br w:val="nil"/>
                    <w:tr2bl w:val="nil"/>
                  </w:tcBorders>
                  <w:vAlign w:val="center"/>
                </w:tcPr>
                <w:p w14:paraId="52BAF01F">
                  <w:pPr>
                    <w:pStyle w:val="13"/>
                    <w:rPr>
                      <w:b/>
                      <w:bCs/>
                      <w:color w:val="auto"/>
                      <w:highlight w:val="none"/>
                    </w:rPr>
                  </w:pPr>
                  <w:r>
                    <w:rPr>
                      <w:b/>
                      <w:bCs/>
                      <w:color w:val="auto"/>
                      <w:highlight w:val="none"/>
                    </w:rPr>
                    <w:t>防护措施</w:t>
                  </w:r>
                </w:p>
              </w:tc>
            </w:tr>
            <w:tr w14:paraId="67787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92" w:type="pct"/>
                  <w:tcBorders>
                    <w:top w:val="single" w:color="auto" w:sz="4" w:space="0"/>
                    <w:left w:val="single" w:color="auto" w:sz="4" w:space="0"/>
                    <w:bottom w:val="single" w:color="auto" w:sz="4" w:space="0"/>
                    <w:right w:val="single" w:color="auto" w:sz="4" w:space="0"/>
                    <w:tl2br w:val="nil"/>
                    <w:tr2bl w:val="nil"/>
                  </w:tcBorders>
                  <w:vAlign w:val="center"/>
                </w:tcPr>
                <w:p w14:paraId="13E86B57">
                  <w:pPr>
                    <w:pStyle w:val="13"/>
                    <w:rPr>
                      <w:color w:val="auto"/>
                      <w:highlight w:val="none"/>
                    </w:rPr>
                  </w:pPr>
                  <w:r>
                    <w:rPr>
                      <w:rFonts w:hint="eastAsia"/>
                      <w:color w:val="auto"/>
                      <w:highlight w:val="none"/>
                    </w:rPr>
                    <w:t>重点</w:t>
                  </w:r>
                  <w:r>
                    <w:rPr>
                      <w:color w:val="auto"/>
                      <w:highlight w:val="none"/>
                    </w:rPr>
                    <w:t>防渗区</w:t>
                  </w:r>
                </w:p>
              </w:tc>
              <w:tc>
                <w:tcPr>
                  <w:tcW w:w="1046" w:type="pct"/>
                  <w:tcBorders>
                    <w:top w:val="single" w:color="auto" w:sz="4" w:space="0"/>
                    <w:left w:val="single" w:color="auto" w:sz="4" w:space="0"/>
                    <w:bottom w:val="single" w:color="auto" w:sz="4" w:space="0"/>
                    <w:right w:val="single" w:color="auto" w:sz="4" w:space="0"/>
                    <w:tl2br w:val="nil"/>
                    <w:tr2bl w:val="nil"/>
                  </w:tcBorders>
                  <w:vAlign w:val="center"/>
                </w:tcPr>
                <w:p w14:paraId="566AAC44">
                  <w:pPr>
                    <w:pStyle w:val="13"/>
                    <w:rPr>
                      <w:color w:val="auto"/>
                      <w:highlight w:val="none"/>
                    </w:rPr>
                  </w:pPr>
                  <w:r>
                    <w:rPr>
                      <w:rFonts w:hint="eastAsia"/>
                      <w:color w:val="auto"/>
                      <w:highlight w:val="none"/>
                    </w:rPr>
                    <w:t>危废库</w:t>
                  </w:r>
                </w:p>
              </w:tc>
              <w:tc>
                <w:tcPr>
                  <w:tcW w:w="3361" w:type="pct"/>
                  <w:tcBorders>
                    <w:top w:val="single" w:color="auto" w:sz="4" w:space="0"/>
                    <w:left w:val="single" w:color="auto" w:sz="4" w:space="0"/>
                    <w:right w:val="single" w:color="auto" w:sz="4" w:space="0"/>
                    <w:tl2br w:val="nil"/>
                    <w:tr2bl w:val="nil"/>
                  </w:tcBorders>
                  <w:vAlign w:val="center"/>
                </w:tcPr>
                <w:p w14:paraId="555F875E">
                  <w:pPr>
                    <w:pStyle w:val="13"/>
                    <w:jc w:val="both"/>
                    <w:rPr>
                      <w:color w:val="auto"/>
                      <w:highlight w:val="none"/>
                    </w:rPr>
                  </w:pPr>
                  <w:r>
                    <w:rPr>
                      <w:rFonts w:hint="eastAsia"/>
                      <w:color w:val="auto"/>
                      <w:highlight w:val="none"/>
                    </w:rPr>
                    <w:t>（1）地面采用防渗钢筋混凝土结构，内部采用水泥基渗透结晶型防渗材料涂层；等效黏土防渗层</w:t>
                  </w:r>
                  <w:r>
                    <w:rPr>
                      <w:color w:val="auto"/>
                      <w:highlight w:val="none"/>
                    </w:rPr>
                    <w:t>Mb≥6.0m</w:t>
                  </w:r>
                  <w:r>
                    <w:rPr>
                      <w:rFonts w:hint="eastAsia"/>
                      <w:color w:val="auto"/>
                      <w:highlight w:val="none"/>
                    </w:rPr>
                    <w:t>，</w:t>
                  </w:r>
                  <w:r>
                    <w:rPr>
                      <w:color w:val="auto"/>
                      <w:highlight w:val="none"/>
                    </w:rPr>
                    <w:t>K≤10</w:t>
                  </w:r>
                  <w:r>
                    <w:rPr>
                      <w:color w:val="auto"/>
                      <w:highlight w:val="none"/>
                      <w:vertAlign w:val="superscript"/>
                    </w:rPr>
                    <w:t>-7</w:t>
                  </w:r>
                  <w:r>
                    <w:rPr>
                      <w:color w:val="auto"/>
                      <w:highlight w:val="none"/>
                    </w:rPr>
                    <w:t>cm/s</w:t>
                  </w:r>
                  <w:r>
                    <w:rPr>
                      <w:rFonts w:hint="eastAsia"/>
                      <w:color w:val="auto"/>
                      <w:highlight w:val="none"/>
                    </w:rPr>
                    <w:t>。</w:t>
                  </w:r>
                </w:p>
                <w:p w14:paraId="4CD8F2BF">
                  <w:pPr>
                    <w:pStyle w:val="13"/>
                    <w:jc w:val="both"/>
                    <w:rPr>
                      <w:color w:val="auto"/>
                      <w:highlight w:val="none"/>
                    </w:rPr>
                  </w:pPr>
                  <w:r>
                    <w:rPr>
                      <w:rFonts w:hint="eastAsia"/>
                      <w:color w:val="auto"/>
                      <w:highlight w:val="none"/>
                    </w:rPr>
                    <w:t>（2）将危废库地面进行粗糙打磨，铺设</w:t>
                  </w:r>
                  <w:r>
                    <w:rPr>
                      <w:color w:val="auto"/>
                      <w:highlight w:val="none"/>
                    </w:rPr>
                    <w:t>橡胶沥青自粘卷材+600g/m²非织造土工布+2.0mm厚HDPE膜</w:t>
                  </w:r>
                  <w:r>
                    <w:rPr>
                      <w:rFonts w:hint="eastAsia"/>
                      <w:color w:val="auto"/>
                      <w:highlight w:val="none"/>
                    </w:rPr>
                    <w:t>。</w:t>
                  </w:r>
                </w:p>
                <w:p w14:paraId="39E55BCF">
                  <w:pPr>
                    <w:pStyle w:val="13"/>
                    <w:jc w:val="both"/>
                    <w:rPr>
                      <w:color w:val="auto"/>
                      <w:highlight w:val="none"/>
                    </w:rPr>
                  </w:pPr>
                  <w:r>
                    <w:rPr>
                      <w:rFonts w:hint="eastAsia"/>
                      <w:color w:val="auto"/>
                      <w:highlight w:val="none"/>
                    </w:rPr>
                    <w:t>（3）表层涂覆2-3mm厚环氧树脂地坪漆。</w:t>
                  </w:r>
                </w:p>
                <w:p w14:paraId="2EFFE68C">
                  <w:pPr>
                    <w:pStyle w:val="13"/>
                    <w:jc w:val="both"/>
                    <w:rPr>
                      <w:color w:val="auto"/>
                      <w:highlight w:val="none"/>
                    </w:rPr>
                  </w:pPr>
                  <w:r>
                    <w:rPr>
                      <w:rFonts w:hint="eastAsia"/>
                      <w:color w:val="auto"/>
                      <w:highlight w:val="none"/>
                    </w:rPr>
                    <w:t>（4）</w:t>
                  </w:r>
                  <w:r>
                    <w:rPr>
                      <w:color w:val="auto"/>
                      <w:highlight w:val="none"/>
                    </w:rPr>
                    <w:t>仓库门口设置墁坡、围堰。</w:t>
                  </w:r>
                </w:p>
                <w:p w14:paraId="2A3C543D">
                  <w:pPr>
                    <w:pStyle w:val="13"/>
                    <w:jc w:val="both"/>
                    <w:rPr>
                      <w:color w:val="auto"/>
                      <w:highlight w:val="none"/>
                    </w:rPr>
                  </w:pPr>
                  <w:r>
                    <w:rPr>
                      <w:rFonts w:hint="eastAsia"/>
                      <w:color w:val="auto"/>
                      <w:highlight w:val="none"/>
                    </w:rPr>
                    <w:t>（5）严格按照</w:t>
                  </w:r>
                  <w:r>
                    <w:rPr>
                      <w:color w:val="auto"/>
                      <w:highlight w:val="none"/>
                    </w:rPr>
                    <w:t>《危险废物贮存污染控制标准》（GB18597-20</w:t>
                  </w:r>
                  <w:r>
                    <w:rPr>
                      <w:rFonts w:hint="eastAsia"/>
                      <w:color w:val="auto"/>
                      <w:highlight w:val="none"/>
                    </w:rPr>
                    <w:t>23</w:t>
                  </w:r>
                  <w:r>
                    <w:rPr>
                      <w:color w:val="auto"/>
                      <w:highlight w:val="none"/>
                    </w:rPr>
                    <w:t>）要求</w:t>
                  </w:r>
                  <w:r>
                    <w:rPr>
                      <w:rFonts w:hint="eastAsia"/>
                      <w:color w:val="auto"/>
                      <w:highlight w:val="none"/>
                    </w:rPr>
                    <w:t>建设</w:t>
                  </w:r>
                  <w:r>
                    <w:rPr>
                      <w:color w:val="auto"/>
                      <w:highlight w:val="none"/>
                    </w:rPr>
                    <w:t>。</w:t>
                  </w:r>
                </w:p>
              </w:tc>
            </w:tr>
            <w:tr w14:paraId="7C443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92" w:type="pct"/>
                  <w:tcBorders>
                    <w:top w:val="single" w:color="auto" w:sz="4" w:space="0"/>
                    <w:left w:val="single" w:color="auto" w:sz="4" w:space="0"/>
                    <w:bottom w:val="single" w:color="auto" w:sz="4" w:space="0"/>
                    <w:right w:val="single" w:color="auto" w:sz="4" w:space="0"/>
                    <w:tl2br w:val="nil"/>
                    <w:tr2bl w:val="nil"/>
                  </w:tcBorders>
                  <w:vAlign w:val="center"/>
                </w:tcPr>
                <w:p w14:paraId="13935D86">
                  <w:pPr>
                    <w:pStyle w:val="13"/>
                    <w:rPr>
                      <w:color w:val="auto"/>
                      <w:highlight w:val="none"/>
                    </w:rPr>
                  </w:pPr>
                  <w:r>
                    <w:rPr>
                      <w:rFonts w:hint="eastAsia"/>
                      <w:color w:val="auto"/>
                      <w:highlight w:val="none"/>
                    </w:rPr>
                    <w:t>一般防渗区</w:t>
                  </w:r>
                </w:p>
              </w:tc>
              <w:tc>
                <w:tcPr>
                  <w:tcW w:w="1046" w:type="pct"/>
                  <w:tcBorders>
                    <w:top w:val="single" w:color="auto" w:sz="4" w:space="0"/>
                    <w:left w:val="single" w:color="auto" w:sz="4" w:space="0"/>
                    <w:bottom w:val="single" w:color="auto" w:sz="4" w:space="0"/>
                    <w:right w:val="single" w:color="auto" w:sz="4" w:space="0"/>
                    <w:tl2br w:val="nil"/>
                    <w:tr2bl w:val="nil"/>
                  </w:tcBorders>
                  <w:vAlign w:val="center"/>
                </w:tcPr>
                <w:p w14:paraId="177789F7">
                  <w:pPr>
                    <w:pStyle w:val="13"/>
                    <w:rPr>
                      <w:color w:val="auto"/>
                      <w:highlight w:val="none"/>
                    </w:rPr>
                  </w:pPr>
                  <w:r>
                    <w:rPr>
                      <w:rFonts w:hint="eastAsia"/>
                      <w:color w:val="auto"/>
                      <w:highlight w:val="none"/>
                    </w:rPr>
                    <w:t>原料仓库、加工车间、研发办公楼、成品仓库、固废库</w:t>
                  </w:r>
                </w:p>
              </w:tc>
              <w:tc>
                <w:tcPr>
                  <w:tcW w:w="3361" w:type="pct"/>
                  <w:tcBorders>
                    <w:top w:val="single" w:color="auto" w:sz="4" w:space="0"/>
                    <w:left w:val="single" w:color="auto" w:sz="4" w:space="0"/>
                    <w:bottom w:val="single" w:color="auto" w:sz="4" w:space="0"/>
                    <w:right w:val="single" w:color="auto" w:sz="4" w:space="0"/>
                    <w:tl2br w:val="nil"/>
                    <w:tr2bl w:val="nil"/>
                  </w:tcBorders>
                  <w:vAlign w:val="center"/>
                </w:tcPr>
                <w:p w14:paraId="5FF4899E">
                  <w:pPr>
                    <w:pStyle w:val="13"/>
                    <w:jc w:val="both"/>
                    <w:rPr>
                      <w:color w:val="auto"/>
                      <w:highlight w:val="none"/>
                    </w:rPr>
                  </w:pPr>
                  <w:r>
                    <w:rPr>
                      <w:rFonts w:hint="eastAsia"/>
                      <w:color w:val="auto"/>
                      <w:highlight w:val="none"/>
                    </w:rPr>
                    <w:t>（1）</w:t>
                  </w:r>
                  <w:r>
                    <w:rPr>
                      <w:color w:val="auto"/>
                      <w:highlight w:val="none"/>
                    </w:rPr>
                    <w:t>加强车间管理，定期检查废气处理措施，确保设备正常运行。</w:t>
                  </w:r>
                </w:p>
                <w:p w14:paraId="435057C7">
                  <w:pPr>
                    <w:pStyle w:val="13"/>
                    <w:jc w:val="both"/>
                    <w:rPr>
                      <w:color w:val="auto"/>
                      <w:highlight w:val="none"/>
                    </w:rPr>
                  </w:pPr>
                  <w:r>
                    <w:rPr>
                      <w:rFonts w:hint="eastAsia"/>
                      <w:color w:val="auto"/>
                      <w:highlight w:val="none"/>
                    </w:rPr>
                    <w:t>（2）地面涂覆2-3mm厚环氧树脂地坪漆。</w:t>
                  </w:r>
                </w:p>
              </w:tc>
            </w:tr>
            <w:tr w14:paraId="70EFF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92" w:type="pct"/>
                  <w:tcBorders>
                    <w:top w:val="single" w:color="auto" w:sz="4" w:space="0"/>
                    <w:left w:val="single" w:color="auto" w:sz="4" w:space="0"/>
                    <w:bottom w:val="single" w:color="auto" w:sz="4" w:space="0"/>
                    <w:right w:val="single" w:color="auto" w:sz="4" w:space="0"/>
                    <w:tl2br w:val="nil"/>
                    <w:tr2bl w:val="nil"/>
                  </w:tcBorders>
                  <w:vAlign w:val="center"/>
                </w:tcPr>
                <w:p w14:paraId="610824EE">
                  <w:pPr>
                    <w:pStyle w:val="13"/>
                    <w:rPr>
                      <w:color w:val="auto"/>
                      <w:highlight w:val="none"/>
                    </w:rPr>
                  </w:pPr>
                  <w:r>
                    <w:rPr>
                      <w:rFonts w:hint="eastAsia"/>
                      <w:color w:val="auto"/>
                      <w:highlight w:val="none"/>
                    </w:rPr>
                    <w:t>简单防渗</w:t>
                  </w:r>
                </w:p>
              </w:tc>
              <w:tc>
                <w:tcPr>
                  <w:tcW w:w="1046" w:type="pct"/>
                  <w:tcBorders>
                    <w:top w:val="single" w:color="auto" w:sz="4" w:space="0"/>
                    <w:left w:val="single" w:color="auto" w:sz="4" w:space="0"/>
                    <w:bottom w:val="single" w:color="auto" w:sz="4" w:space="0"/>
                    <w:right w:val="single" w:color="auto" w:sz="4" w:space="0"/>
                    <w:tl2br w:val="nil"/>
                    <w:tr2bl w:val="nil"/>
                  </w:tcBorders>
                  <w:vAlign w:val="center"/>
                </w:tcPr>
                <w:p w14:paraId="107DA019">
                  <w:pPr>
                    <w:pStyle w:val="13"/>
                    <w:rPr>
                      <w:color w:val="auto"/>
                      <w:highlight w:val="none"/>
                    </w:rPr>
                  </w:pPr>
                  <w:r>
                    <w:rPr>
                      <w:rFonts w:hint="eastAsia"/>
                      <w:color w:val="auto"/>
                      <w:highlight w:val="none"/>
                    </w:rPr>
                    <w:t>其他区域</w:t>
                  </w:r>
                </w:p>
              </w:tc>
              <w:tc>
                <w:tcPr>
                  <w:tcW w:w="3361" w:type="pct"/>
                  <w:tcBorders>
                    <w:top w:val="single" w:color="auto" w:sz="4" w:space="0"/>
                    <w:left w:val="single" w:color="auto" w:sz="4" w:space="0"/>
                    <w:bottom w:val="single" w:color="auto" w:sz="4" w:space="0"/>
                    <w:right w:val="single" w:color="auto" w:sz="4" w:space="0"/>
                    <w:tl2br w:val="nil"/>
                    <w:tr2bl w:val="nil"/>
                  </w:tcBorders>
                  <w:vAlign w:val="center"/>
                </w:tcPr>
                <w:p w14:paraId="3E738632">
                  <w:pPr>
                    <w:pStyle w:val="13"/>
                    <w:rPr>
                      <w:color w:val="auto"/>
                      <w:highlight w:val="none"/>
                    </w:rPr>
                  </w:pPr>
                  <w:r>
                    <w:rPr>
                      <w:rFonts w:hint="eastAsia"/>
                      <w:color w:val="auto"/>
                      <w:highlight w:val="none"/>
                    </w:rPr>
                    <w:t>地面硬化。</w:t>
                  </w:r>
                </w:p>
              </w:tc>
            </w:tr>
          </w:tbl>
          <w:p w14:paraId="4214F231">
            <w:pPr>
              <w:pStyle w:val="2"/>
              <w:ind w:firstLine="482"/>
              <w:rPr>
                <w:color w:val="auto"/>
                <w:highlight w:val="none"/>
              </w:rPr>
            </w:pPr>
            <w:r>
              <w:rPr>
                <w:rFonts w:hint="eastAsia"/>
                <w:color w:val="auto"/>
                <w:highlight w:val="none"/>
              </w:rPr>
              <w:t>6</w:t>
            </w:r>
            <w:r>
              <w:rPr>
                <w:color w:val="auto"/>
                <w:highlight w:val="none"/>
              </w:rPr>
              <w:t>、环境风险影响分析</w:t>
            </w:r>
          </w:p>
          <w:p w14:paraId="389C1EF0">
            <w:pPr>
              <w:pStyle w:val="3"/>
              <w:ind w:firstLine="482"/>
              <w:rPr>
                <w:color w:val="auto"/>
                <w:highlight w:val="none"/>
              </w:rPr>
            </w:pPr>
            <w:r>
              <w:rPr>
                <w:color w:val="auto"/>
                <w:highlight w:val="none"/>
              </w:rPr>
              <w:t>（1）环境风险评价目的</w:t>
            </w:r>
          </w:p>
          <w:p w14:paraId="585BAE8F">
            <w:pPr>
              <w:ind w:firstLine="480"/>
              <w:rPr>
                <w:color w:val="auto"/>
                <w:highlight w:val="none"/>
              </w:rPr>
            </w:pPr>
            <w:r>
              <w:rPr>
                <w:color w:val="auto"/>
                <w:highlight w:val="none"/>
              </w:rPr>
              <w:t>根据国家环境保护部《关于进一步加强环境影响评价管理防范环境风险的通知》（环发</w:t>
            </w:r>
            <w:r>
              <w:rPr>
                <w:rFonts w:hint="eastAsia"/>
                <w:color w:val="auto"/>
                <w:highlight w:val="none"/>
              </w:rPr>
              <w:t>〔</w:t>
            </w:r>
            <w:r>
              <w:rPr>
                <w:color w:val="auto"/>
                <w:highlight w:val="none"/>
              </w:rPr>
              <w:t>2012</w:t>
            </w:r>
            <w:r>
              <w:rPr>
                <w:rFonts w:hint="eastAsia"/>
                <w:color w:val="auto"/>
                <w:highlight w:val="none"/>
              </w:rPr>
              <w:t>〕</w:t>
            </w:r>
            <w:r>
              <w:rPr>
                <w:color w:val="auto"/>
                <w:highlight w:val="none"/>
              </w:rPr>
              <w:t>77号）及《建设项目环境风险评价技术导则》（HJ</w:t>
            </w:r>
            <w:r>
              <w:rPr>
                <w:rFonts w:hint="eastAsia"/>
                <w:color w:val="auto"/>
                <w:highlight w:val="none"/>
              </w:rPr>
              <w:t xml:space="preserve"> </w:t>
            </w:r>
            <w:r>
              <w:rPr>
                <w:color w:val="auto"/>
                <w:highlight w:val="none"/>
              </w:rPr>
              <w:t>169-2018）</w:t>
            </w:r>
            <w:r>
              <w:rPr>
                <w:rFonts w:hint="eastAsia"/>
                <w:color w:val="auto"/>
                <w:highlight w:val="none"/>
              </w:rPr>
              <w:t>中的</w:t>
            </w:r>
            <w:r>
              <w:rPr>
                <w:color w:val="auto"/>
                <w:highlight w:val="none"/>
              </w:rPr>
              <w:t>相关要求，结合该项目工程分析，本评价按照上述文件及风险评价导则的相关要求，采用项目风险识别、源项分析和后果分析等方法进行环境风险评价，了解其环境风险的可接受程度，提出减少风险的事故应急措施及应急预案，为工程设计和环境管理提供资料和依据，以期达到降低危险，减少危害的目的。</w:t>
            </w:r>
          </w:p>
          <w:p w14:paraId="504487D4">
            <w:pPr>
              <w:pStyle w:val="3"/>
              <w:ind w:firstLine="482"/>
              <w:rPr>
                <w:color w:val="auto"/>
                <w:highlight w:val="none"/>
              </w:rPr>
            </w:pPr>
            <w:r>
              <w:rPr>
                <w:color w:val="auto"/>
                <w:highlight w:val="none"/>
              </w:rPr>
              <w:t>（2）风险物质识别</w:t>
            </w:r>
          </w:p>
          <w:p w14:paraId="701BAEB9">
            <w:pPr>
              <w:ind w:firstLine="480"/>
              <w:rPr>
                <w:color w:val="auto"/>
                <w:highlight w:val="none"/>
              </w:rPr>
            </w:pPr>
            <w:r>
              <w:rPr>
                <w:color w:val="auto"/>
                <w:highlight w:val="none"/>
              </w:rPr>
              <w:t>根据《建设项目环境影响报告表编制技术指南》（污染影响类</w:t>
            </w:r>
            <w:r>
              <w:rPr>
                <w:rFonts w:hint="eastAsia"/>
                <w:color w:val="auto"/>
                <w:highlight w:val="none"/>
              </w:rPr>
              <w:t>）</w:t>
            </w:r>
            <w:r>
              <w:rPr>
                <w:color w:val="auto"/>
                <w:highlight w:val="none"/>
              </w:rPr>
              <w:t>（试行）中运营期环境影响和保护措施中：</w:t>
            </w:r>
            <w:r>
              <w:rPr>
                <w:rFonts w:hint="eastAsia"/>
                <w:color w:val="auto"/>
                <w:highlight w:val="none"/>
              </w:rPr>
              <w:t>“</w:t>
            </w:r>
            <w:r>
              <w:rPr>
                <w:color w:val="auto"/>
                <w:highlight w:val="none"/>
              </w:rPr>
              <w:t>7、环境风险。明确有毒有害和易燃易爆等危险物质和风险源分布情况及可能影响途径，并提出相应环境风险防范措施</w:t>
            </w:r>
            <w:r>
              <w:rPr>
                <w:rFonts w:hint="eastAsia"/>
                <w:color w:val="auto"/>
                <w:highlight w:val="none"/>
              </w:rPr>
              <w:t>”</w:t>
            </w:r>
            <w:r>
              <w:rPr>
                <w:color w:val="auto"/>
                <w:highlight w:val="none"/>
              </w:rPr>
              <w:t>。</w:t>
            </w:r>
          </w:p>
          <w:p w14:paraId="710ADFD2">
            <w:pPr>
              <w:ind w:firstLine="480"/>
              <w:rPr>
                <w:color w:val="auto"/>
                <w:highlight w:val="none"/>
              </w:rPr>
            </w:pPr>
            <w:r>
              <w:rPr>
                <w:color w:val="auto"/>
                <w:highlight w:val="none"/>
              </w:rPr>
              <w:t>根据建设单位提供资料，并对照《建设项目环境风险评价技术导则》</w:t>
            </w:r>
            <w:r>
              <w:rPr>
                <w:rFonts w:hint="eastAsia"/>
                <w:color w:val="auto"/>
                <w:highlight w:val="none"/>
              </w:rPr>
              <w:t>（</w:t>
            </w:r>
            <w:r>
              <w:rPr>
                <w:color w:val="auto"/>
                <w:highlight w:val="none"/>
              </w:rPr>
              <w:t>HJ</w:t>
            </w:r>
            <w:r>
              <w:rPr>
                <w:rFonts w:hint="eastAsia"/>
                <w:color w:val="auto"/>
                <w:highlight w:val="none"/>
              </w:rPr>
              <w:t xml:space="preserve"> </w:t>
            </w:r>
            <w:r>
              <w:rPr>
                <w:color w:val="auto"/>
                <w:highlight w:val="none"/>
              </w:rPr>
              <w:t>169-2018</w:t>
            </w:r>
            <w:r>
              <w:rPr>
                <w:rFonts w:hint="eastAsia"/>
                <w:color w:val="auto"/>
                <w:highlight w:val="none"/>
              </w:rPr>
              <w:t>）</w:t>
            </w:r>
            <w:r>
              <w:rPr>
                <w:color w:val="auto"/>
                <w:highlight w:val="none"/>
              </w:rPr>
              <w:t>附录B，本项目风险物质如下表。</w:t>
            </w:r>
          </w:p>
          <w:p w14:paraId="49397BCA">
            <w:pPr>
              <w:pStyle w:val="14"/>
              <w:spacing w:before="156"/>
              <w:rPr>
                <w:color w:val="auto"/>
                <w:highlight w:val="none"/>
              </w:rPr>
            </w:pPr>
            <w:r>
              <w:rPr>
                <w:color w:val="auto"/>
                <w:highlight w:val="none"/>
              </w:rPr>
              <w:t>表4-</w:t>
            </w:r>
            <w:r>
              <w:rPr>
                <w:rFonts w:hint="eastAsia"/>
                <w:color w:val="auto"/>
                <w:highlight w:val="none"/>
                <w:lang w:val="en-US" w:eastAsia="zh-CN"/>
              </w:rPr>
              <w:t>21</w:t>
            </w:r>
            <w:r>
              <w:rPr>
                <w:color w:val="auto"/>
                <w:highlight w:val="none"/>
              </w:rPr>
              <w:t xml:space="preserve">  环境风险物质一览表</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127"/>
              <w:gridCol w:w="675"/>
              <w:gridCol w:w="1095"/>
              <w:gridCol w:w="3516"/>
              <w:gridCol w:w="884"/>
              <w:gridCol w:w="1084"/>
            </w:tblGrid>
            <w:tr w14:paraId="58BAC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5" w:type="pct"/>
                  <w:tcBorders>
                    <w:top w:val="single" w:color="auto" w:sz="4" w:space="0"/>
                    <w:left w:val="single" w:color="auto" w:sz="4" w:space="0"/>
                    <w:right w:val="single" w:color="auto" w:sz="4" w:space="0"/>
                  </w:tcBorders>
                  <w:vAlign w:val="center"/>
                </w:tcPr>
                <w:p w14:paraId="3D4EE201">
                  <w:pPr>
                    <w:pStyle w:val="13"/>
                    <w:rPr>
                      <w:b/>
                      <w:bCs/>
                      <w:color w:val="auto"/>
                      <w:highlight w:val="none"/>
                    </w:rPr>
                  </w:pPr>
                  <w:r>
                    <w:rPr>
                      <w:rFonts w:hint="eastAsia"/>
                      <w:b/>
                      <w:bCs/>
                      <w:color w:val="auto"/>
                      <w:highlight w:val="none"/>
                    </w:rPr>
                    <w:t>序号</w:t>
                  </w:r>
                </w:p>
              </w:tc>
              <w:tc>
                <w:tcPr>
                  <w:tcW w:w="621" w:type="pct"/>
                  <w:tcBorders>
                    <w:top w:val="single" w:color="auto" w:sz="4" w:space="0"/>
                    <w:left w:val="single" w:color="auto" w:sz="4" w:space="0"/>
                    <w:right w:val="single" w:color="auto" w:sz="4" w:space="0"/>
                  </w:tcBorders>
                  <w:vAlign w:val="center"/>
                </w:tcPr>
                <w:p w14:paraId="1641103D">
                  <w:pPr>
                    <w:pStyle w:val="13"/>
                    <w:rPr>
                      <w:b/>
                      <w:bCs/>
                      <w:color w:val="auto"/>
                      <w:highlight w:val="none"/>
                    </w:rPr>
                  </w:pPr>
                  <w:r>
                    <w:rPr>
                      <w:rFonts w:hint="eastAsia"/>
                      <w:b/>
                      <w:bCs/>
                      <w:color w:val="auto"/>
                      <w:highlight w:val="none"/>
                    </w:rPr>
                    <w:t>物质名称</w:t>
                  </w:r>
                </w:p>
              </w:tc>
              <w:tc>
                <w:tcPr>
                  <w:tcW w:w="372" w:type="pct"/>
                  <w:tcBorders>
                    <w:top w:val="single" w:color="auto" w:sz="4" w:space="0"/>
                    <w:left w:val="single" w:color="auto" w:sz="4" w:space="0"/>
                    <w:right w:val="single" w:color="auto" w:sz="4" w:space="0"/>
                  </w:tcBorders>
                  <w:vAlign w:val="center"/>
                </w:tcPr>
                <w:p w14:paraId="5918BFC3">
                  <w:pPr>
                    <w:pStyle w:val="13"/>
                    <w:rPr>
                      <w:b/>
                      <w:bCs/>
                      <w:color w:val="auto"/>
                      <w:highlight w:val="none"/>
                    </w:rPr>
                  </w:pPr>
                  <w:r>
                    <w:rPr>
                      <w:rFonts w:hint="eastAsia"/>
                      <w:b/>
                      <w:bCs/>
                      <w:color w:val="auto"/>
                      <w:highlight w:val="none"/>
                    </w:rPr>
                    <w:t>形态</w:t>
                  </w:r>
                </w:p>
              </w:tc>
              <w:tc>
                <w:tcPr>
                  <w:tcW w:w="604" w:type="pct"/>
                  <w:tcBorders>
                    <w:top w:val="single" w:color="auto" w:sz="4" w:space="0"/>
                    <w:left w:val="single" w:color="auto" w:sz="4" w:space="0"/>
                    <w:right w:val="single" w:color="auto" w:sz="4" w:space="0"/>
                  </w:tcBorders>
                  <w:vAlign w:val="center"/>
                </w:tcPr>
                <w:p w14:paraId="2581803F">
                  <w:pPr>
                    <w:pStyle w:val="13"/>
                    <w:rPr>
                      <w:b/>
                      <w:bCs/>
                      <w:color w:val="auto"/>
                      <w:highlight w:val="none"/>
                    </w:rPr>
                  </w:pPr>
                  <w:r>
                    <w:rPr>
                      <w:rFonts w:hint="eastAsia"/>
                      <w:b/>
                      <w:bCs/>
                      <w:color w:val="auto"/>
                      <w:highlight w:val="none"/>
                    </w:rPr>
                    <w:t>贮存方式</w:t>
                  </w:r>
                </w:p>
              </w:tc>
              <w:tc>
                <w:tcPr>
                  <w:tcW w:w="1939" w:type="pct"/>
                  <w:tcBorders>
                    <w:top w:val="single" w:color="auto" w:sz="4" w:space="0"/>
                    <w:left w:val="single" w:color="auto" w:sz="4" w:space="0"/>
                    <w:right w:val="single" w:color="auto" w:sz="4" w:space="0"/>
                  </w:tcBorders>
                  <w:vAlign w:val="center"/>
                </w:tcPr>
                <w:p w14:paraId="7421B3A5">
                  <w:pPr>
                    <w:pStyle w:val="13"/>
                    <w:rPr>
                      <w:b/>
                      <w:bCs/>
                      <w:color w:val="auto"/>
                      <w:highlight w:val="none"/>
                    </w:rPr>
                  </w:pPr>
                  <w:r>
                    <w:rPr>
                      <w:rFonts w:hint="eastAsia"/>
                      <w:b/>
                      <w:bCs/>
                      <w:color w:val="auto"/>
                      <w:highlight w:val="none"/>
                    </w:rPr>
                    <w:t>风险物质判定</w:t>
                  </w:r>
                </w:p>
              </w:tc>
              <w:tc>
                <w:tcPr>
                  <w:tcW w:w="487" w:type="pct"/>
                  <w:tcBorders>
                    <w:top w:val="single" w:color="auto" w:sz="4" w:space="0"/>
                    <w:left w:val="single" w:color="auto" w:sz="4" w:space="0"/>
                    <w:right w:val="single" w:color="auto" w:sz="4" w:space="0"/>
                  </w:tcBorders>
                  <w:vAlign w:val="center"/>
                </w:tcPr>
                <w:p w14:paraId="4BF5BB13">
                  <w:pPr>
                    <w:pStyle w:val="13"/>
                    <w:rPr>
                      <w:b/>
                      <w:bCs/>
                      <w:color w:val="auto"/>
                      <w:highlight w:val="none"/>
                    </w:rPr>
                  </w:pPr>
                  <w:r>
                    <w:rPr>
                      <w:rFonts w:hint="eastAsia"/>
                      <w:b/>
                      <w:bCs/>
                      <w:color w:val="auto"/>
                      <w:highlight w:val="none"/>
                    </w:rPr>
                    <w:t>临界量</w:t>
                  </w:r>
                </w:p>
              </w:tc>
              <w:tc>
                <w:tcPr>
                  <w:tcW w:w="598" w:type="pct"/>
                  <w:tcBorders>
                    <w:top w:val="single" w:color="auto" w:sz="4" w:space="0"/>
                    <w:left w:val="single" w:color="auto" w:sz="4" w:space="0"/>
                    <w:right w:val="single" w:color="auto" w:sz="4" w:space="0"/>
                  </w:tcBorders>
                  <w:vAlign w:val="center"/>
                </w:tcPr>
                <w:p w14:paraId="2D16A4BD">
                  <w:pPr>
                    <w:pStyle w:val="13"/>
                    <w:rPr>
                      <w:b/>
                      <w:bCs/>
                      <w:color w:val="auto"/>
                      <w:highlight w:val="none"/>
                    </w:rPr>
                  </w:pPr>
                  <w:r>
                    <w:rPr>
                      <w:rFonts w:hint="eastAsia"/>
                      <w:b/>
                      <w:bCs/>
                      <w:color w:val="auto"/>
                      <w:highlight w:val="none"/>
                    </w:rPr>
                    <w:t>贮存位置</w:t>
                  </w:r>
                </w:p>
              </w:tc>
            </w:tr>
            <w:tr w14:paraId="1F263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5" w:type="pct"/>
                  <w:tcBorders>
                    <w:top w:val="single" w:color="auto" w:sz="4" w:space="0"/>
                    <w:left w:val="single" w:color="auto" w:sz="4" w:space="0"/>
                    <w:bottom w:val="single" w:color="auto" w:sz="4" w:space="0"/>
                    <w:right w:val="single" w:color="auto" w:sz="4" w:space="0"/>
                  </w:tcBorders>
                  <w:vAlign w:val="center"/>
                </w:tcPr>
                <w:p w14:paraId="09ACA6EC">
                  <w:pPr>
                    <w:pStyle w:val="13"/>
                    <w:rPr>
                      <w:rFonts w:hint="eastAsia" w:eastAsia="宋体"/>
                      <w:color w:val="auto"/>
                      <w:highlight w:val="none"/>
                      <w:lang w:val="en-US" w:eastAsia="zh-CN"/>
                    </w:rPr>
                  </w:pPr>
                  <w:r>
                    <w:rPr>
                      <w:rFonts w:hint="eastAsia"/>
                      <w:color w:val="auto"/>
                      <w:highlight w:val="none"/>
                      <w:lang w:val="en-US" w:eastAsia="zh-CN"/>
                    </w:rPr>
                    <w:t>1</w:t>
                  </w:r>
                </w:p>
              </w:tc>
              <w:tc>
                <w:tcPr>
                  <w:tcW w:w="621" w:type="pct"/>
                  <w:tcBorders>
                    <w:top w:val="single" w:color="auto" w:sz="4" w:space="0"/>
                    <w:left w:val="single" w:color="auto" w:sz="4" w:space="0"/>
                    <w:bottom w:val="single" w:color="auto" w:sz="4" w:space="0"/>
                    <w:right w:val="single" w:color="auto" w:sz="4" w:space="0"/>
                  </w:tcBorders>
                  <w:vAlign w:val="center"/>
                </w:tcPr>
                <w:p w14:paraId="31D07097">
                  <w:pPr>
                    <w:pStyle w:val="13"/>
                    <w:rPr>
                      <w:rFonts w:hint="eastAsia" w:eastAsia="宋体"/>
                      <w:color w:val="auto"/>
                      <w:highlight w:val="none"/>
                      <w:lang w:val="en-US" w:eastAsia="zh-CN"/>
                    </w:rPr>
                  </w:pPr>
                  <w:r>
                    <w:rPr>
                      <w:rFonts w:hint="eastAsia"/>
                      <w:color w:val="auto"/>
                      <w:highlight w:val="none"/>
                      <w:lang w:val="en-US" w:eastAsia="zh-CN"/>
                    </w:rPr>
                    <w:t>矿物油</w:t>
                  </w:r>
                </w:p>
              </w:tc>
              <w:tc>
                <w:tcPr>
                  <w:tcW w:w="372" w:type="pct"/>
                  <w:tcBorders>
                    <w:top w:val="single" w:color="auto" w:sz="4" w:space="0"/>
                    <w:left w:val="single" w:color="auto" w:sz="4" w:space="0"/>
                    <w:bottom w:val="single" w:color="auto" w:sz="4" w:space="0"/>
                    <w:right w:val="single" w:color="auto" w:sz="4" w:space="0"/>
                  </w:tcBorders>
                  <w:vAlign w:val="center"/>
                </w:tcPr>
                <w:p w14:paraId="4F6E8885">
                  <w:pPr>
                    <w:pStyle w:val="13"/>
                    <w:rPr>
                      <w:rFonts w:hint="eastAsia" w:eastAsia="宋体"/>
                      <w:color w:val="auto"/>
                      <w:highlight w:val="none"/>
                      <w:lang w:val="en-US" w:eastAsia="zh-CN"/>
                    </w:rPr>
                  </w:pPr>
                  <w:r>
                    <w:rPr>
                      <w:rFonts w:hint="eastAsia"/>
                      <w:color w:val="auto"/>
                      <w:highlight w:val="none"/>
                      <w:lang w:val="en-US" w:eastAsia="zh-CN"/>
                    </w:rPr>
                    <w:t>/</w:t>
                  </w:r>
                </w:p>
              </w:tc>
              <w:tc>
                <w:tcPr>
                  <w:tcW w:w="604" w:type="pct"/>
                  <w:tcBorders>
                    <w:top w:val="single" w:color="auto" w:sz="4" w:space="0"/>
                    <w:left w:val="single" w:color="auto" w:sz="4" w:space="0"/>
                    <w:bottom w:val="single" w:color="auto" w:sz="4" w:space="0"/>
                    <w:right w:val="single" w:color="auto" w:sz="4" w:space="0"/>
                  </w:tcBorders>
                  <w:vAlign w:val="center"/>
                </w:tcPr>
                <w:p w14:paraId="34525536">
                  <w:pPr>
                    <w:pStyle w:val="13"/>
                    <w:rPr>
                      <w:rFonts w:hint="eastAsia" w:eastAsia="宋体"/>
                      <w:color w:val="auto"/>
                      <w:highlight w:val="none"/>
                      <w:lang w:val="en-US" w:eastAsia="zh-CN"/>
                    </w:rPr>
                  </w:pPr>
                  <w:r>
                    <w:rPr>
                      <w:rFonts w:hint="eastAsia"/>
                      <w:color w:val="auto"/>
                      <w:highlight w:val="none"/>
                      <w:lang w:val="en-US" w:eastAsia="zh-CN"/>
                    </w:rPr>
                    <w:t>/</w:t>
                  </w:r>
                </w:p>
              </w:tc>
              <w:tc>
                <w:tcPr>
                  <w:tcW w:w="1939" w:type="pct"/>
                  <w:vMerge w:val="restart"/>
                  <w:tcBorders>
                    <w:left w:val="single" w:color="auto" w:sz="4" w:space="0"/>
                    <w:right w:val="single" w:color="auto" w:sz="4" w:space="0"/>
                  </w:tcBorders>
                  <w:vAlign w:val="center"/>
                </w:tcPr>
                <w:p w14:paraId="5B6495F0">
                  <w:pPr>
                    <w:pStyle w:val="13"/>
                    <w:rPr>
                      <w:color w:val="auto"/>
                      <w:highlight w:val="none"/>
                    </w:rPr>
                  </w:pPr>
                  <w:r>
                    <w:rPr>
                      <w:rFonts w:hint="eastAsia"/>
                      <w:color w:val="auto"/>
                      <w:highlight w:val="none"/>
                    </w:rPr>
                    <w:t>以健康危险急性毒性物质（类别2，类别3）计</w:t>
                  </w:r>
                </w:p>
              </w:tc>
              <w:tc>
                <w:tcPr>
                  <w:tcW w:w="487" w:type="pct"/>
                  <w:vMerge w:val="restart"/>
                  <w:tcBorders>
                    <w:left w:val="single" w:color="auto" w:sz="4" w:space="0"/>
                    <w:right w:val="single" w:color="auto" w:sz="4" w:space="0"/>
                  </w:tcBorders>
                  <w:vAlign w:val="center"/>
                </w:tcPr>
                <w:p w14:paraId="1644E5EA">
                  <w:pPr>
                    <w:pStyle w:val="13"/>
                    <w:rPr>
                      <w:color w:val="auto"/>
                      <w:highlight w:val="none"/>
                    </w:rPr>
                  </w:pPr>
                  <w:r>
                    <w:rPr>
                      <w:rFonts w:hint="eastAsia"/>
                      <w:color w:val="auto"/>
                      <w:highlight w:val="none"/>
                    </w:rPr>
                    <w:t>50</w:t>
                  </w:r>
                </w:p>
              </w:tc>
              <w:tc>
                <w:tcPr>
                  <w:tcW w:w="598" w:type="pct"/>
                  <w:tcBorders>
                    <w:left w:val="single" w:color="auto" w:sz="4" w:space="0"/>
                    <w:right w:val="single" w:color="auto" w:sz="4" w:space="0"/>
                  </w:tcBorders>
                  <w:vAlign w:val="center"/>
                </w:tcPr>
                <w:p w14:paraId="0D197C39">
                  <w:pPr>
                    <w:pStyle w:val="13"/>
                    <w:rPr>
                      <w:rFonts w:hint="eastAsia" w:eastAsia="宋体"/>
                      <w:color w:val="auto"/>
                      <w:highlight w:val="none"/>
                      <w:lang w:val="en-US" w:eastAsia="zh-CN"/>
                    </w:rPr>
                  </w:pPr>
                  <w:r>
                    <w:rPr>
                      <w:rFonts w:hint="eastAsia"/>
                      <w:color w:val="auto"/>
                      <w:highlight w:val="none"/>
                      <w:lang w:val="en-US" w:eastAsia="zh-CN"/>
                    </w:rPr>
                    <w:t>原料仓库</w:t>
                  </w:r>
                </w:p>
              </w:tc>
            </w:tr>
            <w:tr w14:paraId="52CEB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5" w:type="pct"/>
                  <w:tcBorders>
                    <w:top w:val="single" w:color="auto" w:sz="4" w:space="0"/>
                    <w:left w:val="single" w:color="auto" w:sz="4" w:space="0"/>
                    <w:bottom w:val="single" w:color="auto" w:sz="4" w:space="0"/>
                    <w:right w:val="single" w:color="auto" w:sz="4" w:space="0"/>
                  </w:tcBorders>
                  <w:vAlign w:val="center"/>
                </w:tcPr>
                <w:p w14:paraId="0FC55CAF">
                  <w:pPr>
                    <w:pStyle w:val="13"/>
                    <w:rPr>
                      <w:rFonts w:hint="eastAsia" w:eastAsia="宋体"/>
                      <w:color w:val="auto"/>
                      <w:highlight w:val="none"/>
                      <w:lang w:eastAsia="zh-CN"/>
                    </w:rPr>
                  </w:pPr>
                  <w:r>
                    <w:rPr>
                      <w:rFonts w:hint="eastAsia"/>
                      <w:color w:val="auto"/>
                      <w:highlight w:val="none"/>
                      <w:lang w:val="en-US" w:eastAsia="zh-CN"/>
                    </w:rPr>
                    <w:t>2</w:t>
                  </w:r>
                </w:p>
              </w:tc>
              <w:tc>
                <w:tcPr>
                  <w:tcW w:w="621" w:type="pct"/>
                  <w:tcBorders>
                    <w:top w:val="single" w:color="auto" w:sz="4" w:space="0"/>
                    <w:left w:val="single" w:color="auto" w:sz="4" w:space="0"/>
                    <w:bottom w:val="single" w:color="auto" w:sz="4" w:space="0"/>
                    <w:right w:val="single" w:color="auto" w:sz="4" w:space="0"/>
                  </w:tcBorders>
                  <w:vAlign w:val="center"/>
                </w:tcPr>
                <w:p w14:paraId="21815C6D">
                  <w:pPr>
                    <w:pStyle w:val="13"/>
                    <w:rPr>
                      <w:color w:val="auto"/>
                      <w:highlight w:val="none"/>
                    </w:rPr>
                  </w:pPr>
                  <w:r>
                    <w:rPr>
                      <w:rFonts w:hint="eastAsia"/>
                      <w:color w:val="auto"/>
                      <w:highlight w:val="none"/>
                    </w:rPr>
                    <w:t>危险废物</w:t>
                  </w:r>
                </w:p>
              </w:tc>
              <w:tc>
                <w:tcPr>
                  <w:tcW w:w="372" w:type="pct"/>
                  <w:tcBorders>
                    <w:top w:val="single" w:color="auto" w:sz="4" w:space="0"/>
                    <w:left w:val="single" w:color="auto" w:sz="4" w:space="0"/>
                    <w:bottom w:val="single" w:color="auto" w:sz="4" w:space="0"/>
                    <w:right w:val="single" w:color="auto" w:sz="4" w:space="0"/>
                  </w:tcBorders>
                  <w:vAlign w:val="center"/>
                </w:tcPr>
                <w:p w14:paraId="7AC37392">
                  <w:pPr>
                    <w:pStyle w:val="13"/>
                    <w:rPr>
                      <w:color w:val="auto"/>
                      <w:highlight w:val="none"/>
                    </w:rPr>
                  </w:pPr>
                  <w:r>
                    <w:rPr>
                      <w:rFonts w:hint="eastAsia"/>
                      <w:color w:val="auto"/>
                      <w:highlight w:val="none"/>
                    </w:rPr>
                    <w:t>/</w:t>
                  </w:r>
                </w:p>
              </w:tc>
              <w:tc>
                <w:tcPr>
                  <w:tcW w:w="604" w:type="pct"/>
                  <w:tcBorders>
                    <w:top w:val="single" w:color="auto" w:sz="4" w:space="0"/>
                    <w:left w:val="single" w:color="auto" w:sz="4" w:space="0"/>
                    <w:bottom w:val="single" w:color="auto" w:sz="4" w:space="0"/>
                    <w:right w:val="single" w:color="auto" w:sz="4" w:space="0"/>
                  </w:tcBorders>
                  <w:vAlign w:val="center"/>
                </w:tcPr>
                <w:p w14:paraId="3735AE29">
                  <w:pPr>
                    <w:pStyle w:val="13"/>
                    <w:rPr>
                      <w:color w:val="auto"/>
                      <w:highlight w:val="none"/>
                    </w:rPr>
                  </w:pPr>
                  <w:r>
                    <w:rPr>
                      <w:rFonts w:hint="eastAsia"/>
                      <w:color w:val="auto"/>
                      <w:highlight w:val="none"/>
                    </w:rPr>
                    <w:t>/</w:t>
                  </w:r>
                </w:p>
              </w:tc>
              <w:tc>
                <w:tcPr>
                  <w:tcW w:w="1939" w:type="pct"/>
                  <w:vMerge w:val="continue"/>
                  <w:tcBorders>
                    <w:left w:val="single" w:color="auto" w:sz="4" w:space="0"/>
                    <w:right w:val="single" w:color="auto" w:sz="4" w:space="0"/>
                  </w:tcBorders>
                  <w:vAlign w:val="center"/>
                </w:tcPr>
                <w:p w14:paraId="21673A21">
                  <w:pPr>
                    <w:pStyle w:val="13"/>
                    <w:rPr>
                      <w:color w:val="auto"/>
                      <w:highlight w:val="none"/>
                    </w:rPr>
                  </w:pPr>
                </w:p>
              </w:tc>
              <w:tc>
                <w:tcPr>
                  <w:tcW w:w="487" w:type="pct"/>
                  <w:vMerge w:val="continue"/>
                  <w:tcBorders>
                    <w:left w:val="single" w:color="auto" w:sz="4" w:space="0"/>
                    <w:right w:val="single" w:color="auto" w:sz="4" w:space="0"/>
                  </w:tcBorders>
                  <w:vAlign w:val="center"/>
                </w:tcPr>
                <w:p w14:paraId="102DD8A9">
                  <w:pPr>
                    <w:pStyle w:val="13"/>
                    <w:rPr>
                      <w:color w:val="auto"/>
                      <w:highlight w:val="none"/>
                    </w:rPr>
                  </w:pPr>
                </w:p>
              </w:tc>
              <w:tc>
                <w:tcPr>
                  <w:tcW w:w="598" w:type="pct"/>
                  <w:tcBorders>
                    <w:left w:val="single" w:color="auto" w:sz="4" w:space="0"/>
                    <w:right w:val="single" w:color="auto" w:sz="4" w:space="0"/>
                  </w:tcBorders>
                  <w:vAlign w:val="center"/>
                </w:tcPr>
                <w:p w14:paraId="49DD889C">
                  <w:pPr>
                    <w:pStyle w:val="13"/>
                    <w:rPr>
                      <w:color w:val="auto"/>
                      <w:highlight w:val="none"/>
                    </w:rPr>
                  </w:pPr>
                  <w:r>
                    <w:rPr>
                      <w:rFonts w:hint="eastAsia"/>
                      <w:color w:val="auto"/>
                      <w:highlight w:val="none"/>
                    </w:rPr>
                    <w:t>危废库</w:t>
                  </w:r>
                </w:p>
              </w:tc>
            </w:tr>
          </w:tbl>
          <w:p w14:paraId="5E8A92C0">
            <w:pPr>
              <w:pStyle w:val="3"/>
              <w:ind w:firstLine="482"/>
              <w:rPr>
                <w:color w:val="auto"/>
                <w:highlight w:val="none"/>
              </w:rPr>
            </w:pPr>
            <w:r>
              <w:rPr>
                <w:color w:val="auto"/>
                <w:highlight w:val="none"/>
              </w:rPr>
              <w:t>（</w:t>
            </w:r>
            <w:r>
              <w:rPr>
                <w:rFonts w:hint="eastAsia"/>
                <w:color w:val="auto"/>
                <w:highlight w:val="none"/>
              </w:rPr>
              <w:t>3</w:t>
            </w:r>
            <w:r>
              <w:rPr>
                <w:color w:val="auto"/>
                <w:highlight w:val="none"/>
              </w:rPr>
              <w:t>）环境</w:t>
            </w:r>
            <w:r>
              <w:rPr>
                <w:rFonts w:hint="eastAsia"/>
                <w:color w:val="auto"/>
                <w:highlight w:val="none"/>
              </w:rPr>
              <w:t>风险</w:t>
            </w:r>
            <w:r>
              <w:rPr>
                <w:color w:val="auto"/>
                <w:highlight w:val="none"/>
              </w:rPr>
              <w:t>潜势划分</w:t>
            </w:r>
          </w:p>
          <w:p w14:paraId="052CA852">
            <w:pPr>
              <w:ind w:firstLine="480"/>
              <w:rPr>
                <w:color w:val="auto"/>
                <w:highlight w:val="none"/>
              </w:rPr>
            </w:pPr>
            <w:r>
              <w:rPr>
                <w:color w:val="auto"/>
                <w:highlight w:val="none"/>
              </w:rPr>
              <w:t>根据《建设项目环境风险评价技术导则》（HJ</w:t>
            </w:r>
            <w:r>
              <w:rPr>
                <w:rFonts w:hint="eastAsia"/>
                <w:color w:val="auto"/>
                <w:highlight w:val="none"/>
              </w:rPr>
              <w:t xml:space="preserve"> </w:t>
            </w:r>
            <w:r>
              <w:rPr>
                <w:color w:val="auto"/>
                <w:highlight w:val="none"/>
              </w:rPr>
              <w:t>169-2018），计算所</w:t>
            </w:r>
            <w:r>
              <w:rPr>
                <w:rFonts w:hint="eastAsia"/>
                <w:color w:val="auto"/>
                <w:highlight w:val="none"/>
              </w:rPr>
              <w:t>涉</w:t>
            </w:r>
            <w:r>
              <w:rPr>
                <w:color w:val="auto"/>
                <w:highlight w:val="none"/>
              </w:rPr>
              <w:t>及的每种危险物质在厂界内的最大存在总量与其在附录B中对应临界量的比值Q。在不同厂区的同一种物质，按其在厂界内的最大存在量计算。</w:t>
            </w:r>
          </w:p>
          <w:p w14:paraId="1D41F9BA">
            <w:pPr>
              <w:ind w:firstLine="480"/>
              <w:rPr>
                <w:color w:val="auto"/>
                <w:highlight w:val="none"/>
              </w:rPr>
            </w:pPr>
            <w:r>
              <w:rPr>
                <w:color w:val="auto"/>
                <w:highlight w:val="none"/>
              </w:rPr>
              <w:t>当只涉及一种危险物质时，计算该物质的总量与其临界量比值，即Q：</w:t>
            </w:r>
          </w:p>
          <w:p w14:paraId="0716274C">
            <w:pPr>
              <w:ind w:firstLine="480"/>
              <w:rPr>
                <w:color w:val="auto"/>
                <w:highlight w:val="none"/>
              </w:rPr>
            </w:pPr>
            <w:r>
              <w:rPr>
                <w:color w:val="auto"/>
                <w:highlight w:val="none"/>
              </w:rPr>
              <w:t>当存在多种危险物质时，则按式（C.1）计算物质总量与其临界量比值（Q）：</w:t>
            </w:r>
          </w:p>
          <w:p w14:paraId="77EE3019">
            <w:pPr>
              <w:pStyle w:val="13"/>
              <w:rPr>
                <w:color w:val="auto"/>
                <w:highlight w:val="none"/>
              </w:rPr>
            </w:pPr>
            <w:r>
              <w:rPr>
                <w:rFonts w:cs="Times New Roman"/>
                <w:color w:val="auto"/>
                <w:kern w:val="0"/>
                <w:sz w:val="24"/>
                <w:szCs w:val="24"/>
                <w:highlight w:val="none"/>
              </w:rPr>
              <w:drawing>
                <wp:inline distT="0" distB="0" distL="114300" distR="114300">
                  <wp:extent cx="1772920" cy="434340"/>
                  <wp:effectExtent l="0" t="0" r="17780" b="3810"/>
                  <wp:docPr id="2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 descr="IMG_256"/>
                          <pic:cNvPicPr>
                            <a:picLocks noChangeAspect="1"/>
                          </pic:cNvPicPr>
                        </pic:nvPicPr>
                        <pic:blipFill>
                          <a:blip r:embed="rId39"/>
                          <a:srcRect l="41255" t="50758" r="28697" b="35271"/>
                          <a:stretch>
                            <a:fillRect/>
                          </a:stretch>
                        </pic:blipFill>
                        <pic:spPr>
                          <a:xfrm>
                            <a:off x="0" y="0"/>
                            <a:ext cx="1772920" cy="434340"/>
                          </a:xfrm>
                          <a:prstGeom prst="rect">
                            <a:avLst/>
                          </a:prstGeom>
                          <a:noFill/>
                          <a:ln>
                            <a:noFill/>
                          </a:ln>
                        </pic:spPr>
                      </pic:pic>
                    </a:graphicData>
                  </a:graphic>
                </wp:inline>
              </w:drawing>
            </w:r>
          </w:p>
          <w:p w14:paraId="07B836B5">
            <w:pPr>
              <w:ind w:firstLine="480"/>
              <w:rPr>
                <w:color w:val="auto"/>
                <w:highlight w:val="none"/>
              </w:rPr>
            </w:pPr>
            <w:r>
              <w:rPr>
                <w:color w:val="auto"/>
                <w:highlight w:val="none"/>
              </w:rPr>
              <w:t>式中：q</w:t>
            </w:r>
            <w:r>
              <w:rPr>
                <w:color w:val="auto"/>
                <w:highlight w:val="none"/>
                <w:vertAlign w:val="subscript"/>
              </w:rPr>
              <w:t>1</w:t>
            </w:r>
            <w:r>
              <w:rPr>
                <w:color w:val="auto"/>
                <w:highlight w:val="none"/>
              </w:rPr>
              <w:t>，q</w:t>
            </w:r>
            <w:r>
              <w:rPr>
                <w:color w:val="auto"/>
                <w:highlight w:val="none"/>
                <w:vertAlign w:val="subscript"/>
              </w:rPr>
              <w:t>2</w:t>
            </w:r>
            <w:r>
              <w:rPr>
                <w:color w:val="auto"/>
                <w:highlight w:val="none"/>
              </w:rPr>
              <w:t>，...，q</w:t>
            </w:r>
            <w:r>
              <w:rPr>
                <w:color w:val="auto"/>
                <w:highlight w:val="none"/>
                <w:vertAlign w:val="subscript"/>
              </w:rPr>
              <w:t>n</w:t>
            </w:r>
            <w:r>
              <w:rPr>
                <w:color w:val="auto"/>
                <w:highlight w:val="none"/>
              </w:rPr>
              <w:t>—每种危险物质的最大存在总量，t；</w:t>
            </w:r>
          </w:p>
          <w:p w14:paraId="4117688A">
            <w:pPr>
              <w:ind w:firstLine="480"/>
              <w:rPr>
                <w:color w:val="auto"/>
                <w:highlight w:val="none"/>
              </w:rPr>
            </w:pPr>
            <w:r>
              <w:rPr>
                <w:color w:val="auto"/>
                <w:highlight w:val="none"/>
              </w:rPr>
              <w:t>Q</w:t>
            </w:r>
            <w:r>
              <w:rPr>
                <w:color w:val="auto"/>
                <w:highlight w:val="none"/>
                <w:vertAlign w:val="subscript"/>
              </w:rPr>
              <w:t>1</w:t>
            </w:r>
            <w:r>
              <w:rPr>
                <w:color w:val="auto"/>
                <w:highlight w:val="none"/>
              </w:rPr>
              <w:t>，Q</w:t>
            </w:r>
            <w:r>
              <w:rPr>
                <w:color w:val="auto"/>
                <w:highlight w:val="none"/>
                <w:vertAlign w:val="subscript"/>
              </w:rPr>
              <w:t>2</w:t>
            </w:r>
            <w:r>
              <w:rPr>
                <w:color w:val="auto"/>
                <w:highlight w:val="none"/>
              </w:rPr>
              <w:t>，...，Q</w:t>
            </w:r>
            <w:r>
              <w:rPr>
                <w:color w:val="auto"/>
                <w:highlight w:val="none"/>
                <w:vertAlign w:val="subscript"/>
              </w:rPr>
              <w:t>n</w:t>
            </w:r>
            <w:r>
              <w:rPr>
                <w:color w:val="auto"/>
                <w:highlight w:val="none"/>
              </w:rPr>
              <w:t>—每种危险物质的临界量，t。</w:t>
            </w:r>
          </w:p>
          <w:p w14:paraId="3A12451C">
            <w:pPr>
              <w:ind w:firstLine="480"/>
              <w:rPr>
                <w:color w:val="auto"/>
                <w:highlight w:val="none"/>
              </w:rPr>
            </w:pPr>
            <w:r>
              <w:rPr>
                <w:color w:val="auto"/>
                <w:highlight w:val="none"/>
              </w:rPr>
              <w:t>当Q&lt;1时，该项目风险潜势为I。</w:t>
            </w:r>
          </w:p>
          <w:p w14:paraId="69F207E1">
            <w:pPr>
              <w:ind w:firstLine="480"/>
              <w:rPr>
                <w:color w:val="auto"/>
                <w:highlight w:val="none"/>
              </w:rPr>
            </w:pPr>
            <w:r>
              <w:rPr>
                <w:color w:val="auto"/>
                <w:highlight w:val="none"/>
              </w:rPr>
              <w:t>当Q&gt;1时，将Q值划分为：（1）1&lt;Q&lt;10；（2）10&lt;Q&lt;100；（3）Q&gt;100。</w:t>
            </w:r>
          </w:p>
          <w:p w14:paraId="0525323C">
            <w:pPr>
              <w:pStyle w:val="14"/>
              <w:spacing w:before="156"/>
              <w:rPr>
                <w:color w:val="auto"/>
                <w:highlight w:val="none"/>
              </w:rPr>
            </w:pPr>
            <w:r>
              <w:rPr>
                <w:color w:val="auto"/>
                <w:highlight w:val="none"/>
              </w:rPr>
              <w:t>表4-</w:t>
            </w:r>
            <w:r>
              <w:rPr>
                <w:rFonts w:hint="eastAsia"/>
                <w:color w:val="auto"/>
                <w:highlight w:val="none"/>
              </w:rPr>
              <w:t>2</w:t>
            </w:r>
            <w:r>
              <w:rPr>
                <w:rFonts w:hint="eastAsia"/>
                <w:color w:val="auto"/>
                <w:highlight w:val="none"/>
                <w:lang w:val="en-US" w:eastAsia="zh-CN"/>
              </w:rPr>
              <w:t>2</w:t>
            </w:r>
            <w:r>
              <w:rPr>
                <w:color w:val="auto"/>
                <w:highlight w:val="none"/>
              </w:rPr>
              <w:t xml:space="preserve">  </w:t>
            </w:r>
            <w:r>
              <w:rPr>
                <w:rFonts w:hint="eastAsia"/>
                <w:color w:val="auto"/>
                <w:highlight w:val="none"/>
              </w:rPr>
              <w:t>全厂</w:t>
            </w:r>
            <w:r>
              <w:rPr>
                <w:color w:val="auto"/>
                <w:highlight w:val="none"/>
              </w:rPr>
              <w:t>Q值确定表</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64"/>
              <w:gridCol w:w="1945"/>
              <w:gridCol w:w="2338"/>
              <w:gridCol w:w="2253"/>
              <w:gridCol w:w="1662"/>
            </w:tblGrid>
            <w:tr w14:paraId="03DB0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77" w:type="pct"/>
                  <w:tcBorders>
                    <w:tl2br w:val="nil"/>
                    <w:tr2bl w:val="nil"/>
                  </w:tcBorders>
                  <w:vAlign w:val="center"/>
                </w:tcPr>
                <w:p w14:paraId="7F04E60F">
                  <w:pPr>
                    <w:pStyle w:val="13"/>
                    <w:rPr>
                      <w:b/>
                      <w:bCs/>
                      <w:color w:val="auto"/>
                      <w:highlight w:val="none"/>
                    </w:rPr>
                  </w:pPr>
                  <w:r>
                    <w:rPr>
                      <w:b/>
                      <w:bCs/>
                      <w:color w:val="auto"/>
                      <w:highlight w:val="none"/>
                    </w:rPr>
                    <w:t>序号</w:t>
                  </w:r>
                </w:p>
              </w:tc>
              <w:tc>
                <w:tcPr>
                  <w:tcW w:w="1073" w:type="pct"/>
                  <w:tcBorders>
                    <w:tl2br w:val="nil"/>
                    <w:tr2bl w:val="nil"/>
                  </w:tcBorders>
                  <w:vAlign w:val="center"/>
                </w:tcPr>
                <w:p w14:paraId="79FACB7A">
                  <w:pPr>
                    <w:pStyle w:val="13"/>
                    <w:rPr>
                      <w:b/>
                      <w:bCs/>
                      <w:color w:val="auto"/>
                      <w:highlight w:val="none"/>
                    </w:rPr>
                  </w:pPr>
                  <w:r>
                    <w:rPr>
                      <w:b/>
                      <w:bCs/>
                      <w:color w:val="auto"/>
                      <w:highlight w:val="none"/>
                    </w:rPr>
                    <w:t>危险物质名称</w:t>
                  </w:r>
                </w:p>
              </w:tc>
              <w:tc>
                <w:tcPr>
                  <w:tcW w:w="1290" w:type="pct"/>
                  <w:tcBorders>
                    <w:tl2br w:val="nil"/>
                    <w:tr2bl w:val="nil"/>
                  </w:tcBorders>
                  <w:vAlign w:val="center"/>
                </w:tcPr>
                <w:p w14:paraId="255CF53E">
                  <w:pPr>
                    <w:pStyle w:val="13"/>
                    <w:rPr>
                      <w:b/>
                      <w:bCs/>
                      <w:color w:val="auto"/>
                      <w:highlight w:val="none"/>
                    </w:rPr>
                  </w:pPr>
                  <w:r>
                    <w:rPr>
                      <w:rFonts w:hint="eastAsia"/>
                      <w:b/>
                      <w:bCs/>
                      <w:color w:val="auto"/>
                      <w:highlight w:val="none"/>
                    </w:rPr>
                    <w:t>全厂</w:t>
                  </w:r>
                  <w:r>
                    <w:rPr>
                      <w:b/>
                      <w:bCs/>
                      <w:color w:val="auto"/>
                      <w:highlight w:val="none"/>
                    </w:rPr>
                    <w:t>最大储存量t</w:t>
                  </w:r>
                </w:p>
              </w:tc>
              <w:tc>
                <w:tcPr>
                  <w:tcW w:w="1243" w:type="pct"/>
                  <w:tcBorders>
                    <w:tl2br w:val="nil"/>
                    <w:tr2bl w:val="nil"/>
                  </w:tcBorders>
                  <w:vAlign w:val="center"/>
                </w:tcPr>
                <w:p w14:paraId="7A3910FB">
                  <w:pPr>
                    <w:pStyle w:val="13"/>
                    <w:rPr>
                      <w:b/>
                      <w:bCs/>
                      <w:color w:val="auto"/>
                      <w:highlight w:val="none"/>
                    </w:rPr>
                  </w:pPr>
                  <w:r>
                    <w:rPr>
                      <w:b/>
                      <w:bCs/>
                      <w:color w:val="auto"/>
                      <w:highlight w:val="none"/>
                    </w:rPr>
                    <w:t>临界量t</w:t>
                  </w:r>
                </w:p>
              </w:tc>
              <w:tc>
                <w:tcPr>
                  <w:tcW w:w="915" w:type="pct"/>
                  <w:tcBorders>
                    <w:tl2br w:val="nil"/>
                    <w:tr2bl w:val="nil"/>
                  </w:tcBorders>
                  <w:vAlign w:val="center"/>
                </w:tcPr>
                <w:p w14:paraId="7A4D55A1">
                  <w:pPr>
                    <w:pStyle w:val="13"/>
                    <w:rPr>
                      <w:b/>
                      <w:bCs/>
                      <w:color w:val="auto"/>
                      <w:highlight w:val="none"/>
                    </w:rPr>
                  </w:pPr>
                  <w:r>
                    <w:rPr>
                      <w:b/>
                      <w:bCs/>
                      <w:color w:val="auto"/>
                      <w:highlight w:val="none"/>
                    </w:rPr>
                    <w:t>q</w:t>
                  </w:r>
                  <w:r>
                    <w:rPr>
                      <w:b/>
                      <w:bCs/>
                      <w:color w:val="auto"/>
                      <w:highlight w:val="none"/>
                      <w:vertAlign w:val="subscript"/>
                    </w:rPr>
                    <w:t>i</w:t>
                  </w:r>
                  <w:r>
                    <w:rPr>
                      <w:b/>
                      <w:bCs/>
                      <w:color w:val="auto"/>
                      <w:highlight w:val="none"/>
                    </w:rPr>
                    <w:t>/Q</w:t>
                  </w:r>
                  <w:r>
                    <w:rPr>
                      <w:b/>
                      <w:bCs/>
                      <w:color w:val="auto"/>
                      <w:highlight w:val="none"/>
                      <w:vertAlign w:val="subscript"/>
                    </w:rPr>
                    <w:t>i</w:t>
                  </w:r>
                </w:p>
              </w:tc>
            </w:tr>
            <w:tr w14:paraId="0FC2B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77" w:type="pct"/>
                  <w:tcBorders>
                    <w:tl2br w:val="nil"/>
                    <w:tr2bl w:val="nil"/>
                  </w:tcBorders>
                  <w:vAlign w:val="center"/>
                </w:tcPr>
                <w:p w14:paraId="716E417B">
                  <w:pPr>
                    <w:pStyle w:val="13"/>
                    <w:rPr>
                      <w:rFonts w:hint="eastAsia" w:eastAsia="宋体"/>
                      <w:color w:val="auto"/>
                      <w:highlight w:val="none"/>
                      <w:lang w:val="en-US" w:eastAsia="zh-CN"/>
                    </w:rPr>
                  </w:pPr>
                  <w:r>
                    <w:rPr>
                      <w:rFonts w:hint="eastAsia"/>
                      <w:color w:val="auto"/>
                      <w:highlight w:val="none"/>
                      <w:lang w:val="en-US" w:eastAsia="zh-CN"/>
                    </w:rPr>
                    <w:t>1</w:t>
                  </w:r>
                </w:p>
              </w:tc>
              <w:tc>
                <w:tcPr>
                  <w:tcW w:w="1073" w:type="pct"/>
                  <w:tcBorders>
                    <w:tl2br w:val="nil"/>
                    <w:tr2bl w:val="nil"/>
                  </w:tcBorders>
                  <w:vAlign w:val="center"/>
                </w:tcPr>
                <w:p w14:paraId="317E496E">
                  <w:pPr>
                    <w:pStyle w:val="13"/>
                    <w:rPr>
                      <w:rFonts w:hint="eastAsia"/>
                      <w:color w:val="auto"/>
                      <w:highlight w:val="none"/>
                    </w:rPr>
                  </w:pPr>
                  <w:r>
                    <w:rPr>
                      <w:rFonts w:hint="eastAsia"/>
                      <w:color w:val="auto"/>
                      <w:highlight w:val="none"/>
                      <w:lang w:val="en-US" w:eastAsia="zh-CN"/>
                    </w:rPr>
                    <w:t>矿物油</w:t>
                  </w:r>
                </w:p>
              </w:tc>
              <w:tc>
                <w:tcPr>
                  <w:tcW w:w="1290" w:type="pct"/>
                  <w:tcBorders>
                    <w:tl2br w:val="nil"/>
                    <w:tr2bl w:val="nil"/>
                  </w:tcBorders>
                  <w:vAlign w:val="center"/>
                </w:tcPr>
                <w:p w14:paraId="3834962A">
                  <w:pPr>
                    <w:pStyle w:val="13"/>
                    <w:rPr>
                      <w:rFonts w:hint="default" w:eastAsia="宋体"/>
                      <w:color w:val="auto"/>
                      <w:highlight w:val="none"/>
                      <w:lang w:val="en-US" w:eastAsia="zh-CN"/>
                    </w:rPr>
                  </w:pPr>
                  <w:r>
                    <w:rPr>
                      <w:rFonts w:hint="eastAsia"/>
                      <w:color w:val="auto"/>
                      <w:highlight w:val="none"/>
                      <w:lang w:val="en-US" w:eastAsia="zh-CN"/>
                    </w:rPr>
                    <w:t>0.15</w:t>
                  </w:r>
                </w:p>
              </w:tc>
              <w:tc>
                <w:tcPr>
                  <w:tcW w:w="1243" w:type="pct"/>
                  <w:tcBorders>
                    <w:tl2br w:val="nil"/>
                    <w:tr2bl w:val="nil"/>
                  </w:tcBorders>
                  <w:vAlign w:val="center"/>
                </w:tcPr>
                <w:p w14:paraId="2C6DFE5E">
                  <w:pPr>
                    <w:pStyle w:val="13"/>
                    <w:rPr>
                      <w:rFonts w:hint="default" w:eastAsia="宋体"/>
                      <w:color w:val="auto"/>
                      <w:highlight w:val="none"/>
                      <w:lang w:val="en-US" w:eastAsia="zh-CN"/>
                    </w:rPr>
                  </w:pPr>
                  <w:r>
                    <w:rPr>
                      <w:rFonts w:hint="eastAsia"/>
                      <w:color w:val="auto"/>
                      <w:highlight w:val="none"/>
                      <w:lang w:val="en-US" w:eastAsia="zh-CN"/>
                    </w:rPr>
                    <w:t>50</w:t>
                  </w:r>
                </w:p>
              </w:tc>
              <w:tc>
                <w:tcPr>
                  <w:tcW w:w="915" w:type="pct"/>
                  <w:tcBorders>
                    <w:tl2br w:val="nil"/>
                    <w:tr2bl w:val="nil"/>
                  </w:tcBorders>
                  <w:vAlign w:val="center"/>
                </w:tcPr>
                <w:p w14:paraId="570D9849">
                  <w:pPr>
                    <w:pStyle w:val="13"/>
                    <w:rPr>
                      <w:rFonts w:hint="default" w:eastAsia="宋体"/>
                      <w:color w:val="auto"/>
                      <w:highlight w:val="none"/>
                      <w:lang w:val="en-US" w:eastAsia="zh-CN"/>
                    </w:rPr>
                  </w:pPr>
                  <w:r>
                    <w:rPr>
                      <w:rFonts w:hint="eastAsia"/>
                      <w:color w:val="auto"/>
                      <w:highlight w:val="none"/>
                      <w:lang w:val="en-US" w:eastAsia="zh-CN"/>
                    </w:rPr>
                    <w:t>0.003</w:t>
                  </w:r>
                </w:p>
              </w:tc>
            </w:tr>
            <w:tr w14:paraId="1FB25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77" w:type="pct"/>
                  <w:tcBorders>
                    <w:tl2br w:val="nil"/>
                    <w:tr2bl w:val="nil"/>
                  </w:tcBorders>
                  <w:vAlign w:val="center"/>
                </w:tcPr>
                <w:p w14:paraId="05132716">
                  <w:pPr>
                    <w:pStyle w:val="13"/>
                    <w:rPr>
                      <w:rFonts w:hint="eastAsia" w:eastAsia="宋体"/>
                      <w:color w:val="auto"/>
                      <w:highlight w:val="none"/>
                      <w:lang w:eastAsia="zh-CN"/>
                    </w:rPr>
                  </w:pPr>
                  <w:r>
                    <w:rPr>
                      <w:rFonts w:hint="eastAsia"/>
                      <w:color w:val="auto"/>
                      <w:highlight w:val="none"/>
                      <w:lang w:val="en-US" w:eastAsia="zh-CN"/>
                    </w:rPr>
                    <w:t>2</w:t>
                  </w:r>
                </w:p>
              </w:tc>
              <w:tc>
                <w:tcPr>
                  <w:tcW w:w="1073" w:type="pct"/>
                  <w:tcBorders>
                    <w:tl2br w:val="nil"/>
                    <w:tr2bl w:val="nil"/>
                  </w:tcBorders>
                  <w:vAlign w:val="center"/>
                </w:tcPr>
                <w:p w14:paraId="4ACF19E9">
                  <w:pPr>
                    <w:pStyle w:val="13"/>
                    <w:rPr>
                      <w:color w:val="auto"/>
                      <w:highlight w:val="none"/>
                    </w:rPr>
                  </w:pPr>
                  <w:r>
                    <w:rPr>
                      <w:rFonts w:hint="eastAsia"/>
                      <w:color w:val="auto"/>
                      <w:highlight w:val="none"/>
                    </w:rPr>
                    <w:t>危险废物</w:t>
                  </w:r>
                </w:p>
              </w:tc>
              <w:tc>
                <w:tcPr>
                  <w:tcW w:w="1290" w:type="pct"/>
                  <w:tcBorders>
                    <w:tl2br w:val="nil"/>
                    <w:tr2bl w:val="nil"/>
                  </w:tcBorders>
                  <w:vAlign w:val="center"/>
                </w:tcPr>
                <w:p w14:paraId="0621CBDA">
                  <w:pPr>
                    <w:pStyle w:val="13"/>
                    <w:rPr>
                      <w:color w:val="auto"/>
                      <w:highlight w:val="none"/>
                    </w:rPr>
                  </w:pPr>
                  <w:r>
                    <w:rPr>
                      <w:rFonts w:hint="eastAsia"/>
                      <w:color w:val="auto"/>
                      <w:highlight w:val="none"/>
                    </w:rPr>
                    <w:t>0.35</w:t>
                  </w:r>
                </w:p>
              </w:tc>
              <w:tc>
                <w:tcPr>
                  <w:tcW w:w="1243" w:type="pct"/>
                  <w:tcBorders>
                    <w:tl2br w:val="nil"/>
                    <w:tr2bl w:val="nil"/>
                  </w:tcBorders>
                  <w:vAlign w:val="center"/>
                </w:tcPr>
                <w:p w14:paraId="59961341">
                  <w:pPr>
                    <w:pStyle w:val="13"/>
                    <w:rPr>
                      <w:color w:val="auto"/>
                      <w:highlight w:val="none"/>
                    </w:rPr>
                  </w:pPr>
                  <w:r>
                    <w:rPr>
                      <w:rFonts w:hint="eastAsia"/>
                      <w:color w:val="auto"/>
                      <w:highlight w:val="none"/>
                    </w:rPr>
                    <w:t>50</w:t>
                  </w:r>
                </w:p>
              </w:tc>
              <w:tc>
                <w:tcPr>
                  <w:tcW w:w="915" w:type="pct"/>
                  <w:tcBorders>
                    <w:tl2br w:val="nil"/>
                    <w:tr2bl w:val="nil"/>
                  </w:tcBorders>
                  <w:vAlign w:val="center"/>
                </w:tcPr>
                <w:p w14:paraId="6D6D9321">
                  <w:pPr>
                    <w:pStyle w:val="13"/>
                    <w:rPr>
                      <w:color w:val="auto"/>
                      <w:highlight w:val="none"/>
                    </w:rPr>
                  </w:pPr>
                  <w:r>
                    <w:rPr>
                      <w:rFonts w:hint="eastAsia"/>
                      <w:color w:val="auto"/>
                      <w:highlight w:val="none"/>
                    </w:rPr>
                    <w:t>0.007</w:t>
                  </w:r>
                </w:p>
              </w:tc>
            </w:tr>
            <w:tr w14:paraId="3C038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000" w:type="pct"/>
                  <w:gridSpan w:val="5"/>
                  <w:tcBorders>
                    <w:tl2br w:val="nil"/>
                    <w:tr2bl w:val="nil"/>
                  </w:tcBorders>
                  <w:vAlign w:val="center"/>
                </w:tcPr>
                <w:p w14:paraId="179EA3ED">
                  <w:pPr>
                    <w:pStyle w:val="13"/>
                    <w:rPr>
                      <w:rFonts w:hint="eastAsia" w:eastAsia="宋体"/>
                      <w:color w:val="auto"/>
                      <w:highlight w:val="none"/>
                      <w:lang w:eastAsia="zh-CN"/>
                    </w:rPr>
                  </w:pPr>
                  <w:r>
                    <w:rPr>
                      <w:color w:val="auto"/>
                      <w:highlight w:val="none"/>
                    </w:rPr>
                    <w:t>∑Q=</w:t>
                  </w:r>
                  <w:r>
                    <w:rPr>
                      <w:rFonts w:hint="eastAsia"/>
                      <w:color w:val="auto"/>
                      <w:highlight w:val="none"/>
                    </w:rPr>
                    <w:t>0.0</w:t>
                  </w:r>
                  <w:r>
                    <w:rPr>
                      <w:rFonts w:hint="eastAsia"/>
                      <w:color w:val="auto"/>
                      <w:highlight w:val="none"/>
                      <w:lang w:val="en-US" w:eastAsia="zh-CN"/>
                    </w:rPr>
                    <w:t>1</w:t>
                  </w:r>
                </w:p>
              </w:tc>
            </w:tr>
          </w:tbl>
          <w:p w14:paraId="6F0E3D06">
            <w:pPr>
              <w:ind w:firstLine="480"/>
              <w:rPr>
                <w:color w:val="auto"/>
                <w:highlight w:val="none"/>
              </w:rPr>
            </w:pPr>
            <w:r>
              <w:rPr>
                <w:rFonts w:hint="eastAsia"/>
                <w:color w:val="auto"/>
                <w:highlight w:val="none"/>
              </w:rPr>
              <w:t>综上</w:t>
            </w:r>
            <w:r>
              <w:rPr>
                <w:color w:val="auto"/>
                <w:highlight w:val="none"/>
              </w:rPr>
              <w:t>，</w:t>
            </w:r>
            <w:r>
              <w:rPr>
                <w:rFonts w:hint="eastAsia"/>
                <w:color w:val="auto"/>
                <w:highlight w:val="none"/>
              </w:rPr>
              <w:t>企业建成后</w:t>
            </w:r>
            <w:r>
              <w:rPr>
                <w:color w:val="auto"/>
                <w:highlight w:val="none"/>
              </w:rPr>
              <w:t>Q</w:t>
            </w:r>
            <w:r>
              <w:rPr>
                <w:rFonts w:hint="eastAsia"/>
                <w:color w:val="auto"/>
                <w:highlight w:val="none"/>
              </w:rPr>
              <w:t>=0.0</w:t>
            </w:r>
            <w:r>
              <w:rPr>
                <w:rFonts w:hint="eastAsia"/>
                <w:color w:val="auto"/>
                <w:highlight w:val="none"/>
                <w:lang w:val="en-US" w:eastAsia="zh-CN"/>
              </w:rPr>
              <w:t>1</w:t>
            </w:r>
            <w:r>
              <w:rPr>
                <w:rFonts w:hint="eastAsia" w:cs="Times New Roman"/>
                <w:color w:val="auto"/>
                <w:highlight w:val="none"/>
              </w:rPr>
              <w:t>&lt;</w:t>
            </w:r>
            <w:r>
              <w:rPr>
                <w:color w:val="auto"/>
                <w:highlight w:val="none"/>
              </w:rPr>
              <w:t>1，项目环境风险潜势为Ⅰ。开展简单分析。</w:t>
            </w:r>
          </w:p>
          <w:p w14:paraId="1047F8FB">
            <w:pPr>
              <w:pStyle w:val="3"/>
              <w:ind w:firstLine="482"/>
              <w:rPr>
                <w:color w:val="auto"/>
                <w:highlight w:val="none"/>
              </w:rPr>
            </w:pPr>
            <w:r>
              <w:rPr>
                <w:color w:val="auto"/>
                <w:highlight w:val="none"/>
              </w:rPr>
              <w:t>（</w:t>
            </w:r>
            <w:r>
              <w:rPr>
                <w:rFonts w:hint="eastAsia"/>
                <w:color w:val="auto"/>
                <w:highlight w:val="none"/>
              </w:rPr>
              <w:t>4</w:t>
            </w:r>
            <w:r>
              <w:rPr>
                <w:color w:val="auto"/>
                <w:highlight w:val="none"/>
              </w:rPr>
              <w:t>）环境风险识别</w:t>
            </w:r>
          </w:p>
          <w:p w14:paraId="34277AF1">
            <w:pPr>
              <w:ind w:firstLine="480"/>
              <w:rPr>
                <w:color w:val="auto"/>
                <w:highlight w:val="none"/>
              </w:rPr>
            </w:pPr>
            <w:r>
              <w:rPr>
                <w:color w:val="auto"/>
                <w:highlight w:val="none"/>
              </w:rPr>
              <w:t>根据《建设项目环境风险评价技术导则》（HJ 169-2018），物质危险性识别包括主要</w:t>
            </w:r>
            <w:r>
              <w:rPr>
                <w:rFonts w:hint="eastAsia"/>
                <w:color w:val="auto"/>
                <w:highlight w:val="none"/>
              </w:rPr>
              <w:t>原辅料</w:t>
            </w:r>
            <w:r>
              <w:rPr>
                <w:color w:val="auto"/>
                <w:highlight w:val="none"/>
              </w:rPr>
              <w:t>、燃料、中间产品、副产品、最终产品、污染物、火灾和爆炸伴生/次生物等。</w:t>
            </w:r>
          </w:p>
          <w:p w14:paraId="69A44D82">
            <w:pPr>
              <w:ind w:firstLine="480"/>
              <w:rPr>
                <w:color w:val="auto"/>
                <w:highlight w:val="none"/>
              </w:rPr>
            </w:pPr>
            <w:r>
              <w:rPr>
                <w:color w:val="auto"/>
                <w:highlight w:val="none"/>
              </w:rPr>
              <w:t>根据国内外同行业事故统计分析及典型事故案例资料，</w:t>
            </w:r>
            <w:r>
              <w:rPr>
                <w:rFonts w:hint="eastAsia"/>
                <w:color w:val="auto"/>
                <w:highlight w:val="none"/>
              </w:rPr>
              <w:t>项目</w:t>
            </w:r>
            <w:r>
              <w:rPr>
                <w:color w:val="auto"/>
                <w:highlight w:val="none"/>
              </w:rPr>
              <w:t>主要生产装置、贮运系统、公用工程系统、环保工程设施及辅助生产设施等中的风险源项为贮运系统、环保工程设施、公用工程系统，风险类型为化学品及危险废物泄漏事故、废气处理系统事故、废水处理系统事故、火灾事故。建设项目风险识别结果如下：</w:t>
            </w:r>
          </w:p>
          <w:p w14:paraId="5F3E6BE3">
            <w:pPr>
              <w:pStyle w:val="14"/>
              <w:spacing w:before="156"/>
              <w:rPr>
                <w:color w:val="auto"/>
                <w:highlight w:val="none"/>
              </w:rPr>
            </w:pPr>
            <w:r>
              <w:rPr>
                <w:color w:val="auto"/>
                <w:highlight w:val="none"/>
              </w:rPr>
              <w:t>表4-2</w:t>
            </w:r>
            <w:r>
              <w:rPr>
                <w:rFonts w:hint="eastAsia"/>
                <w:color w:val="auto"/>
                <w:highlight w:val="none"/>
                <w:lang w:val="en-US" w:eastAsia="zh-CN"/>
              </w:rPr>
              <w:t>3</w:t>
            </w:r>
            <w:r>
              <w:rPr>
                <w:color w:val="auto"/>
                <w:highlight w:val="none"/>
              </w:rPr>
              <w:t xml:space="preserve">  建设项目环境风险识别表</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
              <w:gridCol w:w="1080"/>
              <w:gridCol w:w="870"/>
              <w:gridCol w:w="1635"/>
              <w:gridCol w:w="1499"/>
              <w:gridCol w:w="1785"/>
              <w:gridCol w:w="1758"/>
            </w:tblGrid>
            <w:tr w14:paraId="192C3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0" w:type="pct"/>
                  <w:tcBorders>
                    <w:top w:val="single" w:color="auto" w:sz="4" w:space="0"/>
                    <w:left w:val="single" w:color="auto" w:sz="4" w:space="0"/>
                    <w:bottom w:val="single" w:color="auto" w:sz="4" w:space="0"/>
                    <w:right w:val="single" w:color="auto" w:sz="4" w:space="0"/>
                  </w:tcBorders>
                  <w:vAlign w:val="center"/>
                </w:tcPr>
                <w:p w14:paraId="78BDC05F">
                  <w:pPr>
                    <w:pStyle w:val="13"/>
                    <w:rPr>
                      <w:b/>
                      <w:bCs/>
                      <w:color w:val="auto"/>
                      <w:highlight w:val="none"/>
                    </w:rPr>
                  </w:pPr>
                  <w:r>
                    <w:rPr>
                      <w:rFonts w:hint="eastAsia"/>
                      <w:b/>
                      <w:bCs/>
                      <w:color w:val="auto"/>
                      <w:highlight w:val="none"/>
                    </w:rPr>
                    <w:t>序号</w:t>
                  </w:r>
                </w:p>
              </w:tc>
              <w:tc>
                <w:tcPr>
                  <w:tcW w:w="595" w:type="pct"/>
                  <w:tcBorders>
                    <w:top w:val="single" w:color="auto" w:sz="4" w:space="0"/>
                    <w:left w:val="single" w:color="auto" w:sz="4" w:space="0"/>
                    <w:bottom w:val="single" w:color="auto" w:sz="4" w:space="0"/>
                    <w:right w:val="single" w:color="auto" w:sz="4" w:space="0"/>
                  </w:tcBorders>
                  <w:vAlign w:val="center"/>
                </w:tcPr>
                <w:p w14:paraId="2409BAB6">
                  <w:pPr>
                    <w:pStyle w:val="13"/>
                    <w:rPr>
                      <w:b/>
                      <w:bCs/>
                      <w:color w:val="auto"/>
                      <w:highlight w:val="none"/>
                    </w:rPr>
                  </w:pPr>
                  <w:r>
                    <w:rPr>
                      <w:rFonts w:hint="eastAsia"/>
                      <w:b/>
                      <w:bCs/>
                      <w:color w:val="auto"/>
                      <w:highlight w:val="none"/>
                    </w:rPr>
                    <w:t>危险单元</w:t>
                  </w:r>
                </w:p>
              </w:tc>
              <w:tc>
                <w:tcPr>
                  <w:tcW w:w="480" w:type="pct"/>
                  <w:tcBorders>
                    <w:top w:val="single" w:color="auto" w:sz="4" w:space="0"/>
                    <w:left w:val="single" w:color="auto" w:sz="4" w:space="0"/>
                    <w:bottom w:val="single" w:color="auto" w:sz="4" w:space="0"/>
                    <w:right w:val="single" w:color="auto" w:sz="4" w:space="0"/>
                  </w:tcBorders>
                  <w:vAlign w:val="center"/>
                </w:tcPr>
                <w:p w14:paraId="244C964F">
                  <w:pPr>
                    <w:pStyle w:val="13"/>
                    <w:rPr>
                      <w:b/>
                      <w:bCs/>
                      <w:color w:val="auto"/>
                      <w:highlight w:val="none"/>
                    </w:rPr>
                  </w:pPr>
                  <w:r>
                    <w:rPr>
                      <w:rFonts w:hint="eastAsia"/>
                      <w:b/>
                      <w:bCs/>
                      <w:color w:val="auto"/>
                      <w:highlight w:val="none"/>
                    </w:rPr>
                    <w:t>风险源</w:t>
                  </w:r>
                </w:p>
              </w:tc>
              <w:tc>
                <w:tcPr>
                  <w:tcW w:w="902" w:type="pct"/>
                  <w:tcBorders>
                    <w:top w:val="single" w:color="auto" w:sz="4" w:space="0"/>
                    <w:left w:val="single" w:color="auto" w:sz="4" w:space="0"/>
                    <w:bottom w:val="single" w:color="auto" w:sz="4" w:space="0"/>
                    <w:right w:val="single" w:color="auto" w:sz="4" w:space="0"/>
                  </w:tcBorders>
                  <w:vAlign w:val="center"/>
                </w:tcPr>
                <w:p w14:paraId="292F2566">
                  <w:pPr>
                    <w:pStyle w:val="13"/>
                    <w:rPr>
                      <w:b/>
                      <w:bCs/>
                      <w:color w:val="auto"/>
                      <w:highlight w:val="none"/>
                    </w:rPr>
                  </w:pPr>
                  <w:r>
                    <w:rPr>
                      <w:rFonts w:hint="eastAsia"/>
                      <w:b/>
                      <w:bCs/>
                      <w:color w:val="auto"/>
                      <w:highlight w:val="none"/>
                    </w:rPr>
                    <w:t>主要危险物质</w:t>
                  </w:r>
                </w:p>
              </w:tc>
              <w:tc>
                <w:tcPr>
                  <w:tcW w:w="827" w:type="pct"/>
                  <w:tcBorders>
                    <w:top w:val="single" w:color="auto" w:sz="4" w:space="0"/>
                    <w:left w:val="single" w:color="auto" w:sz="4" w:space="0"/>
                    <w:bottom w:val="single" w:color="auto" w:sz="4" w:space="0"/>
                    <w:right w:val="single" w:color="auto" w:sz="4" w:space="0"/>
                  </w:tcBorders>
                  <w:vAlign w:val="center"/>
                </w:tcPr>
                <w:p w14:paraId="10BA8596">
                  <w:pPr>
                    <w:pStyle w:val="13"/>
                    <w:rPr>
                      <w:b/>
                      <w:bCs/>
                      <w:color w:val="auto"/>
                      <w:highlight w:val="none"/>
                    </w:rPr>
                  </w:pPr>
                  <w:r>
                    <w:rPr>
                      <w:rFonts w:hint="eastAsia"/>
                      <w:b/>
                      <w:bCs/>
                      <w:color w:val="auto"/>
                      <w:highlight w:val="none"/>
                    </w:rPr>
                    <w:t>环境风险类型</w:t>
                  </w:r>
                </w:p>
              </w:tc>
              <w:tc>
                <w:tcPr>
                  <w:tcW w:w="984" w:type="pct"/>
                  <w:tcBorders>
                    <w:top w:val="single" w:color="auto" w:sz="4" w:space="0"/>
                    <w:left w:val="single" w:color="auto" w:sz="4" w:space="0"/>
                    <w:bottom w:val="single" w:color="auto" w:sz="4" w:space="0"/>
                    <w:right w:val="single" w:color="auto" w:sz="4" w:space="0"/>
                  </w:tcBorders>
                  <w:vAlign w:val="center"/>
                </w:tcPr>
                <w:p w14:paraId="5EA38290">
                  <w:pPr>
                    <w:pStyle w:val="13"/>
                    <w:rPr>
                      <w:b/>
                      <w:bCs/>
                      <w:color w:val="auto"/>
                      <w:highlight w:val="none"/>
                    </w:rPr>
                  </w:pPr>
                  <w:r>
                    <w:rPr>
                      <w:rFonts w:hint="eastAsia"/>
                      <w:b/>
                      <w:bCs/>
                      <w:color w:val="auto"/>
                      <w:highlight w:val="none"/>
                    </w:rPr>
                    <w:t>环境影响途径</w:t>
                  </w:r>
                </w:p>
              </w:tc>
              <w:tc>
                <w:tcPr>
                  <w:tcW w:w="969" w:type="pct"/>
                  <w:tcBorders>
                    <w:top w:val="single" w:color="auto" w:sz="4" w:space="0"/>
                    <w:left w:val="single" w:color="auto" w:sz="4" w:space="0"/>
                    <w:bottom w:val="single" w:color="auto" w:sz="4" w:space="0"/>
                    <w:right w:val="single" w:color="auto" w:sz="4" w:space="0"/>
                  </w:tcBorders>
                  <w:vAlign w:val="center"/>
                </w:tcPr>
                <w:p w14:paraId="41D4BB8F">
                  <w:pPr>
                    <w:pStyle w:val="13"/>
                    <w:rPr>
                      <w:b/>
                      <w:bCs/>
                      <w:color w:val="auto"/>
                      <w:highlight w:val="none"/>
                    </w:rPr>
                  </w:pPr>
                  <w:r>
                    <w:rPr>
                      <w:b/>
                      <w:bCs/>
                      <w:color w:val="auto"/>
                      <w:highlight w:val="none"/>
                    </w:rPr>
                    <w:t>可能受影响的环境敏感目标</w:t>
                  </w:r>
                </w:p>
              </w:tc>
            </w:tr>
            <w:tr w14:paraId="6DBFA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0" w:type="pct"/>
                  <w:tcBorders>
                    <w:top w:val="single" w:color="auto" w:sz="4" w:space="0"/>
                    <w:left w:val="single" w:color="auto" w:sz="4" w:space="0"/>
                    <w:bottom w:val="single" w:color="auto" w:sz="4" w:space="0"/>
                    <w:right w:val="single" w:color="auto" w:sz="4" w:space="0"/>
                  </w:tcBorders>
                  <w:vAlign w:val="center"/>
                </w:tcPr>
                <w:p w14:paraId="5120AC66">
                  <w:pPr>
                    <w:pStyle w:val="13"/>
                    <w:rPr>
                      <w:rFonts w:hint="eastAsia" w:eastAsia="宋体"/>
                      <w:color w:val="auto"/>
                      <w:highlight w:val="none"/>
                      <w:lang w:val="en-US" w:eastAsia="zh-CN"/>
                    </w:rPr>
                  </w:pPr>
                  <w:r>
                    <w:rPr>
                      <w:rFonts w:hint="eastAsia"/>
                      <w:color w:val="auto"/>
                      <w:highlight w:val="none"/>
                      <w:lang w:val="en-US" w:eastAsia="zh-CN"/>
                    </w:rPr>
                    <w:t>1</w:t>
                  </w:r>
                </w:p>
              </w:tc>
              <w:tc>
                <w:tcPr>
                  <w:tcW w:w="595" w:type="pct"/>
                  <w:tcBorders>
                    <w:top w:val="single" w:color="auto" w:sz="4" w:space="0"/>
                    <w:left w:val="single" w:color="auto" w:sz="4" w:space="0"/>
                    <w:bottom w:val="single" w:color="auto" w:sz="4" w:space="0"/>
                    <w:right w:val="single" w:color="auto" w:sz="4" w:space="0"/>
                  </w:tcBorders>
                  <w:vAlign w:val="center"/>
                </w:tcPr>
                <w:p w14:paraId="255239FF">
                  <w:pPr>
                    <w:pStyle w:val="13"/>
                    <w:rPr>
                      <w:rFonts w:hint="eastAsia" w:eastAsia="宋体"/>
                      <w:color w:val="auto"/>
                      <w:highlight w:val="none"/>
                      <w:lang w:val="en-US" w:eastAsia="zh-CN"/>
                    </w:rPr>
                  </w:pPr>
                  <w:r>
                    <w:rPr>
                      <w:rFonts w:hint="eastAsia"/>
                      <w:color w:val="auto"/>
                      <w:highlight w:val="none"/>
                      <w:lang w:val="en-US" w:eastAsia="zh-CN"/>
                    </w:rPr>
                    <w:t>原料仓库</w:t>
                  </w:r>
                </w:p>
              </w:tc>
              <w:tc>
                <w:tcPr>
                  <w:tcW w:w="480" w:type="pct"/>
                  <w:tcBorders>
                    <w:top w:val="single" w:color="auto" w:sz="4" w:space="0"/>
                    <w:left w:val="single" w:color="auto" w:sz="4" w:space="0"/>
                    <w:bottom w:val="single" w:color="auto" w:sz="4" w:space="0"/>
                    <w:right w:val="single" w:color="auto" w:sz="4" w:space="0"/>
                  </w:tcBorders>
                  <w:vAlign w:val="center"/>
                </w:tcPr>
                <w:p w14:paraId="10974775">
                  <w:pPr>
                    <w:pStyle w:val="13"/>
                    <w:rPr>
                      <w:rFonts w:hint="eastAsia" w:eastAsia="宋体"/>
                      <w:color w:val="auto"/>
                      <w:highlight w:val="none"/>
                      <w:lang w:val="en-US" w:eastAsia="zh-CN"/>
                    </w:rPr>
                  </w:pPr>
                  <w:r>
                    <w:rPr>
                      <w:rFonts w:hint="eastAsia"/>
                      <w:color w:val="auto"/>
                      <w:highlight w:val="none"/>
                      <w:lang w:val="en-US" w:eastAsia="zh-CN"/>
                    </w:rPr>
                    <w:t>矿物油</w:t>
                  </w:r>
                </w:p>
              </w:tc>
              <w:tc>
                <w:tcPr>
                  <w:tcW w:w="902" w:type="pct"/>
                  <w:tcBorders>
                    <w:top w:val="single" w:color="auto" w:sz="4" w:space="0"/>
                    <w:left w:val="single" w:color="auto" w:sz="4" w:space="0"/>
                    <w:bottom w:val="single" w:color="auto" w:sz="4" w:space="0"/>
                    <w:right w:val="single" w:color="auto" w:sz="4" w:space="0"/>
                  </w:tcBorders>
                  <w:vAlign w:val="center"/>
                </w:tcPr>
                <w:p w14:paraId="1CC483AA">
                  <w:pPr>
                    <w:pStyle w:val="13"/>
                    <w:rPr>
                      <w:rFonts w:hint="eastAsia" w:eastAsia="宋体"/>
                      <w:color w:val="auto"/>
                      <w:highlight w:val="none"/>
                      <w:lang w:val="en-US" w:eastAsia="zh-CN"/>
                    </w:rPr>
                  </w:pPr>
                  <w:r>
                    <w:rPr>
                      <w:rFonts w:hint="eastAsia"/>
                      <w:color w:val="auto"/>
                      <w:highlight w:val="none"/>
                      <w:lang w:val="en-US" w:eastAsia="zh-CN"/>
                    </w:rPr>
                    <w:t>矿物油</w:t>
                  </w:r>
                </w:p>
              </w:tc>
              <w:tc>
                <w:tcPr>
                  <w:tcW w:w="827" w:type="pct"/>
                  <w:tcBorders>
                    <w:top w:val="single" w:color="auto" w:sz="4" w:space="0"/>
                    <w:left w:val="single" w:color="auto" w:sz="4" w:space="0"/>
                    <w:bottom w:val="single" w:color="auto" w:sz="4" w:space="0"/>
                    <w:right w:val="single" w:color="auto" w:sz="4" w:space="0"/>
                  </w:tcBorders>
                  <w:vAlign w:val="center"/>
                </w:tcPr>
                <w:p w14:paraId="4A630B3A">
                  <w:pPr>
                    <w:pStyle w:val="13"/>
                    <w:ind w:firstLine="0" w:firstLineChars="0"/>
                    <w:rPr>
                      <w:rFonts w:hint="eastAsia"/>
                      <w:color w:val="auto"/>
                      <w:highlight w:val="none"/>
                    </w:rPr>
                  </w:pPr>
                  <w:r>
                    <w:rPr>
                      <w:rFonts w:hint="eastAsia"/>
                      <w:color w:val="auto"/>
                      <w:highlight w:val="none"/>
                    </w:rPr>
                    <w:t>火灾次生/衍生事故/泄漏</w:t>
                  </w:r>
                </w:p>
              </w:tc>
              <w:tc>
                <w:tcPr>
                  <w:tcW w:w="984" w:type="pct"/>
                  <w:tcBorders>
                    <w:top w:val="single" w:color="auto" w:sz="4" w:space="0"/>
                    <w:left w:val="single" w:color="auto" w:sz="4" w:space="0"/>
                    <w:bottom w:val="single" w:color="auto" w:sz="4" w:space="0"/>
                    <w:right w:val="single" w:color="auto" w:sz="4" w:space="0"/>
                  </w:tcBorders>
                  <w:vAlign w:val="center"/>
                </w:tcPr>
                <w:p w14:paraId="7220FE76">
                  <w:pPr>
                    <w:pStyle w:val="13"/>
                    <w:ind w:firstLine="0" w:firstLineChars="0"/>
                    <w:rPr>
                      <w:rFonts w:hint="eastAsia"/>
                      <w:color w:val="auto"/>
                      <w:highlight w:val="none"/>
                    </w:rPr>
                  </w:pPr>
                  <w:r>
                    <w:rPr>
                      <w:rFonts w:hint="eastAsia"/>
                      <w:color w:val="auto"/>
                      <w:highlight w:val="none"/>
                    </w:rPr>
                    <w:t>大气扩散/土壤扩散/地下水扩散</w:t>
                  </w:r>
                </w:p>
              </w:tc>
              <w:tc>
                <w:tcPr>
                  <w:tcW w:w="969" w:type="pct"/>
                  <w:tcBorders>
                    <w:top w:val="single" w:color="auto" w:sz="4" w:space="0"/>
                    <w:left w:val="single" w:color="auto" w:sz="4" w:space="0"/>
                    <w:bottom w:val="single" w:color="auto" w:sz="4" w:space="0"/>
                    <w:right w:val="single" w:color="auto" w:sz="4" w:space="0"/>
                  </w:tcBorders>
                  <w:vAlign w:val="center"/>
                </w:tcPr>
                <w:p w14:paraId="31279ED8">
                  <w:pPr>
                    <w:pStyle w:val="13"/>
                    <w:ind w:firstLine="0" w:firstLineChars="0"/>
                    <w:rPr>
                      <w:rFonts w:hint="eastAsia"/>
                      <w:color w:val="auto"/>
                      <w:highlight w:val="none"/>
                    </w:rPr>
                  </w:pPr>
                  <w:r>
                    <w:rPr>
                      <w:rFonts w:hint="eastAsia"/>
                      <w:color w:val="auto"/>
                      <w:highlight w:val="none"/>
                    </w:rPr>
                    <w:t>大气环境/土壤环境/地下水环境</w:t>
                  </w:r>
                </w:p>
              </w:tc>
            </w:tr>
            <w:tr w14:paraId="64187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0" w:type="pct"/>
                  <w:tcBorders>
                    <w:top w:val="single" w:color="auto" w:sz="4" w:space="0"/>
                    <w:left w:val="single" w:color="auto" w:sz="4" w:space="0"/>
                    <w:bottom w:val="single" w:color="auto" w:sz="4" w:space="0"/>
                    <w:right w:val="single" w:color="auto" w:sz="4" w:space="0"/>
                  </w:tcBorders>
                  <w:vAlign w:val="center"/>
                </w:tcPr>
                <w:p w14:paraId="4F47802D">
                  <w:pPr>
                    <w:pStyle w:val="13"/>
                    <w:rPr>
                      <w:rFonts w:hint="eastAsia" w:eastAsia="宋体"/>
                      <w:color w:val="auto"/>
                      <w:highlight w:val="none"/>
                      <w:lang w:eastAsia="zh-CN"/>
                    </w:rPr>
                  </w:pPr>
                  <w:r>
                    <w:rPr>
                      <w:rFonts w:hint="eastAsia"/>
                      <w:color w:val="auto"/>
                      <w:highlight w:val="none"/>
                      <w:lang w:val="en-US" w:eastAsia="zh-CN"/>
                    </w:rPr>
                    <w:t>2</w:t>
                  </w:r>
                </w:p>
              </w:tc>
              <w:tc>
                <w:tcPr>
                  <w:tcW w:w="595" w:type="pct"/>
                  <w:tcBorders>
                    <w:top w:val="single" w:color="auto" w:sz="4" w:space="0"/>
                    <w:left w:val="single" w:color="auto" w:sz="4" w:space="0"/>
                    <w:bottom w:val="single" w:color="auto" w:sz="4" w:space="0"/>
                    <w:right w:val="single" w:color="auto" w:sz="4" w:space="0"/>
                  </w:tcBorders>
                  <w:vAlign w:val="center"/>
                </w:tcPr>
                <w:p w14:paraId="050D20E2">
                  <w:pPr>
                    <w:pStyle w:val="13"/>
                    <w:rPr>
                      <w:color w:val="auto"/>
                      <w:highlight w:val="none"/>
                    </w:rPr>
                  </w:pPr>
                  <w:r>
                    <w:rPr>
                      <w:rFonts w:hint="eastAsia"/>
                      <w:color w:val="auto"/>
                      <w:highlight w:val="none"/>
                    </w:rPr>
                    <w:t>危废库</w:t>
                  </w:r>
                </w:p>
              </w:tc>
              <w:tc>
                <w:tcPr>
                  <w:tcW w:w="480" w:type="pct"/>
                  <w:tcBorders>
                    <w:top w:val="single" w:color="auto" w:sz="4" w:space="0"/>
                    <w:left w:val="single" w:color="auto" w:sz="4" w:space="0"/>
                    <w:bottom w:val="single" w:color="auto" w:sz="4" w:space="0"/>
                    <w:right w:val="single" w:color="auto" w:sz="4" w:space="0"/>
                  </w:tcBorders>
                  <w:vAlign w:val="center"/>
                </w:tcPr>
                <w:p w14:paraId="63B32C1B">
                  <w:pPr>
                    <w:pStyle w:val="13"/>
                    <w:rPr>
                      <w:color w:val="auto"/>
                      <w:highlight w:val="none"/>
                    </w:rPr>
                  </w:pPr>
                  <w:r>
                    <w:rPr>
                      <w:rFonts w:hint="eastAsia"/>
                      <w:color w:val="auto"/>
                      <w:highlight w:val="none"/>
                    </w:rPr>
                    <w:t>危险废物</w:t>
                  </w:r>
                </w:p>
              </w:tc>
              <w:tc>
                <w:tcPr>
                  <w:tcW w:w="902" w:type="pct"/>
                  <w:tcBorders>
                    <w:top w:val="single" w:color="auto" w:sz="4" w:space="0"/>
                    <w:left w:val="single" w:color="auto" w:sz="4" w:space="0"/>
                    <w:bottom w:val="single" w:color="auto" w:sz="4" w:space="0"/>
                    <w:right w:val="single" w:color="auto" w:sz="4" w:space="0"/>
                  </w:tcBorders>
                  <w:vAlign w:val="center"/>
                </w:tcPr>
                <w:p w14:paraId="6BAFF5E0">
                  <w:pPr>
                    <w:pStyle w:val="13"/>
                    <w:rPr>
                      <w:color w:val="auto"/>
                      <w:highlight w:val="none"/>
                    </w:rPr>
                  </w:pPr>
                  <w:r>
                    <w:rPr>
                      <w:rFonts w:hint="eastAsia"/>
                      <w:color w:val="auto"/>
                      <w:highlight w:val="none"/>
                    </w:rPr>
                    <w:t>废矿物油</w:t>
                  </w:r>
                </w:p>
              </w:tc>
              <w:tc>
                <w:tcPr>
                  <w:tcW w:w="827" w:type="pct"/>
                  <w:tcBorders>
                    <w:top w:val="single" w:color="auto" w:sz="4" w:space="0"/>
                    <w:left w:val="single" w:color="auto" w:sz="4" w:space="0"/>
                    <w:bottom w:val="single" w:color="auto" w:sz="4" w:space="0"/>
                    <w:right w:val="single" w:color="auto" w:sz="4" w:space="0"/>
                  </w:tcBorders>
                  <w:vAlign w:val="center"/>
                </w:tcPr>
                <w:p w14:paraId="58788C0F">
                  <w:pPr>
                    <w:pStyle w:val="13"/>
                    <w:rPr>
                      <w:color w:val="auto"/>
                      <w:highlight w:val="none"/>
                    </w:rPr>
                  </w:pPr>
                  <w:r>
                    <w:rPr>
                      <w:rFonts w:hint="eastAsia"/>
                      <w:color w:val="auto"/>
                      <w:highlight w:val="none"/>
                    </w:rPr>
                    <w:t>火灾次生/衍生事故/泄漏</w:t>
                  </w:r>
                </w:p>
              </w:tc>
              <w:tc>
                <w:tcPr>
                  <w:tcW w:w="984" w:type="pct"/>
                  <w:tcBorders>
                    <w:top w:val="single" w:color="auto" w:sz="4" w:space="0"/>
                    <w:left w:val="single" w:color="auto" w:sz="4" w:space="0"/>
                    <w:bottom w:val="single" w:color="auto" w:sz="4" w:space="0"/>
                    <w:right w:val="single" w:color="auto" w:sz="4" w:space="0"/>
                  </w:tcBorders>
                  <w:vAlign w:val="center"/>
                </w:tcPr>
                <w:p w14:paraId="23A1F4B1">
                  <w:pPr>
                    <w:pStyle w:val="13"/>
                    <w:rPr>
                      <w:color w:val="auto"/>
                      <w:highlight w:val="none"/>
                    </w:rPr>
                  </w:pPr>
                  <w:r>
                    <w:rPr>
                      <w:rFonts w:hint="eastAsia"/>
                      <w:color w:val="auto"/>
                      <w:highlight w:val="none"/>
                    </w:rPr>
                    <w:t>大气扩散/土壤扩散/地下水扩散</w:t>
                  </w:r>
                </w:p>
              </w:tc>
              <w:tc>
                <w:tcPr>
                  <w:tcW w:w="969" w:type="pct"/>
                  <w:tcBorders>
                    <w:top w:val="single" w:color="auto" w:sz="4" w:space="0"/>
                    <w:left w:val="single" w:color="auto" w:sz="4" w:space="0"/>
                    <w:bottom w:val="single" w:color="auto" w:sz="4" w:space="0"/>
                    <w:right w:val="single" w:color="auto" w:sz="4" w:space="0"/>
                  </w:tcBorders>
                  <w:vAlign w:val="center"/>
                </w:tcPr>
                <w:p w14:paraId="1734EA98">
                  <w:pPr>
                    <w:pStyle w:val="13"/>
                    <w:rPr>
                      <w:color w:val="auto"/>
                      <w:highlight w:val="none"/>
                    </w:rPr>
                  </w:pPr>
                  <w:r>
                    <w:rPr>
                      <w:rFonts w:hint="eastAsia"/>
                      <w:color w:val="auto"/>
                      <w:highlight w:val="none"/>
                    </w:rPr>
                    <w:t>大气环境/土壤环境/地下水环境</w:t>
                  </w:r>
                </w:p>
              </w:tc>
            </w:tr>
            <w:tr w14:paraId="1AA6A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0" w:type="pct"/>
                  <w:tcBorders>
                    <w:top w:val="single" w:color="auto" w:sz="4" w:space="0"/>
                    <w:left w:val="single" w:color="auto" w:sz="4" w:space="0"/>
                    <w:bottom w:val="single" w:color="auto" w:sz="4" w:space="0"/>
                    <w:right w:val="single" w:color="auto" w:sz="4" w:space="0"/>
                  </w:tcBorders>
                  <w:vAlign w:val="center"/>
                </w:tcPr>
                <w:p w14:paraId="1994546D">
                  <w:pPr>
                    <w:pStyle w:val="13"/>
                    <w:rPr>
                      <w:rFonts w:hint="eastAsia" w:eastAsia="宋体"/>
                      <w:color w:val="auto"/>
                      <w:highlight w:val="none"/>
                      <w:lang w:eastAsia="zh-CN"/>
                    </w:rPr>
                  </w:pPr>
                  <w:r>
                    <w:rPr>
                      <w:rFonts w:hint="eastAsia"/>
                      <w:color w:val="auto"/>
                      <w:highlight w:val="none"/>
                      <w:lang w:val="en-US" w:eastAsia="zh-CN"/>
                    </w:rPr>
                    <w:t>3</w:t>
                  </w:r>
                </w:p>
              </w:tc>
              <w:tc>
                <w:tcPr>
                  <w:tcW w:w="1075" w:type="pct"/>
                  <w:gridSpan w:val="2"/>
                  <w:tcBorders>
                    <w:top w:val="single" w:color="auto" w:sz="4" w:space="0"/>
                    <w:left w:val="single" w:color="auto" w:sz="4" w:space="0"/>
                    <w:bottom w:val="single" w:color="auto" w:sz="4" w:space="0"/>
                    <w:right w:val="single" w:color="auto" w:sz="4" w:space="0"/>
                  </w:tcBorders>
                  <w:vAlign w:val="center"/>
                </w:tcPr>
                <w:p w14:paraId="6A779B28">
                  <w:pPr>
                    <w:pStyle w:val="13"/>
                    <w:rPr>
                      <w:color w:val="auto"/>
                      <w:highlight w:val="none"/>
                    </w:rPr>
                  </w:pPr>
                  <w:r>
                    <w:rPr>
                      <w:color w:val="auto"/>
                      <w:highlight w:val="none"/>
                    </w:rPr>
                    <w:t>废气处理措施</w:t>
                  </w:r>
                </w:p>
              </w:tc>
              <w:tc>
                <w:tcPr>
                  <w:tcW w:w="902" w:type="pct"/>
                  <w:tcBorders>
                    <w:top w:val="single" w:color="auto" w:sz="4" w:space="0"/>
                    <w:left w:val="single" w:color="auto" w:sz="4" w:space="0"/>
                    <w:bottom w:val="single" w:color="auto" w:sz="4" w:space="0"/>
                    <w:right w:val="single" w:color="auto" w:sz="4" w:space="0"/>
                  </w:tcBorders>
                  <w:vAlign w:val="center"/>
                </w:tcPr>
                <w:p w14:paraId="09884B44">
                  <w:pPr>
                    <w:pStyle w:val="13"/>
                    <w:rPr>
                      <w:color w:val="auto"/>
                      <w:highlight w:val="none"/>
                    </w:rPr>
                  </w:pPr>
                  <w:r>
                    <w:rPr>
                      <w:rFonts w:hint="eastAsia"/>
                      <w:color w:val="auto"/>
                      <w:highlight w:val="none"/>
                    </w:rPr>
                    <w:t>颗粒物</w:t>
                  </w:r>
                </w:p>
              </w:tc>
              <w:tc>
                <w:tcPr>
                  <w:tcW w:w="827" w:type="pct"/>
                  <w:tcBorders>
                    <w:top w:val="single" w:color="auto" w:sz="4" w:space="0"/>
                    <w:left w:val="single" w:color="auto" w:sz="4" w:space="0"/>
                    <w:bottom w:val="single" w:color="auto" w:sz="4" w:space="0"/>
                    <w:right w:val="single" w:color="auto" w:sz="4" w:space="0"/>
                  </w:tcBorders>
                  <w:vAlign w:val="center"/>
                </w:tcPr>
                <w:p w14:paraId="4CBC1B3C">
                  <w:pPr>
                    <w:pStyle w:val="13"/>
                    <w:rPr>
                      <w:color w:val="auto"/>
                      <w:highlight w:val="none"/>
                    </w:rPr>
                  </w:pPr>
                  <w:r>
                    <w:rPr>
                      <w:rFonts w:hint="eastAsia"/>
                      <w:color w:val="auto"/>
                      <w:highlight w:val="none"/>
                    </w:rPr>
                    <w:t>设施无效</w:t>
                  </w:r>
                </w:p>
              </w:tc>
              <w:tc>
                <w:tcPr>
                  <w:tcW w:w="984" w:type="pct"/>
                  <w:tcBorders>
                    <w:top w:val="single" w:color="auto" w:sz="4" w:space="0"/>
                    <w:left w:val="single" w:color="auto" w:sz="4" w:space="0"/>
                    <w:bottom w:val="single" w:color="auto" w:sz="4" w:space="0"/>
                    <w:right w:val="single" w:color="auto" w:sz="4" w:space="0"/>
                  </w:tcBorders>
                  <w:vAlign w:val="center"/>
                </w:tcPr>
                <w:p w14:paraId="676DBB17">
                  <w:pPr>
                    <w:pStyle w:val="13"/>
                    <w:rPr>
                      <w:color w:val="auto"/>
                      <w:highlight w:val="none"/>
                    </w:rPr>
                  </w:pPr>
                  <w:r>
                    <w:rPr>
                      <w:rFonts w:hint="eastAsia"/>
                      <w:color w:val="auto"/>
                      <w:highlight w:val="none"/>
                    </w:rPr>
                    <w:t>大气扩散</w:t>
                  </w:r>
                </w:p>
              </w:tc>
              <w:tc>
                <w:tcPr>
                  <w:tcW w:w="969" w:type="pct"/>
                  <w:tcBorders>
                    <w:top w:val="single" w:color="auto" w:sz="4" w:space="0"/>
                    <w:left w:val="single" w:color="auto" w:sz="4" w:space="0"/>
                    <w:bottom w:val="single" w:color="auto" w:sz="4" w:space="0"/>
                    <w:right w:val="single" w:color="auto" w:sz="4" w:space="0"/>
                  </w:tcBorders>
                  <w:vAlign w:val="center"/>
                </w:tcPr>
                <w:p w14:paraId="77AF4994">
                  <w:pPr>
                    <w:pStyle w:val="13"/>
                    <w:rPr>
                      <w:color w:val="auto"/>
                      <w:highlight w:val="none"/>
                    </w:rPr>
                  </w:pPr>
                  <w:r>
                    <w:rPr>
                      <w:color w:val="auto"/>
                      <w:highlight w:val="none"/>
                    </w:rPr>
                    <w:t>大气</w:t>
                  </w:r>
                  <w:r>
                    <w:rPr>
                      <w:rFonts w:hint="eastAsia"/>
                      <w:color w:val="auto"/>
                      <w:highlight w:val="none"/>
                    </w:rPr>
                    <w:t>环境</w:t>
                  </w:r>
                </w:p>
              </w:tc>
            </w:tr>
          </w:tbl>
          <w:p w14:paraId="063B5C4B">
            <w:pPr>
              <w:pStyle w:val="3"/>
              <w:ind w:firstLine="482"/>
              <w:rPr>
                <w:color w:val="auto"/>
                <w:highlight w:val="none"/>
              </w:rPr>
            </w:pPr>
            <w:r>
              <w:rPr>
                <w:color w:val="auto"/>
                <w:highlight w:val="none"/>
              </w:rPr>
              <w:t>（</w:t>
            </w:r>
            <w:r>
              <w:rPr>
                <w:rFonts w:hint="eastAsia"/>
                <w:color w:val="auto"/>
                <w:highlight w:val="none"/>
              </w:rPr>
              <w:t>5</w:t>
            </w:r>
            <w:r>
              <w:rPr>
                <w:color w:val="auto"/>
                <w:highlight w:val="none"/>
              </w:rPr>
              <w:t>）环境风险分析、风险防范措施</w:t>
            </w:r>
          </w:p>
          <w:p w14:paraId="2E505A40">
            <w:pPr>
              <w:ind w:firstLine="480"/>
              <w:rPr>
                <w:color w:val="auto"/>
                <w:highlight w:val="none"/>
              </w:rPr>
            </w:pPr>
            <w:r>
              <w:rPr>
                <w:color w:val="auto"/>
                <w:highlight w:val="none"/>
              </w:rPr>
              <w:t>根据风险导则分析，本项目不存在重大风险源。因此，建设单位应加强环境风险管理，严格遵守有关防爆、防火规章制度，加强岗位责任制</w:t>
            </w:r>
            <w:r>
              <w:rPr>
                <w:rFonts w:hint="eastAsia"/>
                <w:color w:val="auto"/>
                <w:highlight w:val="none"/>
              </w:rPr>
              <w:t>，</w:t>
            </w:r>
            <w:r>
              <w:rPr>
                <w:color w:val="auto"/>
                <w:highlight w:val="none"/>
              </w:rPr>
              <w:t>进一步完善事故风险防范措施。根据《建设项目环境风险评价技术导则》（HJ</w:t>
            </w:r>
            <w:r>
              <w:rPr>
                <w:rFonts w:hint="eastAsia"/>
                <w:color w:val="auto"/>
                <w:highlight w:val="none"/>
              </w:rPr>
              <w:t xml:space="preserve"> </w:t>
            </w:r>
            <w:r>
              <w:rPr>
                <w:color w:val="auto"/>
                <w:highlight w:val="none"/>
              </w:rPr>
              <w:t>169-2018），简单分析需要填写建设项目环境分析简单分析内容表。</w:t>
            </w:r>
          </w:p>
          <w:p w14:paraId="5BA31B25">
            <w:pPr>
              <w:pStyle w:val="14"/>
              <w:spacing w:before="156"/>
              <w:rPr>
                <w:color w:val="auto"/>
                <w:highlight w:val="none"/>
              </w:rPr>
            </w:pPr>
            <w:r>
              <w:rPr>
                <w:color w:val="auto"/>
                <w:highlight w:val="none"/>
              </w:rPr>
              <w:t>表4-2</w:t>
            </w:r>
            <w:r>
              <w:rPr>
                <w:rFonts w:hint="eastAsia"/>
                <w:color w:val="auto"/>
                <w:highlight w:val="none"/>
                <w:lang w:val="en-US" w:eastAsia="zh-CN"/>
              </w:rPr>
              <w:t>4</w:t>
            </w:r>
            <w:r>
              <w:rPr>
                <w:color w:val="auto"/>
                <w:highlight w:val="none"/>
              </w:rPr>
              <w:t xml:space="preserve">  建设项目环境风险分析内容表</w:t>
            </w:r>
          </w:p>
          <w:tbl>
            <w:tblPr>
              <w:tblStyle w:val="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18"/>
              <w:gridCol w:w="7747"/>
            </w:tblGrid>
            <w:tr w14:paraId="3622A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27" w:type="pct"/>
                  <w:tcBorders>
                    <w:top w:val="single" w:color="auto" w:sz="4" w:space="0"/>
                    <w:left w:val="single" w:color="auto" w:sz="4" w:space="0"/>
                    <w:bottom w:val="single" w:color="auto" w:sz="4" w:space="0"/>
                    <w:right w:val="single" w:color="auto" w:sz="4" w:space="0"/>
                    <w:tl2br w:val="nil"/>
                    <w:tr2bl w:val="nil"/>
                  </w:tcBorders>
                  <w:vAlign w:val="center"/>
                </w:tcPr>
                <w:p w14:paraId="1B5548BD">
                  <w:pPr>
                    <w:pStyle w:val="13"/>
                    <w:rPr>
                      <w:b/>
                      <w:bCs/>
                      <w:color w:val="auto"/>
                      <w:highlight w:val="none"/>
                    </w:rPr>
                  </w:pPr>
                  <w:r>
                    <w:rPr>
                      <w:b/>
                      <w:bCs/>
                      <w:color w:val="auto"/>
                      <w:highlight w:val="none"/>
                    </w:rPr>
                    <w:t>项目名称</w:t>
                  </w:r>
                </w:p>
              </w:tc>
              <w:tc>
                <w:tcPr>
                  <w:tcW w:w="4272" w:type="pct"/>
                  <w:tcBorders>
                    <w:top w:val="single" w:color="auto" w:sz="4" w:space="0"/>
                    <w:left w:val="single" w:color="auto" w:sz="4" w:space="0"/>
                    <w:bottom w:val="single" w:color="auto" w:sz="4" w:space="0"/>
                    <w:right w:val="single" w:color="auto" w:sz="4" w:space="0"/>
                    <w:tl2br w:val="nil"/>
                    <w:tr2bl w:val="nil"/>
                  </w:tcBorders>
                  <w:vAlign w:val="center"/>
                </w:tcPr>
                <w:p w14:paraId="31D43C86">
                  <w:pPr>
                    <w:pStyle w:val="13"/>
                    <w:rPr>
                      <w:color w:val="auto"/>
                      <w:highlight w:val="none"/>
                    </w:rPr>
                  </w:pPr>
                  <w:r>
                    <w:rPr>
                      <w:rFonts w:hint="eastAsia"/>
                      <w:color w:val="auto"/>
                      <w:highlight w:val="none"/>
                    </w:rPr>
                    <w:t>年产1.5万吨精制复合饲料加工项目</w:t>
                  </w:r>
                </w:p>
              </w:tc>
            </w:tr>
            <w:tr w14:paraId="439F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27" w:type="pct"/>
                  <w:tcBorders>
                    <w:top w:val="single" w:color="auto" w:sz="4" w:space="0"/>
                    <w:left w:val="single" w:color="auto" w:sz="4" w:space="0"/>
                    <w:bottom w:val="single" w:color="auto" w:sz="4" w:space="0"/>
                    <w:right w:val="single" w:color="auto" w:sz="4" w:space="0"/>
                    <w:tl2br w:val="nil"/>
                    <w:tr2bl w:val="nil"/>
                  </w:tcBorders>
                  <w:vAlign w:val="center"/>
                </w:tcPr>
                <w:p w14:paraId="6B69085C">
                  <w:pPr>
                    <w:pStyle w:val="13"/>
                    <w:rPr>
                      <w:b/>
                      <w:bCs/>
                      <w:color w:val="auto"/>
                      <w:highlight w:val="none"/>
                    </w:rPr>
                  </w:pPr>
                  <w:r>
                    <w:rPr>
                      <w:b/>
                      <w:bCs/>
                      <w:color w:val="auto"/>
                      <w:highlight w:val="none"/>
                    </w:rPr>
                    <w:t>建设地点</w:t>
                  </w:r>
                </w:p>
              </w:tc>
              <w:tc>
                <w:tcPr>
                  <w:tcW w:w="4272" w:type="pct"/>
                  <w:tcBorders>
                    <w:top w:val="single" w:color="auto" w:sz="4" w:space="0"/>
                    <w:left w:val="single" w:color="auto" w:sz="4" w:space="0"/>
                    <w:bottom w:val="single" w:color="auto" w:sz="4" w:space="0"/>
                    <w:right w:val="single" w:color="auto" w:sz="4" w:space="0"/>
                    <w:tl2br w:val="nil"/>
                    <w:tr2bl w:val="nil"/>
                  </w:tcBorders>
                  <w:vAlign w:val="center"/>
                </w:tcPr>
                <w:p w14:paraId="3772A137">
                  <w:pPr>
                    <w:pStyle w:val="13"/>
                    <w:rPr>
                      <w:color w:val="auto"/>
                      <w:highlight w:val="none"/>
                    </w:rPr>
                  </w:pPr>
                  <w:r>
                    <w:rPr>
                      <w:rFonts w:hint="eastAsia"/>
                      <w:color w:val="auto"/>
                      <w:highlight w:val="none"/>
                    </w:rPr>
                    <w:t>安徽省池州市青阳县酉华镇金峰村金元组</w:t>
                  </w:r>
                </w:p>
              </w:tc>
            </w:tr>
            <w:tr w14:paraId="62D67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27" w:type="pct"/>
                  <w:tcBorders>
                    <w:top w:val="single" w:color="auto" w:sz="4" w:space="0"/>
                    <w:left w:val="single" w:color="auto" w:sz="4" w:space="0"/>
                    <w:bottom w:val="single" w:color="auto" w:sz="4" w:space="0"/>
                    <w:right w:val="single" w:color="auto" w:sz="4" w:space="0"/>
                    <w:tl2br w:val="nil"/>
                    <w:tr2bl w:val="nil"/>
                  </w:tcBorders>
                  <w:vAlign w:val="center"/>
                </w:tcPr>
                <w:p w14:paraId="5C288D71">
                  <w:pPr>
                    <w:pStyle w:val="13"/>
                    <w:rPr>
                      <w:b/>
                      <w:bCs/>
                      <w:color w:val="auto"/>
                      <w:highlight w:val="none"/>
                    </w:rPr>
                  </w:pPr>
                  <w:r>
                    <w:rPr>
                      <w:b/>
                      <w:bCs/>
                      <w:color w:val="auto"/>
                      <w:highlight w:val="none"/>
                    </w:rPr>
                    <w:t>地理坐标</w:t>
                  </w:r>
                </w:p>
              </w:tc>
              <w:tc>
                <w:tcPr>
                  <w:tcW w:w="4272" w:type="pct"/>
                  <w:tcBorders>
                    <w:top w:val="single" w:color="auto" w:sz="4" w:space="0"/>
                    <w:left w:val="single" w:color="auto" w:sz="4" w:space="0"/>
                    <w:bottom w:val="single" w:color="auto" w:sz="4" w:space="0"/>
                    <w:right w:val="single" w:color="auto" w:sz="4" w:space="0"/>
                    <w:tl2br w:val="nil"/>
                    <w:tr2bl w:val="nil"/>
                  </w:tcBorders>
                  <w:vAlign w:val="center"/>
                </w:tcPr>
                <w:p w14:paraId="1AC71752">
                  <w:pPr>
                    <w:pStyle w:val="13"/>
                    <w:rPr>
                      <w:color w:val="auto"/>
                      <w:highlight w:val="none"/>
                    </w:rPr>
                  </w:pPr>
                  <w:r>
                    <w:rPr>
                      <w:rFonts w:hint="eastAsia"/>
                      <w:color w:val="auto"/>
                      <w:highlight w:val="none"/>
                    </w:rPr>
                    <w:t>（东经：118度2分20.49秒，北纬：30度41分18秒）</w:t>
                  </w:r>
                </w:p>
              </w:tc>
            </w:tr>
            <w:tr w14:paraId="04C03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27" w:type="pct"/>
                  <w:tcBorders>
                    <w:top w:val="single" w:color="auto" w:sz="4" w:space="0"/>
                    <w:left w:val="single" w:color="auto" w:sz="4" w:space="0"/>
                    <w:bottom w:val="single" w:color="auto" w:sz="4" w:space="0"/>
                    <w:right w:val="single" w:color="auto" w:sz="4" w:space="0"/>
                    <w:tl2br w:val="nil"/>
                    <w:tr2bl w:val="nil"/>
                  </w:tcBorders>
                  <w:vAlign w:val="center"/>
                </w:tcPr>
                <w:p w14:paraId="5840A99E">
                  <w:pPr>
                    <w:pStyle w:val="13"/>
                    <w:rPr>
                      <w:b/>
                      <w:bCs/>
                      <w:color w:val="auto"/>
                      <w:highlight w:val="none"/>
                    </w:rPr>
                  </w:pPr>
                  <w:r>
                    <w:rPr>
                      <w:b/>
                      <w:bCs/>
                      <w:color w:val="auto"/>
                      <w:highlight w:val="none"/>
                    </w:rPr>
                    <w:t>主要危险物质及分布</w:t>
                  </w:r>
                </w:p>
              </w:tc>
              <w:tc>
                <w:tcPr>
                  <w:tcW w:w="4272" w:type="pct"/>
                  <w:tcBorders>
                    <w:top w:val="single" w:color="auto" w:sz="4" w:space="0"/>
                    <w:left w:val="single" w:color="auto" w:sz="4" w:space="0"/>
                    <w:bottom w:val="single" w:color="auto" w:sz="4" w:space="0"/>
                    <w:right w:val="single" w:color="auto" w:sz="4" w:space="0"/>
                    <w:tl2br w:val="nil"/>
                    <w:tr2bl w:val="nil"/>
                  </w:tcBorders>
                  <w:vAlign w:val="center"/>
                </w:tcPr>
                <w:p w14:paraId="43B7FF0B">
                  <w:pPr>
                    <w:pStyle w:val="13"/>
                    <w:rPr>
                      <w:color w:val="auto"/>
                      <w:highlight w:val="none"/>
                    </w:rPr>
                  </w:pPr>
                  <w:r>
                    <w:rPr>
                      <w:rFonts w:hint="eastAsia"/>
                      <w:color w:val="auto"/>
                      <w:highlight w:val="none"/>
                      <w:lang w:val="en-US" w:eastAsia="zh-CN"/>
                    </w:rPr>
                    <w:t>秸秆、矿物油（原料仓库）、</w:t>
                  </w:r>
                  <w:r>
                    <w:rPr>
                      <w:rFonts w:hint="eastAsia"/>
                      <w:color w:val="auto"/>
                      <w:highlight w:val="none"/>
                    </w:rPr>
                    <w:t>废矿物油</w:t>
                  </w:r>
                  <w:r>
                    <w:rPr>
                      <w:color w:val="auto"/>
                      <w:highlight w:val="none"/>
                    </w:rPr>
                    <w:t>（</w:t>
                  </w:r>
                  <w:r>
                    <w:rPr>
                      <w:rFonts w:hint="eastAsia"/>
                      <w:color w:val="auto"/>
                      <w:highlight w:val="none"/>
                    </w:rPr>
                    <w:t>危废库</w:t>
                  </w:r>
                  <w:r>
                    <w:rPr>
                      <w:color w:val="auto"/>
                      <w:highlight w:val="none"/>
                    </w:rPr>
                    <w:t>）</w:t>
                  </w:r>
                </w:p>
              </w:tc>
            </w:tr>
            <w:tr w14:paraId="2AD80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27" w:type="pct"/>
                  <w:tcBorders>
                    <w:top w:val="single" w:color="auto" w:sz="4" w:space="0"/>
                    <w:left w:val="single" w:color="auto" w:sz="4" w:space="0"/>
                    <w:bottom w:val="single" w:color="auto" w:sz="4" w:space="0"/>
                    <w:right w:val="single" w:color="auto" w:sz="4" w:space="0"/>
                    <w:tl2br w:val="nil"/>
                    <w:tr2bl w:val="nil"/>
                  </w:tcBorders>
                  <w:vAlign w:val="center"/>
                </w:tcPr>
                <w:p w14:paraId="5C32E453">
                  <w:pPr>
                    <w:pStyle w:val="13"/>
                    <w:rPr>
                      <w:b/>
                      <w:bCs/>
                      <w:color w:val="auto"/>
                      <w:highlight w:val="none"/>
                    </w:rPr>
                  </w:pPr>
                  <w:r>
                    <w:rPr>
                      <w:b/>
                      <w:bCs/>
                      <w:color w:val="auto"/>
                      <w:highlight w:val="none"/>
                    </w:rPr>
                    <w:t>环境影响途径及危害后果</w:t>
                  </w:r>
                </w:p>
              </w:tc>
              <w:tc>
                <w:tcPr>
                  <w:tcW w:w="4272" w:type="pct"/>
                  <w:tcBorders>
                    <w:top w:val="single" w:color="auto" w:sz="4" w:space="0"/>
                    <w:left w:val="single" w:color="auto" w:sz="4" w:space="0"/>
                    <w:bottom w:val="single" w:color="auto" w:sz="4" w:space="0"/>
                    <w:right w:val="single" w:color="auto" w:sz="4" w:space="0"/>
                    <w:tl2br w:val="nil"/>
                    <w:tr2bl w:val="nil"/>
                  </w:tcBorders>
                  <w:vAlign w:val="center"/>
                </w:tcPr>
                <w:p w14:paraId="276E23B0">
                  <w:pPr>
                    <w:pStyle w:val="13"/>
                    <w:jc w:val="both"/>
                    <w:rPr>
                      <w:color w:val="auto"/>
                      <w:highlight w:val="none"/>
                    </w:rPr>
                  </w:pPr>
                  <w:r>
                    <w:rPr>
                      <w:color w:val="auto"/>
                      <w:highlight w:val="none"/>
                    </w:rPr>
                    <w:t>影响途径：泄漏、遇高温或明火燃烧。</w:t>
                  </w:r>
                </w:p>
                <w:p w14:paraId="475BE11E">
                  <w:pPr>
                    <w:pStyle w:val="13"/>
                    <w:jc w:val="both"/>
                    <w:rPr>
                      <w:color w:val="auto"/>
                      <w:highlight w:val="none"/>
                    </w:rPr>
                  </w:pPr>
                  <w:r>
                    <w:rPr>
                      <w:color w:val="auto"/>
                      <w:highlight w:val="none"/>
                    </w:rPr>
                    <w:t>危害后果：泄漏后可能进入周围土壤、地表水和地下水，遇高温或明火燃烧发生火灾。</w:t>
                  </w:r>
                </w:p>
              </w:tc>
            </w:tr>
            <w:tr w14:paraId="79B5E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27" w:type="pct"/>
                  <w:tcBorders>
                    <w:top w:val="single" w:color="auto" w:sz="4" w:space="0"/>
                    <w:left w:val="single" w:color="auto" w:sz="4" w:space="0"/>
                    <w:bottom w:val="single" w:color="auto" w:sz="4" w:space="0"/>
                    <w:right w:val="single" w:color="auto" w:sz="4" w:space="0"/>
                    <w:tl2br w:val="nil"/>
                    <w:tr2bl w:val="nil"/>
                  </w:tcBorders>
                  <w:vAlign w:val="center"/>
                </w:tcPr>
                <w:p w14:paraId="3DC410F9">
                  <w:pPr>
                    <w:pStyle w:val="13"/>
                    <w:rPr>
                      <w:b/>
                      <w:bCs/>
                      <w:color w:val="auto"/>
                      <w:highlight w:val="none"/>
                    </w:rPr>
                  </w:pPr>
                  <w:r>
                    <w:rPr>
                      <w:b/>
                      <w:bCs/>
                      <w:color w:val="auto"/>
                      <w:highlight w:val="none"/>
                    </w:rPr>
                    <w:t>风险防范措施要求</w:t>
                  </w:r>
                </w:p>
              </w:tc>
              <w:tc>
                <w:tcPr>
                  <w:tcW w:w="4272" w:type="pct"/>
                  <w:tcBorders>
                    <w:top w:val="single" w:color="auto" w:sz="4" w:space="0"/>
                    <w:left w:val="single" w:color="auto" w:sz="4" w:space="0"/>
                    <w:bottom w:val="single" w:color="auto" w:sz="4" w:space="0"/>
                    <w:right w:val="single" w:color="auto" w:sz="4" w:space="0"/>
                    <w:tl2br w:val="nil"/>
                    <w:tr2bl w:val="nil"/>
                  </w:tcBorders>
                  <w:vAlign w:val="center"/>
                </w:tcPr>
                <w:p w14:paraId="25CBED1C">
                  <w:pPr>
                    <w:pStyle w:val="13"/>
                    <w:jc w:val="both"/>
                    <w:rPr>
                      <w:color w:val="auto"/>
                      <w:highlight w:val="none"/>
                    </w:rPr>
                  </w:pPr>
                  <w:r>
                    <w:rPr>
                      <w:rFonts w:hint="eastAsia"/>
                      <w:color w:val="auto"/>
                      <w:highlight w:val="none"/>
                      <w:lang w:val="en-US" w:eastAsia="zh-CN"/>
                    </w:rPr>
                    <w:t>一、</w:t>
                  </w:r>
                  <w:r>
                    <w:rPr>
                      <w:color w:val="auto"/>
                      <w:highlight w:val="none"/>
                    </w:rPr>
                    <w:t>贮运工程风险防范措施</w:t>
                  </w:r>
                </w:p>
                <w:p w14:paraId="1B541E0C">
                  <w:pPr>
                    <w:pStyle w:val="13"/>
                    <w:jc w:val="both"/>
                    <w:rPr>
                      <w:color w:val="auto"/>
                      <w:highlight w:val="none"/>
                    </w:rPr>
                  </w:pPr>
                  <w:r>
                    <w:rPr>
                      <w:color w:val="auto"/>
                      <w:highlight w:val="none"/>
                    </w:rPr>
                    <w:t>原料不得露天堆放，全部储存于阴凉通风专用仓库内；远离火种、热源，防止阳光直射，应与易燃或可燃物分开存放；搬运时轻装轻卸，防止原料桶破损或倾倒；划定禁火区，在明显地点设有警示标志，输配电线、灯具、火灾事故照明和疏散指示标志均应符合安全要求，严禁未安装灭火装置的车辆出入生产装置区。</w:t>
                  </w:r>
                </w:p>
                <w:p w14:paraId="2ED4180C">
                  <w:pPr>
                    <w:pStyle w:val="13"/>
                    <w:jc w:val="both"/>
                    <w:rPr>
                      <w:rFonts w:hint="eastAsia" w:eastAsia="宋体"/>
                      <w:color w:val="auto"/>
                      <w:highlight w:val="none"/>
                      <w:lang w:val="en-US" w:eastAsia="zh-CN"/>
                    </w:rPr>
                  </w:pPr>
                  <w:r>
                    <w:rPr>
                      <w:rFonts w:hint="default" w:ascii="Times New Roman" w:hAnsi="Times New Roman" w:eastAsia="微软雅黑" w:cs="Times New Roman"/>
                      <w:color w:val="auto"/>
                      <w:highlight w:val="none"/>
                      <w:lang w:val="en-US" w:eastAsia="zh-CN"/>
                    </w:rPr>
                    <w:t>①</w:t>
                  </w:r>
                  <w:r>
                    <w:rPr>
                      <w:rFonts w:hint="eastAsia" w:eastAsia="宋体"/>
                      <w:color w:val="auto"/>
                      <w:highlight w:val="none"/>
                      <w:lang w:val="en-US" w:eastAsia="zh-CN"/>
                    </w:rPr>
                    <w:t>仓库</w:t>
                  </w:r>
                  <w:r>
                    <w:rPr>
                      <w:rFonts w:hint="eastAsia"/>
                      <w:color w:val="auto"/>
                      <w:highlight w:val="none"/>
                      <w:lang w:val="en-US" w:eastAsia="zh-CN"/>
                    </w:rPr>
                    <w:t>设</w:t>
                  </w:r>
                  <w:r>
                    <w:rPr>
                      <w:rFonts w:hint="eastAsia" w:eastAsia="宋体"/>
                      <w:color w:val="auto"/>
                      <w:highlight w:val="none"/>
                      <w:lang w:val="en-US" w:eastAsia="zh-CN"/>
                    </w:rPr>
                    <w:t>为重点防火区域，严禁烟火，门口设置明显禁止烟火警示标志。</w:t>
                  </w:r>
                </w:p>
                <w:p w14:paraId="61565A74">
                  <w:pPr>
                    <w:pStyle w:val="13"/>
                    <w:jc w:val="both"/>
                    <w:rPr>
                      <w:rFonts w:hint="eastAsia" w:eastAsia="宋体"/>
                      <w:color w:val="auto"/>
                      <w:highlight w:val="none"/>
                      <w:lang w:val="en-US" w:eastAsia="zh-CN"/>
                    </w:rPr>
                  </w:pPr>
                  <w:r>
                    <w:rPr>
                      <w:rFonts w:hint="default" w:ascii="Times New Roman" w:hAnsi="Times New Roman" w:eastAsia="微软雅黑" w:cs="Times New Roman"/>
                      <w:color w:val="auto"/>
                      <w:highlight w:val="none"/>
                      <w:lang w:val="en-US" w:eastAsia="zh-CN"/>
                    </w:rPr>
                    <w:t>②</w:t>
                  </w:r>
                  <w:r>
                    <w:rPr>
                      <w:rFonts w:hint="eastAsia" w:eastAsia="宋体"/>
                      <w:color w:val="auto"/>
                      <w:highlight w:val="none"/>
                      <w:lang w:val="en-US" w:eastAsia="zh-CN"/>
                    </w:rPr>
                    <w:t>采用</w:t>
                  </w:r>
                  <w:r>
                    <w:rPr>
                      <w:rFonts w:hint="eastAsia"/>
                      <w:color w:val="auto"/>
                      <w:highlight w:val="none"/>
                      <w:lang w:val="en-US" w:eastAsia="zh-CN"/>
                    </w:rPr>
                    <w:t>防火</w:t>
                  </w:r>
                  <w:r>
                    <w:rPr>
                      <w:rFonts w:hint="eastAsia" w:eastAsia="宋体"/>
                      <w:color w:val="auto"/>
                      <w:highlight w:val="none"/>
                      <w:lang w:val="en-US" w:eastAsia="zh-CN"/>
                    </w:rPr>
                    <w:t>防爆</w:t>
                  </w:r>
                  <w:r>
                    <w:rPr>
                      <w:rFonts w:hint="eastAsia"/>
                      <w:color w:val="auto"/>
                      <w:highlight w:val="none"/>
                      <w:lang w:val="en-US" w:eastAsia="zh-CN"/>
                    </w:rPr>
                    <w:t>电气线路、电器</w:t>
                  </w:r>
                  <w:r>
                    <w:rPr>
                      <w:rFonts w:hint="eastAsia" w:eastAsia="宋体"/>
                      <w:color w:val="auto"/>
                      <w:highlight w:val="none"/>
                      <w:lang w:val="en-US" w:eastAsia="zh-CN"/>
                    </w:rPr>
                    <w:t>，严禁私拉乱接、超负荷用电。</w:t>
                  </w:r>
                </w:p>
                <w:p w14:paraId="6C36F8D5">
                  <w:pPr>
                    <w:pStyle w:val="13"/>
                    <w:jc w:val="both"/>
                    <w:rPr>
                      <w:rFonts w:hint="eastAsia" w:eastAsia="宋体"/>
                      <w:color w:val="auto"/>
                      <w:highlight w:val="none"/>
                      <w:lang w:val="en-US" w:eastAsia="zh-CN"/>
                    </w:rPr>
                  </w:pPr>
                  <w:r>
                    <w:rPr>
                      <w:rFonts w:hint="default" w:ascii="Times New Roman" w:hAnsi="Times New Roman" w:eastAsia="微软雅黑" w:cs="Times New Roman"/>
                      <w:color w:val="auto"/>
                      <w:highlight w:val="none"/>
                      <w:lang w:val="en-US" w:eastAsia="zh-CN"/>
                    </w:rPr>
                    <w:t>③</w:t>
                  </w:r>
                  <w:r>
                    <w:rPr>
                      <w:rFonts w:hint="eastAsia" w:eastAsia="宋体"/>
                      <w:color w:val="auto"/>
                      <w:highlight w:val="none"/>
                      <w:lang w:val="en-US" w:eastAsia="zh-CN"/>
                    </w:rPr>
                    <w:t>配置灭火器、消防沙、消防水桶等器材，定期检查，保持完好有效。</w:t>
                  </w:r>
                </w:p>
                <w:p w14:paraId="6E023203">
                  <w:pPr>
                    <w:pStyle w:val="13"/>
                    <w:jc w:val="both"/>
                    <w:rPr>
                      <w:rFonts w:hint="eastAsia" w:eastAsia="宋体"/>
                      <w:color w:val="auto"/>
                      <w:highlight w:val="none"/>
                      <w:lang w:val="en-US" w:eastAsia="zh-CN"/>
                    </w:rPr>
                  </w:pPr>
                  <w:r>
                    <w:rPr>
                      <w:rFonts w:hint="default" w:ascii="Times New Roman" w:hAnsi="Times New Roman" w:eastAsia="微软雅黑" w:cs="Times New Roman"/>
                      <w:color w:val="auto"/>
                      <w:highlight w:val="none"/>
                      <w:lang w:val="en-US" w:eastAsia="zh-CN"/>
                    </w:rPr>
                    <w:t>④</w:t>
                  </w:r>
                  <w:r>
                    <w:rPr>
                      <w:rFonts w:hint="eastAsia" w:eastAsia="宋体"/>
                      <w:color w:val="auto"/>
                      <w:highlight w:val="none"/>
                      <w:lang w:val="en-US" w:eastAsia="zh-CN"/>
                    </w:rPr>
                    <w:t>定期开展防火巡查，重点排查</w:t>
                  </w:r>
                  <w:r>
                    <w:rPr>
                      <w:rFonts w:hint="eastAsia"/>
                      <w:color w:val="auto"/>
                      <w:highlight w:val="none"/>
                      <w:lang w:val="en-US" w:eastAsia="zh-CN"/>
                    </w:rPr>
                    <w:t>火灾</w:t>
                  </w:r>
                  <w:r>
                    <w:rPr>
                      <w:rFonts w:hint="eastAsia" w:eastAsia="宋体"/>
                      <w:color w:val="auto"/>
                      <w:highlight w:val="none"/>
                      <w:lang w:val="en-US" w:eastAsia="zh-CN"/>
                    </w:rPr>
                    <w:t>隐患，发现异常立即处理。</w:t>
                  </w:r>
                </w:p>
                <w:p w14:paraId="7758DC14">
                  <w:pPr>
                    <w:pStyle w:val="13"/>
                    <w:jc w:val="both"/>
                    <w:rPr>
                      <w:rFonts w:hint="default"/>
                      <w:color w:val="auto"/>
                      <w:highlight w:val="none"/>
                      <w:lang w:val="en-US" w:eastAsia="zh-CN"/>
                    </w:rPr>
                  </w:pPr>
                  <w:r>
                    <w:rPr>
                      <w:rFonts w:hint="default"/>
                      <w:color w:val="auto"/>
                      <w:highlight w:val="none"/>
                      <w:lang w:val="en-US" w:eastAsia="zh-CN"/>
                    </w:rPr>
                    <w:t>⑤</w:t>
                  </w:r>
                  <w:r>
                    <w:rPr>
                      <w:rFonts w:hint="eastAsia"/>
                      <w:color w:val="auto"/>
                      <w:highlight w:val="none"/>
                      <w:lang w:val="en-US" w:eastAsia="zh-CN"/>
                    </w:rPr>
                    <w:t>配备火灾警报传感器，建立应急管理设施和体系。</w:t>
                  </w:r>
                </w:p>
                <w:p w14:paraId="051161CB">
                  <w:pPr>
                    <w:pStyle w:val="13"/>
                    <w:jc w:val="both"/>
                    <w:rPr>
                      <w:color w:val="auto"/>
                      <w:highlight w:val="none"/>
                    </w:rPr>
                  </w:pPr>
                  <w:r>
                    <w:rPr>
                      <w:rFonts w:hint="eastAsia"/>
                      <w:color w:val="auto"/>
                      <w:highlight w:val="none"/>
                      <w:lang w:val="en-US" w:eastAsia="zh-CN"/>
                    </w:rPr>
                    <w:t>二、</w:t>
                  </w:r>
                  <w:r>
                    <w:rPr>
                      <w:color w:val="auto"/>
                      <w:highlight w:val="none"/>
                    </w:rPr>
                    <w:t>危险废物暂存间风险防范措施</w:t>
                  </w:r>
                </w:p>
                <w:p w14:paraId="06E15B67">
                  <w:pPr>
                    <w:pStyle w:val="13"/>
                    <w:jc w:val="both"/>
                    <w:rPr>
                      <w:color w:val="auto"/>
                      <w:highlight w:val="none"/>
                    </w:rPr>
                  </w:pPr>
                  <w:r>
                    <w:rPr>
                      <w:color w:val="auto"/>
                      <w:highlight w:val="none"/>
                    </w:rPr>
                    <w:t>本项目运营过程会产生危险废物。企业制定严格的管理制度，对危险固废在产生、分类、储存等进行管理。危险废物暂存间地面应做好防渗漏措施；危险废物分类妥善收集后，按照相关操作规范储存、处理。所有危险固废均委托给具有处理资质的单位进行处置。项目处置危险固废的措施符合《</w:t>
                  </w:r>
                  <w:r>
                    <w:rPr>
                      <w:rFonts w:hint="eastAsia"/>
                      <w:color w:val="auto"/>
                      <w:highlight w:val="none"/>
                    </w:rPr>
                    <w:t>中华人民共和国固体废物污染环境防治法</w:t>
                  </w:r>
                  <w:r>
                    <w:rPr>
                      <w:color w:val="auto"/>
                      <w:highlight w:val="none"/>
                    </w:rPr>
                    <w:t>》，并严格执行《危险废物转移联单管理办法》规定的各项程序。</w:t>
                  </w:r>
                </w:p>
                <w:p w14:paraId="0E7C29CE">
                  <w:pPr>
                    <w:pStyle w:val="13"/>
                    <w:jc w:val="both"/>
                    <w:rPr>
                      <w:color w:val="auto"/>
                      <w:highlight w:val="none"/>
                    </w:rPr>
                  </w:pPr>
                  <w:r>
                    <w:rPr>
                      <w:rFonts w:hint="eastAsia"/>
                      <w:color w:val="auto"/>
                      <w:highlight w:val="none"/>
                      <w:lang w:val="en-US" w:eastAsia="zh-CN"/>
                    </w:rPr>
                    <w:t>三、</w:t>
                  </w:r>
                  <w:r>
                    <w:rPr>
                      <w:color w:val="auto"/>
                      <w:highlight w:val="none"/>
                    </w:rPr>
                    <w:t>危险物质</w:t>
                  </w:r>
                  <w:r>
                    <w:rPr>
                      <w:rFonts w:hint="eastAsia"/>
                      <w:color w:val="auto"/>
                      <w:highlight w:val="none"/>
                    </w:rPr>
                    <w:t>泄漏</w:t>
                  </w:r>
                  <w:r>
                    <w:rPr>
                      <w:color w:val="auto"/>
                      <w:highlight w:val="none"/>
                    </w:rPr>
                    <w:t>风险防范措施</w:t>
                  </w:r>
                </w:p>
                <w:p w14:paraId="4C5C7DD4">
                  <w:pPr>
                    <w:pStyle w:val="13"/>
                    <w:jc w:val="both"/>
                    <w:rPr>
                      <w:color w:val="auto"/>
                      <w:highlight w:val="none"/>
                    </w:rPr>
                  </w:pPr>
                  <w:r>
                    <w:rPr>
                      <w:color w:val="auto"/>
                      <w:highlight w:val="none"/>
                    </w:rPr>
                    <w:t>在</w:t>
                  </w:r>
                  <w:r>
                    <w:rPr>
                      <w:rFonts w:hint="eastAsia"/>
                      <w:color w:val="auto"/>
                      <w:highlight w:val="none"/>
                    </w:rPr>
                    <w:t>危废库</w:t>
                  </w:r>
                  <w:r>
                    <w:rPr>
                      <w:color w:val="auto"/>
                      <w:highlight w:val="none"/>
                    </w:rPr>
                    <w:t>暂存库内设置环形收集沟，并进行地面防渗；危废暂存库内液体物质发生</w:t>
                  </w:r>
                  <w:r>
                    <w:rPr>
                      <w:rFonts w:hint="eastAsia"/>
                      <w:color w:val="auto"/>
                      <w:highlight w:val="none"/>
                    </w:rPr>
                    <w:t>泄漏</w:t>
                  </w:r>
                  <w:r>
                    <w:rPr>
                      <w:color w:val="auto"/>
                      <w:highlight w:val="none"/>
                    </w:rPr>
                    <w:t>时引流入环形沟收集。加强对职工的安全教育，制定严格的工作守则和个人卫生措施，所有操作人员必须了解接触化学品的有害作用及对患者的急救措施，以保证生产的正常运行和员工的身体健康。</w:t>
                  </w:r>
                </w:p>
                <w:p w14:paraId="13541E7C">
                  <w:pPr>
                    <w:pStyle w:val="13"/>
                    <w:jc w:val="both"/>
                    <w:rPr>
                      <w:color w:val="auto"/>
                      <w:highlight w:val="none"/>
                    </w:rPr>
                  </w:pPr>
                  <w:r>
                    <w:rPr>
                      <w:rFonts w:hint="eastAsia"/>
                      <w:color w:val="auto"/>
                      <w:highlight w:val="none"/>
                      <w:lang w:val="en-US" w:eastAsia="zh-CN"/>
                    </w:rPr>
                    <w:t>四、</w:t>
                  </w:r>
                  <w:r>
                    <w:rPr>
                      <w:color w:val="auto"/>
                      <w:highlight w:val="none"/>
                    </w:rPr>
                    <w:t>环保设施事故风险防范措施</w:t>
                  </w:r>
                </w:p>
                <w:p w14:paraId="7E7C181C">
                  <w:pPr>
                    <w:pStyle w:val="13"/>
                    <w:jc w:val="both"/>
                    <w:rPr>
                      <w:rFonts w:hint="eastAsia" w:ascii="宋体" w:hAnsi="宋体" w:cs="宋体"/>
                      <w:color w:val="auto"/>
                      <w:highlight w:val="none"/>
                    </w:rPr>
                  </w:pPr>
                  <w:r>
                    <w:rPr>
                      <w:color w:val="auto"/>
                      <w:highlight w:val="none"/>
                    </w:rPr>
                    <w:t>加强废气处理设施的维护保养，及时发现处理设备的隐患，并及时进行维修，确保废气处理系统正常运行；配置必要的监测仪器，对管理人员和技术人员进行岗位培训，对废气处理实行全过程跟踪控制；设置有备用电源和备用处理设备。一旦出现事故性排放应及时停止生产，待修复后再进行生产；现场作业人员定时记录废气处理状况，如对废气处理设施的抽风机等设备进行点检工作，并派专人巡视，遇不良工作状况立即停止生产，维修正常后再开始作业，杜绝事故性废气直排，并及时呈报单位主管</w:t>
                  </w:r>
                  <w:r>
                    <w:rPr>
                      <w:rFonts w:hint="eastAsia" w:ascii="宋体" w:hAnsi="宋体" w:cs="宋体"/>
                      <w:color w:val="auto"/>
                      <w:highlight w:val="none"/>
                    </w:rPr>
                    <w:t>。</w:t>
                  </w:r>
                </w:p>
              </w:tc>
            </w:tr>
            <w:tr w14:paraId="57B19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5000" w:type="pct"/>
                  <w:gridSpan w:val="2"/>
                  <w:tcBorders>
                    <w:top w:val="single" w:color="auto" w:sz="4" w:space="0"/>
                    <w:left w:val="single" w:color="auto" w:sz="4" w:space="0"/>
                    <w:bottom w:val="single" w:color="auto" w:sz="4" w:space="0"/>
                    <w:right w:val="single" w:color="auto" w:sz="4" w:space="0"/>
                    <w:tl2br w:val="nil"/>
                    <w:tr2bl w:val="nil"/>
                  </w:tcBorders>
                  <w:vAlign w:val="center"/>
                </w:tcPr>
                <w:p w14:paraId="5268FC92">
                  <w:pPr>
                    <w:pStyle w:val="13"/>
                    <w:jc w:val="both"/>
                    <w:rPr>
                      <w:color w:val="auto"/>
                      <w:highlight w:val="none"/>
                    </w:rPr>
                  </w:pPr>
                  <w:r>
                    <w:rPr>
                      <w:color w:val="auto"/>
                      <w:highlight w:val="none"/>
                    </w:rPr>
                    <w:t>填表说明：</w:t>
                  </w:r>
                </w:p>
                <w:p w14:paraId="20AE4B3A">
                  <w:pPr>
                    <w:pStyle w:val="13"/>
                    <w:jc w:val="both"/>
                    <w:rPr>
                      <w:color w:val="auto"/>
                      <w:highlight w:val="none"/>
                    </w:rPr>
                  </w:pPr>
                  <w:r>
                    <w:rPr>
                      <w:color w:val="auto"/>
                      <w:highlight w:val="none"/>
                    </w:rPr>
                    <w:t>（1）根据风险导则，本项目不存在重大风险源；</w:t>
                  </w:r>
                </w:p>
                <w:p w14:paraId="5988AFE8">
                  <w:pPr>
                    <w:pStyle w:val="13"/>
                    <w:jc w:val="both"/>
                    <w:rPr>
                      <w:color w:val="auto"/>
                      <w:highlight w:val="none"/>
                    </w:rPr>
                  </w:pPr>
                  <w:r>
                    <w:rPr>
                      <w:color w:val="auto"/>
                      <w:highlight w:val="none"/>
                    </w:rPr>
                    <w:t>（2）本项目的事故风险在相应设备齐全及相应防范措施落实到位的情况下，环境风险是可以接受的；</w:t>
                  </w:r>
                </w:p>
                <w:p w14:paraId="6BD14E31">
                  <w:pPr>
                    <w:pStyle w:val="13"/>
                    <w:jc w:val="both"/>
                    <w:rPr>
                      <w:color w:val="auto"/>
                      <w:highlight w:val="none"/>
                    </w:rPr>
                  </w:pPr>
                  <w:r>
                    <w:rPr>
                      <w:color w:val="auto"/>
                      <w:highlight w:val="none"/>
                    </w:rPr>
                    <w:t>（3）建设单位应加强对各项风险防范措施的定期检查。综上所述，在落实环境风险防范措施的基础上环境风险是可以接受的。</w:t>
                  </w:r>
                </w:p>
              </w:tc>
            </w:tr>
          </w:tbl>
          <w:p w14:paraId="52317EF1">
            <w:pPr>
              <w:pStyle w:val="2"/>
              <w:ind w:firstLine="482"/>
              <w:rPr>
                <w:color w:val="auto"/>
                <w:highlight w:val="none"/>
              </w:rPr>
            </w:pPr>
            <w:r>
              <w:rPr>
                <w:rFonts w:hint="eastAsia"/>
                <w:color w:val="auto"/>
                <w:highlight w:val="none"/>
              </w:rPr>
              <w:t>7</w:t>
            </w:r>
            <w:r>
              <w:rPr>
                <w:color w:val="auto"/>
                <w:highlight w:val="none"/>
              </w:rPr>
              <w:t>、环境管理与环境监测</w:t>
            </w:r>
          </w:p>
          <w:p w14:paraId="4FDFB79F">
            <w:pPr>
              <w:pStyle w:val="3"/>
              <w:ind w:firstLine="482"/>
              <w:rPr>
                <w:color w:val="auto"/>
                <w:highlight w:val="none"/>
              </w:rPr>
            </w:pPr>
            <w:r>
              <w:rPr>
                <w:rFonts w:hint="eastAsia"/>
                <w:color w:val="auto"/>
                <w:highlight w:val="none"/>
              </w:rPr>
              <w:t>（1）</w:t>
            </w:r>
            <w:r>
              <w:rPr>
                <w:color w:val="auto"/>
                <w:highlight w:val="none"/>
              </w:rPr>
              <w:t>环境管理</w:t>
            </w:r>
          </w:p>
          <w:p w14:paraId="549420F5">
            <w:pPr>
              <w:ind w:firstLine="480"/>
              <w:rPr>
                <w:color w:val="auto"/>
                <w:highlight w:val="none"/>
              </w:rPr>
            </w:pPr>
            <w:r>
              <w:rPr>
                <w:color w:val="auto"/>
                <w:highlight w:val="none"/>
              </w:rPr>
              <w:t>根据本项目的生产特点，对环境管理机构的设置建议如下：</w:t>
            </w:r>
          </w:p>
          <w:p w14:paraId="51C13ACF">
            <w:pPr>
              <w:ind w:firstLine="480"/>
              <w:rPr>
                <w:color w:val="auto"/>
                <w:highlight w:val="none"/>
              </w:rPr>
            </w:pPr>
            <w:r>
              <w:rPr>
                <w:rFonts w:hint="eastAsia"/>
                <w:color w:val="auto"/>
                <w:highlight w:val="none"/>
              </w:rPr>
              <w:t>设立</w:t>
            </w:r>
            <w:r>
              <w:rPr>
                <w:color w:val="auto"/>
                <w:highlight w:val="none"/>
              </w:rPr>
              <w:t>环境保护专职机构安环部门，并与各职能部门保持密切的联系，由专职环境保护</w:t>
            </w:r>
            <w:r>
              <w:rPr>
                <w:rFonts w:hint="eastAsia"/>
                <w:color w:val="auto"/>
                <w:highlight w:val="none"/>
              </w:rPr>
              <w:t>管理</w:t>
            </w:r>
            <w:r>
              <w:rPr>
                <w:color w:val="auto"/>
                <w:highlight w:val="none"/>
              </w:rPr>
              <w:t>工作人员实施全公司的环境管理工作，其主要职责是：</w:t>
            </w:r>
          </w:p>
          <w:p w14:paraId="7CF9EEF0">
            <w:pPr>
              <w:ind w:firstLine="480"/>
              <w:rPr>
                <w:color w:val="auto"/>
                <w:highlight w:val="none"/>
              </w:rPr>
            </w:pPr>
            <w:r>
              <w:rPr>
                <w:color w:val="auto"/>
                <w:highlight w:val="none"/>
              </w:rPr>
              <w:t>①贯彻执行国家和地方的环境保护法规和标准；</w:t>
            </w:r>
          </w:p>
          <w:p w14:paraId="1B5061EE">
            <w:pPr>
              <w:ind w:firstLine="480"/>
              <w:rPr>
                <w:color w:val="auto"/>
                <w:highlight w:val="none"/>
              </w:rPr>
            </w:pPr>
            <w:r>
              <w:rPr>
                <w:color w:val="auto"/>
                <w:highlight w:val="none"/>
              </w:rPr>
              <w:t>②接受环保部门的检查监督，定期上报各项环境管理工作的执行情况；</w:t>
            </w:r>
          </w:p>
          <w:p w14:paraId="75C99AEF">
            <w:pPr>
              <w:ind w:firstLine="480"/>
              <w:rPr>
                <w:color w:val="auto"/>
                <w:highlight w:val="none"/>
              </w:rPr>
            </w:pPr>
            <w:r>
              <w:rPr>
                <w:color w:val="auto"/>
                <w:highlight w:val="none"/>
              </w:rPr>
              <w:t>③组织制定公司各部门的环境管理规章制度；</w:t>
            </w:r>
          </w:p>
          <w:p w14:paraId="5249BADC">
            <w:pPr>
              <w:ind w:firstLine="480"/>
              <w:rPr>
                <w:color w:val="auto"/>
                <w:highlight w:val="none"/>
              </w:rPr>
            </w:pPr>
            <w:r>
              <w:rPr>
                <w:color w:val="auto"/>
                <w:highlight w:val="none"/>
              </w:rPr>
              <w:t>④负责环保设施的正常运转，以及环境监测计划的实施。</w:t>
            </w:r>
          </w:p>
          <w:p w14:paraId="71926375">
            <w:pPr>
              <w:pStyle w:val="3"/>
              <w:ind w:firstLine="482"/>
              <w:rPr>
                <w:color w:val="auto"/>
                <w:highlight w:val="none"/>
              </w:rPr>
            </w:pPr>
            <w:r>
              <w:rPr>
                <w:rFonts w:hint="eastAsia"/>
                <w:color w:val="auto"/>
                <w:highlight w:val="none"/>
              </w:rPr>
              <w:t>（2）</w:t>
            </w:r>
            <w:r>
              <w:rPr>
                <w:color w:val="auto"/>
                <w:highlight w:val="none"/>
              </w:rPr>
              <w:t>环境监测</w:t>
            </w:r>
          </w:p>
          <w:p w14:paraId="17FE8208">
            <w:pPr>
              <w:ind w:firstLine="480"/>
              <w:rPr>
                <w:color w:val="auto"/>
                <w:highlight w:val="none"/>
              </w:rPr>
            </w:pPr>
            <w:r>
              <w:rPr>
                <w:color w:val="auto"/>
                <w:highlight w:val="none"/>
              </w:rPr>
              <w:t>根据</w:t>
            </w:r>
            <w:r>
              <w:rPr>
                <w:rFonts w:hint="eastAsia"/>
                <w:color w:val="auto"/>
                <w:highlight w:val="none"/>
              </w:rPr>
              <w:t>《排污单位自行监测技术指南 农副食品加工业》（HJ 986-2018）、《排污许可证申请与核发技术规范 农副食品加工工业-饲料加工、植物油加工工业》（HJ 1110-2020）、《排污许可证申请与核发技术规范 总则》（HJ 942-2018）和《排污单位自行监测技术指南 总则》（HJ 819-2017）</w:t>
            </w:r>
            <w:r>
              <w:rPr>
                <w:color w:val="auto"/>
                <w:highlight w:val="none"/>
              </w:rPr>
              <w:t>。项目自行监测计划如下：</w:t>
            </w:r>
          </w:p>
          <w:p w14:paraId="19CF3092">
            <w:pPr>
              <w:pStyle w:val="14"/>
              <w:spacing w:before="156"/>
              <w:rPr>
                <w:color w:val="auto"/>
                <w:highlight w:val="none"/>
              </w:rPr>
            </w:pPr>
            <w:r>
              <w:rPr>
                <w:color w:val="auto"/>
                <w:highlight w:val="none"/>
              </w:rPr>
              <w:t>表4-</w:t>
            </w:r>
            <w:r>
              <w:rPr>
                <w:rFonts w:hint="eastAsia"/>
                <w:color w:val="auto"/>
                <w:highlight w:val="none"/>
              </w:rPr>
              <w:t>2</w:t>
            </w:r>
            <w:r>
              <w:rPr>
                <w:rFonts w:hint="eastAsia"/>
                <w:color w:val="auto"/>
                <w:highlight w:val="none"/>
                <w:lang w:val="en-US" w:eastAsia="zh-CN"/>
              </w:rPr>
              <w:t>5</w:t>
            </w:r>
            <w:r>
              <w:rPr>
                <w:color w:val="auto"/>
                <w:highlight w:val="none"/>
              </w:rPr>
              <w:t xml:space="preserve">  本项目环境监测计划一览表</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064"/>
              <w:gridCol w:w="5169"/>
              <w:gridCol w:w="1095"/>
              <w:gridCol w:w="1068"/>
            </w:tblGrid>
            <w:tr w14:paraId="3FC8F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7" w:type="pct"/>
                  <w:tcBorders>
                    <w:tl2br w:val="nil"/>
                    <w:tr2bl w:val="nil"/>
                  </w:tcBorders>
                  <w:vAlign w:val="center"/>
                </w:tcPr>
                <w:p w14:paraId="3C870557">
                  <w:pPr>
                    <w:pStyle w:val="13"/>
                    <w:rPr>
                      <w:b/>
                      <w:bCs/>
                      <w:color w:val="auto"/>
                      <w:highlight w:val="none"/>
                    </w:rPr>
                  </w:pPr>
                  <w:r>
                    <w:rPr>
                      <w:b/>
                      <w:bCs/>
                      <w:color w:val="auto"/>
                      <w:highlight w:val="none"/>
                    </w:rPr>
                    <w:t>类别</w:t>
                  </w:r>
                </w:p>
              </w:tc>
              <w:tc>
                <w:tcPr>
                  <w:tcW w:w="587" w:type="pct"/>
                  <w:tcBorders>
                    <w:tl2br w:val="nil"/>
                    <w:tr2bl w:val="nil"/>
                  </w:tcBorders>
                  <w:vAlign w:val="center"/>
                </w:tcPr>
                <w:p w14:paraId="22E4AC34">
                  <w:pPr>
                    <w:pStyle w:val="13"/>
                    <w:rPr>
                      <w:b/>
                      <w:bCs/>
                      <w:color w:val="auto"/>
                      <w:highlight w:val="none"/>
                    </w:rPr>
                  </w:pPr>
                  <w:r>
                    <w:rPr>
                      <w:b/>
                      <w:bCs/>
                      <w:color w:val="auto"/>
                      <w:highlight w:val="none"/>
                    </w:rPr>
                    <w:t>监测位置</w:t>
                  </w:r>
                </w:p>
              </w:tc>
              <w:tc>
                <w:tcPr>
                  <w:tcW w:w="2851" w:type="pct"/>
                  <w:tcBorders>
                    <w:tl2br w:val="nil"/>
                    <w:tr2bl w:val="nil"/>
                  </w:tcBorders>
                  <w:vAlign w:val="center"/>
                </w:tcPr>
                <w:p w14:paraId="39AF1950">
                  <w:pPr>
                    <w:pStyle w:val="13"/>
                    <w:rPr>
                      <w:b/>
                      <w:bCs/>
                      <w:color w:val="auto"/>
                      <w:highlight w:val="none"/>
                    </w:rPr>
                  </w:pPr>
                  <w:r>
                    <w:rPr>
                      <w:b/>
                      <w:bCs/>
                      <w:color w:val="auto"/>
                      <w:highlight w:val="none"/>
                    </w:rPr>
                    <w:t>监测项目</w:t>
                  </w:r>
                </w:p>
              </w:tc>
              <w:tc>
                <w:tcPr>
                  <w:tcW w:w="604" w:type="pct"/>
                  <w:tcBorders>
                    <w:tl2br w:val="nil"/>
                    <w:tr2bl w:val="nil"/>
                  </w:tcBorders>
                  <w:vAlign w:val="center"/>
                </w:tcPr>
                <w:p w14:paraId="0D6AE469">
                  <w:pPr>
                    <w:pStyle w:val="13"/>
                    <w:rPr>
                      <w:b/>
                      <w:bCs/>
                      <w:color w:val="auto"/>
                      <w:highlight w:val="none"/>
                    </w:rPr>
                  </w:pPr>
                  <w:r>
                    <w:rPr>
                      <w:b/>
                      <w:bCs/>
                      <w:color w:val="auto"/>
                      <w:highlight w:val="none"/>
                    </w:rPr>
                    <w:t>监测频率</w:t>
                  </w:r>
                </w:p>
              </w:tc>
              <w:tc>
                <w:tcPr>
                  <w:tcW w:w="589" w:type="pct"/>
                  <w:tcBorders>
                    <w:tl2br w:val="nil"/>
                    <w:tr2bl w:val="nil"/>
                  </w:tcBorders>
                  <w:vAlign w:val="center"/>
                </w:tcPr>
                <w:p w14:paraId="58C95B85">
                  <w:pPr>
                    <w:pStyle w:val="13"/>
                    <w:rPr>
                      <w:b/>
                      <w:bCs/>
                      <w:color w:val="auto"/>
                      <w:highlight w:val="none"/>
                    </w:rPr>
                  </w:pPr>
                  <w:r>
                    <w:rPr>
                      <w:b/>
                      <w:bCs/>
                      <w:color w:val="auto"/>
                      <w:highlight w:val="none"/>
                    </w:rPr>
                    <w:t>实施单位</w:t>
                  </w:r>
                </w:p>
              </w:tc>
            </w:tr>
            <w:tr w14:paraId="0D594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7" w:type="pct"/>
                  <w:vMerge w:val="restart"/>
                  <w:tcBorders>
                    <w:tl2br w:val="nil"/>
                    <w:tr2bl w:val="nil"/>
                  </w:tcBorders>
                  <w:vAlign w:val="center"/>
                </w:tcPr>
                <w:p w14:paraId="1B25FAD6">
                  <w:pPr>
                    <w:pStyle w:val="13"/>
                    <w:rPr>
                      <w:color w:val="auto"/>
                      <w:highlight w:val="none"/>
                    </w:rPr>
                  </w:pPr>
                  <w:r>
                    <w:rPr>
                      <w:color w:val="auto"/>
                      <w:highlight w:val="none"/>
                    </w:rPr>
                    <w:t>废气</w:t>
                  </w:r>
                </w:p>
              </w:tc>
              <w:tc>
                <w:tcPr>
                  <w:tcW w:w="587" w:type="pct"/>
                  <w:tcBorders>
                    <w:tl2br w:val="nil"/>
                    <w:tr2bl w:val="nil"/>
                  </w:tcBorders>
                  <w:vAlign w:val="center"/>
                </w:tcPr>
                <w:p w14:paraId="1B14B664">
                  <w:pPr>
                    <w:pStyle w:val="13"/>
                    <w:rPr>
                      <w:color w:val="auto"/>
                      <w:highlight w:val="none"/>
                    </w:rPr>
                  </w:pPr>
                  <w:r>
                    <w:rPr>
                      <w:rFonts w:hint="eastAsia"/>
                      <w:color w:val="auto"/>
                      <w:highlight w:val="none"/>
                    </w:rPr>
                    <w:t>DA001</w:t>
                  </w:r>
                </w:p>
              </w:tc>
              <w:tc>
                <w:tcPr>
                  <w:tcW w:w="2851" w:type="pct"/>
                  <w:tcBorders>
                    <w:tl2br w:val="nil"/>
                    <w:tr2bl w:val="nil"/>
                  </w:tcBorders>
                  <w:vAlign w:val="center"/>
                </w:tcPr>
                <w:p w14:paraId="04A5DB38">
                  <w:pPr>
                    <w:pStyle w:val="13"/>
                    <w:rPr>
                      <w:color w:val="auto"/>
                      <w:highlight w:val="none"/>
                    </w:rPr>
                  </w:pPr>
                  <w:r>
                    <w:rPr>
                      <w:color w:val="auto"/>
                      <w:highlight w:val="none"/>
                    </w:rPr>
                    <w:t>颗粒物</w:t>
                  </w:r>
                </w:p>
              </w:tc>
              <w:tc>
                <w:tcPr>
                  <w:tcW w:w="604" w:type="pct"/>
                  <w:tcBorders>
                    <w:tl2br w:val="nil"/>
                    <w:tr2bl w:val="nil"/>
                  </w:tcBorders>
                  <w:vAlign w:val="center"/>
                </w:tcPr>
                <w:p w14:paraId="69D7B25B">
                  <w:pPr>
                    <w:pStyle w:val="13"/>
                    <w:rPr>
                      <w:color w:val="auto"/>
                      <w:highlight w:val="none"/>
                    </w:rPr>
                  </w:pPr>
                  <w:r>
                    <w:rPr>
                      <w:rFonts w:hint="eastAsia"/>
                      <w:color w:val="auto"/>
                      <w:highlight w:val="none"/>
                      <w:lang w:val="en-US" w:eastAsia="zh-CN"/>
                    </w:rPr>
                    <w:t>1</w:t>
                  </w:r>
                  <w:r>
                    <w:rPr>
                      <w:rFonts w:hint="eastAsia"/>
                      <w:color w:val="auto"/>
                      <w:highlight w:val="none"/>
                    </w:rPr>
                    <w:t>次/</w:t>
                  </w:r>
                  <w:r>
                    <w:rPr>
                      <w:rFonts w:hint="eastAsia"/>
                      <w:color w:val="auto"/>
                      <w:highlight w:val="none"/>
                      <w:lang w:val="en-US" w:eastAsia="zh-CN"/>
                    </w:rPr>
                    <w:t>半年</w:t>
                  </w:r>
                </w:p>
              </w:tc>
              <w:tc>
                <w:tcPr>
                  <w:tcW w:w="589" w:type="pct"/>
                  <w:vMerge w:val="restart"/>
                  <w:tcBorders>
                    <w:tl2br w:val="nil"/>
                    <w:tr2bl w:val="nil"/>
                  </w:tcBorders>
                  <w:vAlign w:val="center"/>
                </w:tcPr>
                <w:p w14:paraId="12E2440C">
                  <w:pPr>
                    <w:pStyle w:val="13"/>
                    <w:rPr>
                      <w:color w:val="auto"/>
                      <w:highlight w:val="none"/>
                    </w:rPr>
                  </w:pPr>
                  <w:r>
                    <w:rPr>
                      <w:color w:val="auto"/>
                      <w:highlight w:val="none"/>
                    </w:rPr>
                    <w:t>委托第三方监测，建立监测数据库，记录存档</w:t>
                  </w:r>
                </w:p>
              </w:tc>
            </w:tr>
            <w:tr w14:paraId="0852F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7" w:type="pct"/>
                  <w:vMerge w:val="continue"/>
                  <w:tcBorders>
                    <w:tl2br w:val="nil"/>
                    <w:tr2bl w:val="nil"/>
                  </w:tcBorders>
                  <w:vAlign w:val="center"/>
                </w:tcPr>
                <w:p w14:paraId="34B5CCEE">
                  <w:pPr>
                    <w:pStyle w:val="13"/>
                    <w:rPr>
                      <w:color w:val="auto"/>
                      <w:highlight w:val="none"/>
                    </w:rPr>
                  </w:pPr>
                </w:p>
              </w:tc>
              <w:tc>
                <w:tcPr>
                  <w:tcW w:w="587" w:type="pct"/>
                  <w:tcBorders>
                    <w:tl2br w:val="nil"/>
                    <w:tr2bl w:val="nil"/>
                  </w:tcBorders>
                  <w:vAlign w:val="center"/>
                </w:tcPr>
                <w:p w14:paraId="3D838CF8">
                  <w:pPr>
                    <w:pStyle w:val="13"/>
                    <w:rPr>
                      <w:color w:val="auto"/>
                      <w:highlight w:val="none"/>
                    </w:rPr>
                  </w:pPr>
                  <w:r>
                    <w:rPr>
                      <w:color w:val="auto"/>
                      <w:highlight w:val="none"/>
                    </w:rPr>
                    <w:t>DA00</w:t>
                  </w:r>
                  <w:r>
                    <w:rPr>
                      <w:rFonts w:hint="eastAsia"/>
                      <w:color w:val="auto"/>
                      <w:highlight w:val="none"/>
                    </w:rPr>
                    <w:t>2</w:t>
                  </w:r>
                </w:p>
              </w:tc>
              <w:tc>
                <w:tcPr>
                  <w:tcW w:w="2851" w:type="pct"/>
                  <w:tcBorders>
                    <w:tl2br w:val="nil"/>
                    <w:tr2bl w:val="nil"/>
                  </w:tcBorders>
                  <w:vAlign w:val="center"/>
                </w:tcPr>
                <w:p w14:paraId="7AC3DD02">
                  <w:pPr>
                    <w:pStyle w:val="13"/>
                    <w:rPr>
                      <w:color w:val="auto"/>
                      <w:highlight w:val="none"/>
                    </w:rPr>
                  </w:pPr>
                  <w:r>
                    <w:rPr>
                      <w:color w:val="auto"/>
                      <w:highlight w:val="none"/>
                    </w:rPr>
                    <w:t>颗粒物</w:t>
                  </w:r>
                </w:p>
              </w:tc>
              <w:tc>
                <w:tcPr>
                  <w:tcW w:w="604" w:type="pct"/>
                  <w:tcBorders>
                    <w:tl2br w:val="nil"/>
                    <w:tr2bl w:val="nil"/>
                  </w:tcBorders>
                  <w:vAlign w:val="center"/>
                </w:tcPr>
                <w:p w14:paraId="47028A8A">
                  <w:pPr>
                    <w:pStyle w:val="13"/>
                    <w:rPr>
                      <w:color w:val="auto"/>
                      <w:highlight w:val="none"/>
                    </w:rPr>
                  </w:pPr>
                  <w:r>
                    <w:rPr>
                      <w:rFonts w:hint="eastAsia"/>
                      <w:color w:val="auto"/>
                      <w:highlight w:val="none"/>
                      <w:lang w:val="en-US" w:eastAsia="zh-CN"/>
                    </w:rPr>
                    <w:t>1</w:t>
                  </w:r>
                  <w:r>
                    <w:rPr>
                      <w:rFonts w:hint="eastAsia"/>
                      <w:color w:val="auto"/>
                      <w:highlight w:val="none"/>
                    </w:rPr>
                    <w:t>次/</w:t>
                  </w:r>
                  <w:r>
                    <w:rPr>
                      <w:rFonts w:hint="eastAsia"/>
                      <w:color w:val="auto"/>
                      <w:highlight w:val="none"/>
                      <w:lang w:val="en-US" w:eastAsia="zh-CN"/>
                    </w:rPr>
                    <w:t>半年</w:t>
                  </w:r>
                </w:p>
              </w:tc>
              <w:tc>
                <w:tcPr>
                  <w:tcW w:w="589" w:type="pct"/>
                  <w:vMerge w:val="continue"/>
                  <w:tcBorders>
                    <w:tl2br w:val="nil"/>
                    <w:tr2bl w:val="nil"/>
                  </w:tcBorders>
                  <w:vAlign w:val="center"/>
                </w:tcPr>
                <w:p w14:paraId="4789B0DD">
                  <w:pPr>
                    <w:pStyle w:val="13"/>
                    <w:rPr>
                      <w:color w:val="auto"/>
                      <w:highlight w:val="none"/>
                    </w:rPr>
                  </w:pPr>
                </w:p>
              </w:tc>
            </w:tr>
            <w:tr w14:paraId="0558B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7" w:type="pct"/>
                  <w:vMerge w:val="continue"/>
                  <w:tcBorders>
                    <w:tl2br w:val="nil"/>
                    <w:tr2bl w:val="nil"/>
                  </w:tcBorders>
                  <w:vAlign w:val="center"/>
                </w:tcPr>
                <w:p w14:paraId="7F130732">
                  <w:pPr>
                    <w:pStyle w:val="13"/>
                    <w:rPr>
                      <w:color w:val="auto"/>
                      <w:highlight w:val="none"/>
                    </w:rPr>
                  </w:pPr>
                </w:p>
              </w:tc>
              <w:tc>
                <w:tcPr>
                  <w:tcW w:w="587" w:type="pct"/>
                  <w:tcBorders>
                    <w:tl2br w:val="nil"/>
                    <w:tr2bl w:val="nil"/>
                  </w:tcBorders>
                  <w:vAlign w:val="center"/>
                </w:tcPr>
                <w:p w14:paraId="42A9D1B4">
                  <w:pPr>
                    <w:pStyle w:val="13"/>
                    <w:rPr>
                      <w:color w:val="auto"/>
                      <w:highlight w:val="none"/>
                    </w:rPr>
                  </w:pPr>
                  <w:r>
                    <w:rPr>
                      <w:color w:val="auto"/>
                      <w:highlight w:val="none"/>
                    </w:rPr>
                    <w:t>DA00</w:t>
                  </w:r>
                  <w:r>
                    <w:rPr>
                      <w:rFonts w:hint="eastAsia"/>
                      <w:color w:val="auto"/>
                      <w:highlight w:val="none"/>
                    </w:rPr>
                    <w:t>3</w:t>
                  </w:r>
                </w:p>
              </w:tc>
              <w:tc>
                <w:tcPr>
                  <w:tcW w:w="2851" w:type="pct"/>
                  <w:tcBorders>
                    <w:tl2br w:val="nil"/>
                    <w:tr2bl w:val="nil"/>
                  </w:tcBorders>
                  <w:vAlign w:val="center"/>
                </w:tcPr>
                <w:p w14:paraId="423415E3">
                  <w:pPr>
                    <w:pStyle w:val="13"/>
                    <w:rPr>
                      <w:color w:val="auto"/>
                      <w:highlight w:val="none"/>
                    </w:rPr>
                  </w:pPr>
                  <w:r>
                    <w:rPr>
                      <w:color w:val="auto"/>
                      <w:highlight w:val="none"/>
                    </w:rPr>
                    <w:t>颗粒物</w:t>
                  </w:r>
                  <w:r>
                    <w:rPr>
                      <w:rFonts w:hint="eastAsia"/>
                      <w:color w:val="auto"/>
                      <w:highlight w:val="none"/>
                    </w:rPr>
                    <w:t>、二氧化硫、氮氧化物、烟气黑度</w:t>
                  </w:r>
                </w:p>
              </w:tc>
              <w:tc>
                <w:tcPr>
                  <w:tcW w:w="604" w:type="pct"/>
                  <w:tcBorders>
                    <w:tl2br w:val="nil"/>
                    <w:tr2bl w:val="nil"/>
                  </w:tcBorders>
                  <w:vAlign w:val="center"/>
                </w:tcPr>
                <w:p w14:paraId="58BDEE99">
                  <w:pPr>
                    <w:pStyle w:val="13"/>
                    <w:rPr>
                      <w:rFonts w:hint="eastAsia" w:eastAsia="宋体"/>
                      <w:color w:val="auto"/>
                      <w:highlight w:val="none"/>
                      <w:lang w:eastAsia="zh-CN"/>
                    </w:rPr>
                  </w:pPr>
                  <w:r>
                    <w:rPr>
                      <w:rFonts w:hint="eastAsia"/>
                      <w:color w:val="auto"/>
                      <w:highlight w:val="none"/>
                    </w:rPr>
                    <w:t>1次/</w:t>
                  </w:r>
                  <w:r>
                    <w:rPr>
                      <w:rFonts w:hint="eastAsia"/>
                      <w:color w:val="auto"/>
                      <w:highlight w:val="none"/>
                      <w:lang w:val="en-US" w:eastAsia="zh-CN"/>
                    </w:rPr>
                    <w:t>月</w:t>
                  </w:r>
                </w:p>
              </w:tc>
              <w:tc>
                <w:tcPr>
                  <w:tcW w:w="589" w:type="pct"/>
                  <w:vMerge w:val="continue"/>
                  <w:tcBorders>
                    <w:tl2br w:val="nil"/>
                    <w:tr2bl w:val="nil"/>
                  </w:tcBorders>
                  <w:vAlign w:val="center"/>
                </w:tcPr>
                <w:p w14:paraId="00A7681C">
                  <w:pPr>
                    <w:pStyle w:val="13"/>
                    <w:rPr>
                      <w:color w:val="auto"/>
                      <w:highlight w:val="none"/>
                    </w:rPr>
                  </w:pPr>
                </w:p>
              </w:tc>
            </w:tr>
            <w:tr w14:paraId="0AD11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7" w:type="pct"/>
                  <w:vMerge w:val="continue"/>
                  <w:tcBorders>
                    <w:tl2br w:val="nil"/>
                    <w:tr2bl w:val="nil"/>
                  </w:tcBorders>
                  <w:vAlign w:val="center"/>
                </w:tcPr>
                <w:p w14:paraId="5C8A7EB8">
                  <w:pPr>
                    <w:pStyle w:val="13"/>
                    <w:rPr>
                      <w:color w:val="auto"/>
                      <w:highlight w:val="none"/>
                    </w:rPr>
                  </w:pPr>
                </w:p>
              </w:tc>
              <w:tc>
                <w:tcPr>
                  <w:tcW w:w="587" w:type="pct"/>
                  <w:tcBorders>
                    <w:tl2br w:val="nil"/>
                    <w:tr2bl w:val="nil"/>
                  </w:tcBorders>
                  <w:vAlign w:val="center"/>
                </w:tcPr>
                <w:p w14:paraId="3C4FE81E">
                  <w:pPr>
                    <w:pStyle w:val="13"/>
                    <w:rPr>
                      <w:color w:val="auto"/>
                      <w:highlight w:val="none"/>
                    </w:rPr>
                  </w:pPr>
                  <w:r>
                    <w:rPr>
                      <w:color w:val="auto"/>
                      <w:highlight w:val="none"/>
                    </w:rPr>
                    <w:t>厂界</w:t>
                  </w:r>
                </w:p>
              </w:tc>
              <w:tc>
                <w:tcPr>
                  <w:tcW w:w="2851" w:type="pct"/>
                  <w:tcBorders>
                    <w:tl2br w:val="nil"/>
                    <w:tr2bl w:val="nil"/>
                  </w:tcBorders>
                  <w:vAlign w:val="center"/>
                </w:tcPr>
                <w:p w14:paraId="6088A7EE">
                  <w:pPr>
                    <w:pStyle w:val="13"/>
                    <w:rPr>
                      <w:color w:val="auto"/>
                      <w:highlight w:val="none"/>
                    </w:rPr>
                  </w:pPr>
                  <w:r>
                    <w:rPr>
                      <w:color w:val="auto"/>
                      <w:highlight w:val="none"/>
                    </w:rPr>
                    <w:t>颗粒物</w:t>
                  </w:r>
                  <w:r>
                    <w:rPr>
                      <w:rFonts w:hint="eastAsia"/>
                      <w:color w:val="auto"/>
                      <w:highlight w:val="none"/>
                    </w:rPr>
                    <w:t>、二氧化硫、氮氧化物</w:t>
                  </w:r>
                </w:p>
              </w:tc>
              <w:tc>
                <w:tcPr>
                  <w:tcW w:w="604" w:type="pct"/>
                  <w:tcBorders>
                    <w:tl2br w:val="nil"/>
                    <w:tr2bl w:val="nil"/>
                  </w:tcBorders>
                  <w:vAlign w:val="center"/>
                </w:tcPr>
                <w:p w14:paraId="759F37EA">
                  <w:pPr>
                    <w:pStyle w:val="13"/>
                    <w:rPr>
                      <w:rFonts w:hint="eastAsia" w:eastAsia="宋体"/>
                      <w:color w:val="auto"/>
                      <w:highlight w:val="none"/>
                      <w:lang w:eastAsia="zh-CN"/>
                    </w:rPr>
                  </w:pPr>
                  <w:r>
                    <w:rPr>
                      <w:rFonts w:hint="eastAsia"/>
                      <w:color w:val="auto"/>
                      <w:highlight w:val="none"/>
                      <w:lang w:val="en-US" w:eastAsia="zh-CN"/>
                    </w:rPr>
                    <w:t>1</w:t>
                  </w:r>
                  <w:r>
                    <w:rPr>
                      <w:rFonts w:hint="eastAsia"/>
                      <w:color w:val="auto"/>
                      <w:highlight w:val="none"/>
                    </w:rPr>
                    <w:t>次/</w:t>
                  </w:r>
                  <w:r>
                    <w:rPr>
                      <w:rFonts w:hint="eastAsia"/>
                      <w:color w:val="auto"/>
                      <w:highlight w:val="none"/>
                      <w:lang w:val="en-US" w:eastAsia="zh-CN"/>
                    </w:rPr>
                    <w:t>季度</w:t>
                  </w:r>
                </w:p>
              </w:tc>
              <w:tc>
                <w:tcPr>
                  <w:tcW w:w="589" w:type="pct"/>
                  <w:vMerge w:val="continue"/>
                  <w:tcBorders>
                    <w:tl2br w:val="nil"/>
                    <w:tr2bl w:val="nil"/>
                  </w:tcBorders>
                  <w:vAlign w:val="center"/>
                </w:tcPr>
                <w:p w14:paraId="7830FFC5">
                  <w:pPr>
                    <w:pStyle w:val="13"/>
                    <w:rPr>
                      <w:color w:val="auto"/>
                      <w:highlight w:val="none"/>
                    </w:rPr>
                  </w:pPr>
                </w:p>
              </w:tc>
            </w:tr>
            <w:tr w14:paraId="310BB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7" w:type="pct"/>
                  <w:tcBorders>
                    <w:tl2br w:val="nil"/>
                    <w:tr2bl w:val="nil"/>
                  </w:tcBorders>
                  <w:vAlign w:val="center"/>
                </w:tcPr>
                <w:p w14:paraId="12FF375F">
                  <w:pPr>
                    <w:pStyle w:val="13"/>
                    <w:rPr>
                      <w:color w:val="auto"/>
                      <w:highlight w:val="none"/>
                    </w:rPr>
                  </w:pPr>
                  <w:r>
                    <w:rPr>
                      <w:color w:val="auto"/>
                      <w:highlight w:val="none"/>
                    </w:rPr>
                    <w:t>废水</w:t>
                  </w:r>
                </w:p>
              </w:tc>
              <w:tc>
                <w:tcPr>
                  <w:tcW w:w="587" w:type="pct"/>
                  <w:tcBorders>
                    <w:tl2br w:val="nil"/>
                    <w:tr2bl w:val="nil"/>
                  </w:tcBorders>
                  <w:vAlign w:val="center"/>
                </w:tcPr>
                <w:p w14:paraId="63FBF0C1">
                  <w:pPr>
                    <w:pStyle w:val="13"/>
                    <w:rPr>
                      <w:color w:val="auto"/>
                      <w:highlight w:val="none"/>
                    </w:rPr>
                  </w:pPr>
                  <w:r>
                    <w:rPr>
                      <w:rFonts w:hint="eastAsia"/>
                      <w:color w:val="auto"/>
                      <w:highlight w:val="none"/>
                    </w:rPr>
                    <w:t>DW001</w:t>
                  </w:r>
                </w:p>
              </w:tc>
              <w:tc>
                <w:tcPr>
                  <w:tcW w:w="2851" w:type="pct"/>
                  <w:tcBorders>
                    <w:tl2br w:val="nil"/>
                    <w:tr2bl w:val="nil"/>
                  </w:tcBorders>
                  <w:vAlign w:val="center"/>
                </w:tcPr>
                <w:p w14:paraId="535013A0">
                  <w:pPr>
                    <w:pStyle w:val="13"/>
                    <w:rPr>
                      <w:color w:val="auto"/>
                      <w:highlight w:val="none"/>
                    </w:rPr>
                  </w:pPr>
                  <w:r>
                    <w:rPr>
                      <w:rFonts w:hint="eastAsia"/>
                      <w:color w:val="auto"/>
                      <w:highlight w:val="none"/>
                    </w:rPr>
                    <w:t>pH</w:t>
                  </w:r>
                  <w:r>
                    <w:rPr>
                      <w:rFonts w:hint="eastAsia"/>
                      <w:color w:val="auto"/>
                      <w:highlight w:val="none"/>
                      <w:lang w:eastAsia="zh-CN"/>
                    </w:rPr>
                    <w:t>、</w:t>
                  </w:r>
                  <w:r>
                    <w:rPr>
                      <w:rFonts w:hint="eastAsia"/>
                      <w:color w:val="auto"/>
                      <w:highlight w:val="none"/>
                    </w:rPr>
                    <w:t>色度</w:t>
                  </w:r>
                  <w:r>
                    <w:rPr>
                      <w:rFonts w:hint="eastAsia"/>
                      <w:color w:val="auto"/>
                      <w:highlight w:val="none"/>
                      <w:lang w:eastAsia="zh-CN"/>
                    </w:rPr>
                    <w:t>、</w:t>
                  </w:r>
                  <w:r>
                    <w:rPr>
                      <w:rFonts w:hint="eastAsia"/>
                      <w:color w:val="auto"/>
                      <w:highlight w:val="none"/>
                    </w:rPr>
                    <w:t>SS</w:t>
                  </w:r>
                  <w:r>
                    <w:rPr>
                      <w:rFonts w:hint="eastAsia"/>
                      <w:color w:val="auto"/>
                      <w:highlight w:val="none"/>
                      <w:lang w:eastAsia="zh-CN"/>
                    </w:rPr>
                    <w:t>、</w:t>
                  </w:r>
                  <w:r>
                    <w:rPr>
                      <w:rFonts w:hint="eastAsia"/>
                      <w:color w:val="auto"/>
                      <w:highlight w:val="none"/>
                    </w:rPr>
                    <w:t>BOD</w:t>
                  </w:r>
                  <w:r>
                    <w:rPr>
                      <w:rFonts w:hint="eastAsia"/>
                      <w:color w:val="auto"/>
                      <w:highlight w:val="none"/>
                      <w:vertAlign w:val="subscript"/>
                    </w:rPr>
                    <w:t>5</w:t>
                  </w:r>
                  <w:r>
                    <w:rPr>
                      <w:rFonts w:hint="eastAsia"/>
                      <w:color w:val="auto"/>
                      <w:highlight w:val="none"/>
                      <w:lang w:eastAsia="zh-CN"/>
                    </w:rPr>
                    <w:t>、</w:t>
                  </w:r>
                  <w:r>
                    <w:rPr>
                      <w:rFonts w:hint="eastAsia"/>
                      <w:color w:val="auto"/>
                      <w:highlight w:val="none"/>
                    </w:rPr>
                    <w:t>COD</w:t>
                  </w:r>
                  <w:r>
                    <w:rPr>
                      <w:rFonts w:hint="eastAsia"/>
                      <w:color w:val="auto"/>
                      <w:highlight w:val="none"/>
                      <w:lang w:eastAsia="zh-CN"/>
                    </w:rPr>
                    <w:t>、</w:t>
                  </w:r>
                  <w:r>
                    <w:rPr>
                      <w:rFonts w:hint="eastAsia"/>
                      <w:color w:val="auto"/>
                      <w:highlight w:val="none"/>
                    </w:rPr>
                    <w:t>NH</w:t>
                  </w:r>
                  <w:r>
                    <w:rPr>
                      <w:rFonts w:hint="eastAsia"/>
                      <w:color w:val="auto"/>
                      <w:highlight w:val="none"/>
                      <w:vertAlign w:val="subscript"/>
                    </w:rPr>
                    <w:t>3</w:t>
                  </w:r>
                  <w:r>
                    <w:rPr>
                      <w:rFonts w:hint="eastAsia"/>
                      <w:color w:val="auto"/>
                      <w:highlight w:val="none"/>
                    </w:rPr>
                    <w:t>-N</w:t>
                  </w:r>
                  <w:r>
                    <w:rPr>
                      <w:rFonts w:hint="eastAsia"/>
                      <w:color w:val="auto"/>
                      <w:highlight w:val="none"/>
                      <w:lang w:eastAsia="zh-CN"/>
                    </w:rPr>
                    <w:t>、</w:t>
                  </w:r>
                  <w:r>
                    <w:rPr>
                      <w:rFonts w:hint="eastAsia"/>
                      <w:color w:val="auto"/>
                      <w:highlight w:val="none"/>
                    </w:rPr>
                    <w:t>TN</w:t>
                  </w:r>
                  <w:r>
                    <w:rPr>
                      <w:rFonts w:hint="eastAsia"/>
                      <w:color w:val="auto"/>
                      <w:highlight w:val="none"/>
                      <w:lang w:eastAsia="zh-CN"/>
                    </w:rPr>
                    <w:t>、</w:t>
                  </w:r>
                  <w:r>
                    <w:rPr>
                      <w:rFonts w:hint="eastAsia"/>
                      <w:color w:val="auto"/>
                      <w:highlight w:val="none"/>
                    </w:rPr>
                    <w:t>TP</w:t>
                  </w:r>
                  <w:r>
                    <w:rPr>
                      <w:rFonts w:hint="eastAsia"/>
                      <w:color w:val="auto"/>
                      <w:highlight w:val="none"/>
                      <w:lang w:eastAsia="zh-CN"/>
                    </w:rPr>
                    <w:t>、</w:t>
                  </w:r>
                  <w:r>
                    <w:rPr>
                      <w:rFonts w:hint="eastAsia"/>
                      <w:color w:val="auto"/>
                      <w:highlight w:val="none"/>
                    </w:rPr>
                    <w:t>动植物油</w:t>
                  </w:r>
                </w:p>
              </w:tc>
              <w:tc>
                <w:tcPr>
                  <w:tcW w:w="604" w:type="pct"/>
                  <w:tcBorders>
                    <w:tl2br w:val="nil"/>
                    <w:tr2bl w:val="nil"/>
                  </w:tcBorders>
                  <w:vAlign w:val="center"/>
                </w:tcPr>
                <w:p w14:paraId="420DB01A">
                  <w:pPr>
                    <w:pStyle w:val="13"/>
                    <w:rPr>
                      <w:rFonts w:hint="eastAsia" w:eastAsia="宋体"/>
                      <w:color w:val="auto"/>
                      <w:highlight w:val="none"/>
                      <w:lang w:eastAsia="zh-CN"/>
                    </w:rPr>
                  </w:pPr>
                  <w:r>
                    <w:rPr>
                      <w:rFonts w:hint="eastAsia"/>
                      <w:color w:val="auto"/>
                      <w:highlight w:val="none"/>
                      <w:lang w:val="en-US" w:eastAsia="zh-CN"/>
                    </w:rPr>
                    <w:t>1</w:t>
                  </w:r>
                  <w:r>
                    <w:rPr>
                      <w:rFonts w:hint="eastAsia"/>
                      <w:color w:val="auto"/>
                      <w:highlight w:val="none"/>
                    </w:rPr>
                    <w:t>次/</w:t>
                  </w:r>
                  <w:r>
                    <w:rPr>
                      <w:rFonts w:hint="eastAsia"/>
                      <w:color w:val="auto"/>
                      <w:highlight w:val="none"/>
                      <w:lang w:val="en-US" w:eastAsia="zh-CN"/>
                    </w:rPr>
                    <w:t>半年</w:t>
                  </w:r>
                </w:p>
              </w:tc>
              <w:tc>
                <w:tcPr>
                  <w:tcW w:w="589" w:type="pct"/>
                  <w:vMerge w:val="continue"/>
                  <w:tcBorders>
                    <w:tl2br w:val="nil"/>
                    <w:tr2bl w:val="nil"/>
                  </w:tcBorders>
                  <w:vAlign w:val="center"/>
                </w:tcPr>
                <w:p w14:paraId="22299A28">
                  <w:pPr>
                    <w:pStyle w:val="13"/>
                    <w:rPr>
                      <w:color w:val="auto"/>
                      <w:highlight w:val="none"/>
                    </w:rPr>
                  </w:pPr>
                </w:p>
              </w:tc>
            </w:tr>
            <w:tr w14:paraId="2AAE9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67" w:type="pct"/>
                  <w:tcBorders>
                    <w:tl2br w:val="nil"/>
                    <w:tr2bl w:val="nil"/>
                  </w:tcBorders>
                  <w:vAlign w:val="center"/>
                </w:tcPr>
                <w:p w14:paraId="29DE6D06">
                  <w:pPr>
                    <w:pStyle w:val="13"/>
                    <w:rPr>
                      <w:color w:val="auto"/>
                      <w:highlight w:val="none"/>
                    </w:rPr>
                  </w:pPr>
                  <w:r>
                    <w:rPr>
                      <w:color w:val="auto"/>
                      <w:highlight w:val="none"/>
                    </w:rPr>
                    <w:t>噪声</w:t>
                  </w:r>
                </w:p>
              </w:tc>
              <w:tc>
                <w:tcPr>
                  <w:tcW w:w="587" w:type="pct"/>
                  <w:tcBorders>
                    <w:tl2br w:val="nil"/>
                    <w:tr2bl w:val="nil"/>
                  </w:tcBorders>
                  <w:vAlign w:val="center"/>
                </w:tcPr>
                <w:p w14:paraId="550956D8">
                  <w:pPr>
                    <w:pStyle w:val="13"/>
                    <w:rPr>
                      <w:color w:val="auto"/>
                      <w:highlight w:val="none"/>
                    </w:rPr>
                  </w:pPr>
                  <w:r>
                    <w:rPr>
                      <w:rFonts w:hint="eastAsia"/>
                      <w:color w:val="auto"/>
                      <w:highlight w:val="none"/>
                    </w:rPr>
                    <w:t>厂界四周</w:t>
                  </w:r>
                </w:p>
              </w:tc>
              <w:tc>
                <w:tcPr>
                  <w:tcW w:w="2851" w:type="pct"/>
                  <w:tcBorders>
                    <w:tl2br w:val="nil"/>
                    <w:tr2bl w:val="nil"/>
                  </w:tcBorders>
                  <w:vAlign w:val="center"/>
                </w:tcPr>
                <w:p w14:paraId="62558A3D">
                  <w:pPr>
                    <w:pStyle w:val="13"/>
                    <w:rPr>
                      <w:color w:val="auto"/>
                      <w:highlight w:val="none"/>
                    </w:rPr>
                  </w:pPr>
                  <w:r>
                    <w:rPr>
                      <w:rFonts w:hint="eastAsia"/>
                      <w:color w:val="auto"/>
                      <w:highlight w:val="none"/>
                    </w:rPr>
                    <w:t>等效连续A声级（Leq）</w:t>
                  </w:r>
                </w:p>
              </w:tc>
              <w:tc>
                <w:tcPr>
                  <w:tcW w:w="604" w:type="pct"/>
                  <w:tcBorders>
                    <w:tl2br w:val="nil"/>
                    <w:tr2bl w:val="nil"/>
                  </w:tcBorders>
                  <w:vAlign w:val="center"/>
                </w:tcPr>
                <w:p w14:paraId="06A523F9">
                  <w:pPr>
                    <w:pStyle w:val="13"/>
                    <w:rPr>
                      <w:color w:val="auto"/>
                      <w:highlight w:val="none"/>
                    </w:rPr>
                  </w:pPr>
                  <w:r>
                    <w:rPr>
                      <w:rFonts w:hint="eastAsia"/>
                      <w:color w:val="auto"/>
                      <w:highlight w:val="none"/>
                    </w:rPr>
                    <w:t>1次/季度</w:t>
                  </w:r>
                </w:p>
              </w:tc>
              <w:tc>
                <w:tcPr>
                  <w:tcW w:w="589" w:type="pct"/>
                  <w:vMerge w:val="continue"/>
                  <w:tcBorders>
                    <w:tl2br w:val="nil"/>
                    <w:tr2bl w:val="nil"/>
                  </w:tcBorders>
                  <w:vAlign w:val="center"/>
                </w:tcPr>
                <w:p w14:paraId="0861CAD2">
                  <w:pPr>
                    <w:pStyle w:val="13"/>
                    <w:rPr>
                      <w:color w:val="auto"/>
                      <w:highlight w:val="none"/>
                    </w:rPr>
                  </w:pPr>
                </w:p>
              </w:tc>
            </w:tr>
          </w:tbl>
          <w:p w14:paraId="0733765A">
            <w:pPr>
              <w:pStyle w:val="2"/>
              <w:ind w:firstLine="482"/>
              <w:rPr>
                <w:color w:val="auto"/>
                <w:highlight w:val="none"/>
              </w:rPr>
            </w:pPr>
            <w:r>
              <w:rPr>
                <w:rFonts w:hint="eastAsia"/>
                <w:color w:val="auto"/>
                <w:highlight w:val="none"/>
              </w:rPr>
              <w:t>8</w:t>
            </w:r>
            <w:r>
              <w:rPr>
                <w:color w:val="auto"/>
                <w:highlight w:val="none"/>
              </w:rPr>
              <w:t>、环保投资</w:t>
            </w:r>
          </w:p>
          <w:p w14:paraId="5C500541">
            <w:pPr>
              <w:ind w:firstLine="480"/>
              <w:rPr>
                <w:color w:val="auto"/>
                <w:highlight w:val="none"/>
              </w:rPr>
            </w:pPr>
            <w:r>
              <w:rPr>
                <w:color w:val="auto"/>
                <w:highlight w:val="none"/>
              </w:rPr>
              <w:t>本项目环保投资</w:t>
            </w:r>
            <w:r>
              <w:rPr>
                <w:rFonts w:hint="eastAsia"/>
                <w:color w:val="auto"/>
                <w:highlight w:val="none"/>
              </w:rPr>
              <w:t>100</w:t>
            </w:r>
            <w:r>
              <w:rPr>
                <w:color w:val="auto"/>
                <w:highlight w:val="none"/>
              </w:rPr>
              <w:t>万元，占项目总投资</w:t>
            </w:r>
            <w:r>
              <w:rPr>
                <w:rFonts w:hint="eastAsia"/>
                <w:color w:val="auto"/>
                <w:highlight w:val="none"/>
              </w:rPr>
              <w:t>5645.3</w:t>
            </w:r>
            <w:r>
              <w:rPr>
                <w:color w:val="auto"/>
                <w:highlight w:val="none"/>
              </w:rPr>
              <w:t>万元的</w:t>
            </w:r>
            <w:r>
              <w:rPr>
                <w:rFonts w:hint="eastAsia"/>
                <w:color w:val="auto"/>
                <w:highlight w:val="none"/>
              </w:rPr>
              <w:t>1.77</w:t>
            </w:r>
            <w:r>
              <w:rPr>
                <w:color w:val="auto"/>
                <w:highlight w:val="none"/>
              </w:rPr>
              <w:t>%，具体</w:t>
            </w:r>
            <w:r>
              <w:rPr>
                <w:rFonts w:hint="eastAsia"/>
                <w:color w:val="auto"/>
                <w:highlight w:val="none"/>
              </w:rPr>
              <w:t>见下</w:t>
            </w:r>
            <w:r>
              <w:rPr>
                <w:color w:val="auto"/>
                <w:highlight w:val="none"/>
              </w:rPr>
              <w:t>表：</w:t>
            </w:r>
          </w:p>
          <w:p w14:paraId="04E66F0D">
            <w:pPr>
              <w:pStyle w:val="14"/>
              <w:spacing w:before="156"/>
              <w:rPr>
                <w:color w:val="auto"/>
                <w:highlight w:val="none"/>
              </w:rPr>
            </w:pPr>
            <w:r>
              <w:rPr>
                <w:color w:val="auto"/>
                <w:highlight w:val="none"/>
              </w:rPr>
              <w:t>表4-</w:t>
            </w:r>
            <w:r>
              <w:rPr>
                <w:rFonts w:hint="eastAsia"/>
                <w:color w:val="auto"/>
                <w:highlight w:val="none"/>
              </w:rPr>
              <w:t>2</w:t>
            </w:r>
            <w:r>
              <w:rPr>
                <w:rFonts w:hint="eastAsia"/>
                <w:color w:val="auto"/>
                <w:highlight w:val="none"/>
                <w:lang w:val="en-US" w:eastAsia="zh-CN"/>
              </w:rPr>
              <w:t>6</w:t>
            </w:r>
            <w:r>
              <w:rPr>
                <w:color w:val="auto"/>
                <w:highlight w:val="none"/>
              </w:rPr>
              <w:t xml:space="preserve">  建设项目环保措施投资一览表  单位：万元</w:t>
            </w:r>
          </w:p>
          <w:tbl>
            <w:tblPr>
              <w:tblStyle w:val="9"/>
              <w:tblW w:w="491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75"/>
              <w:gridCol w:w="729"/>
              <w:gridCol w:w="1301"/>
              <w:gridCol w:w="5770"/>
              <w:gridCol w:w="636"/>
            </w:tblGrid>
            <w:tr w14:paraId="715ED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40" w:hRule="atLeast"/>
                <w:jc w:val="center"/>
              </w:trPr>
              <w:tc>
                <w:tcPr>
                  <w:tcW w:w="675" w:type="pct"/>
                  <w:gridSpan w:val="2"/>
                  <w:vAlign w:val="center"/>
                </w:tcPr>
                <w:p w14:paraId="173EF06F">
                  <w:pPr>
                    <w:pStyle w:val="13"/>
                    <w:rPr>
                      <w:b/>
                      <w:bCs/>
                      <w:color w:val="auto"/>
                      <w:highlight w:val="none"/>
                    </w:rPr>
                  </w:pPr>
                  <w:r>
                    <w:rPr>
                      <w:b/>
                      <w:bCs/>
                      <w:color w:val="auto"/>
                      <w:highlight w:val="none"/>
                    </w:rPr>
                    <w:t>类别</w:t>
                  </w:r>
                </w:p>
              </w:tc>
              <w:tc>
                <w:tcPr>
                  <w:tcW w:w="730" w:type="pct"/>
                  <w:vAlign w:val="center"/>
                </w:tcPr>
                <w:p w14:paraId="649A9A54">
                  <w:pPr>
                    <w:pStyle w:val="13"/>
                    <w:rPr>
                      <w:b/>
                      <w:bCs/>
                      <w:color w:val="auto"/>
                      <w:highlight w:val="none"/>
                    </w:rPr>
                  </w:pPr>
                  <w:r>
                    <w:rPr>
                      <w:b/>
                      <w:bCs/>
                      <w:color w:val="auto"/>
                      <w:highlight w:val="none"/>
                    </w:rPr>
                    <w:t>治理对象</w:t>
                  </w:r>
                </w:p>
              </w:tc>
              <w:tc>
                <w:tcPr>
                  <w:tcW w:w="3237" w:type="pct"/>
                  <w:vAlign w:val="center"/>
                </w:tcPr>
                <w:p w14:paraId="1A1F77B6">
                  <w:pPr>
                    <w:pStyle w:val="13"/>
                    <w:rPr>
                      <w:b/>
                      <w:bCs/>
                      <w:color w:val="auto"/>
                      <w:highlight w:val="none"/>
                    </w:rPr>
                  </w:pPr>
                  <w:r>
                    <w:rPr>
                      <w:b/>
                      <w:bCs/>
                      <w:color w:val="auto"/>
                      <w:highlight w:val="none"/>
                    </w:rPr>
                    <w:t>治理方案</w:t>
                  </w:r>
                </w:p>
              </w:tc>
              <w:tc>
                <w:tcPr>
                  <w:tcW w:w="357" w:type="pct"/>
                  <w:tcBorders>
                    <w:right w:val="single" w:color="auto" w:sz="4" w:space="0"/>
                  </w:tcBorders>
                  <w:vAlign w:val="center"/>
                </w:tcPr>
                <w:p w14:paraId="444049DF">
                  <w:pPr>
                    <w:pStyle w:val="13"/>
                    <w:rPr>
                      <w:b/>
                      <w:bCs/>
                      <w:color w:val="auto"/>
                      <w:highlight w:val="none"/>
                    </w:rPr>
                  </w:pPr>
                  <w:r>
                    <w:rPr>
                      <w:b/>
                      <w:bCs/>
                      <w:color w:val="auto"/>
                      <w:highlight w:val="none"/>
                    </w:rPr>
                    <w:t>投资</w:t>
                  </w:r>
                </w:p>
              </w:tc>
            </w:tr>
            <w:tr w14:paraId="337413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66" w:type="pct"/>
                  <w:vMerge w:val="restart"/>
                  <w:vAlign w:val="center"/>
                </w:tcPr>
                <w:p w14:paraId="5E97892A">
                  <w:pPr>
                    <w:pStyle w:val="13"/>
                    <w:rPr>
                      <w:color w:val="auto"/>
                      <w:highlight w:val="none"/>
                    </w:rPr>
                  </w:pPr>
                  <w:r>
                    <w:rPr>
                      <w:rFonts w:hint="eastAsia"/>
                      <w:color w:val="auto"/>
                      <w:highlight w:val="none"/>
                    </w:rPr>
                    <w:t>废气防治措施</w:t>
                  </w:r>
                </w:p>
              </w:tc>
              <w:tc>
                <w:tcPr>
                  <w:tcW w:w="408" w:type="pct"/>
                  <w:vMerge w:val="restart"/>
                  <w:vAlign w:val="center"/>
                </w:tcPr>
                <w:p w14:paraId="7675FC3A">
                  <w:pPr>
                    <w:pStyle w:val="13"/>
                    <w:rPr>
                      <w:color w:val="auto"/>
                      <w:highlight w:val="none"/>
                    </w:rPr>
                  </w:pPr>
                  <w:r>
                    <w:rPr>
                      <w:rFonts w:hint="eastAsia"/>
                      <w:color w:val="auto"/>
                      <w:highlight w:val="none"/>
                    </w:rPr>
                    <w:t>有组织废气</w:t>
                  </w:r>
                </w:p>
              </w:tc>
              <w:tc>
                <w:tcPr>
                  <w:tcW w:w="730" w:type="pct"/>
                  <w:vAlign w:val="center"/>
                </w:tcPr>
                <w:p w14:paraId="275A3375">
                  <w:pPr>
                    <w:pStyle w:val="13"/>
                    <w:rPr>
                      <w:color w:val="auto"/>
                      <w:highlight w:val="none"/>
                    </w:rPr>
                  </w:pPr>
                  <w:r>
                    <w:rPr>
                      <w:rFonts w:hint="eastAsia"/>
                      <w:color w:val="auto"/>
                      <w:highlight w:val="none"/>
                    </w:rPr>
                    <w:t>G1秸秆饲料生产废气</w:t>
                  </w:r>
                </w:p>
              </w:tc>
              <w:tc>
                <w:tcPr>
                  <w:tcW w:w="3237" w:type="pct"/>
                  <w:vAlign w:val="center"/>
                </w:tcPr>
                <w:p w14:paraId="4A74E90B">
                  <w:pPr>
                    <w:pStyle w:val="13"/>
                    <w:rPr>
                      <w:color w:val="auto"/>
                      <w:highlight w:val="none"/>
                    </w:rPr>
                  </w:pPr>
                  <w:r>
                    <w:rPr>
                      <w:rFonts w:hint="eastAsia" w:cs="Times New Roman"/>
                      <w:color w:val="auto"/>
                      <w:highlight w:val="none"/>
                    </w:rPr>
                    <w:t>通过在清理筛、磁选机、破碎机、秸秆打包机产污处设置集气罩收集</w:t>
                  </w:r>
                  <w:r>
                    <w:rPr>
                      <w:color w:val="auto"/>
                      <w:highlight w:val="none"/>
                    </w:rPr>
                    <w:t>秸秆饲料生产废气</w:t>
                  </w:r>
                  <w:r>
                    <w:rPr>
                      <w:rFonts w:hint="eastAsia"/>
                      <w:color w:val="auto"/>
                      <w:highlight w:val="none"/>
                    </w:rPr>
                    <w:t>并入</w:t>
                  </w:r>
                  <w:r>
                    <w:rPr>
                      <w:rFonts w:cs="Times New Roman"/>
                      <w:color w:val="auto"/>
                      <w:highlight w:val="none"/>
                    </w:rPr>
                    <w:t>一根</w:t>
                  </w:r>
                  <w:r>
                    <w:rPr>
                      <w:rFonts w:hint="eastAsia"/>
                      <w:color w:val="auto"/>
                      <w:highlight w:val="none"/>
                    </w:rPr>
                    <w:t>管道，经布袋除尘器处理后由</w:t>
                  </w:r>
                  <w:r>
                    <w:rPr>
                      <w:rFonts w:cs="Times New Roman"/>
                      <w:color w:val="auto"/>
                      <w:highlight w:val="none"/>
                    </w:rPr>
                    <w:t>15m高排气筒DA001排放。</w:t>
                  </w:r>
                </w:p>
              </w:tc>
              <w:tc>
                <w:tcPr>
                  <w:tcW w:w="357" w:type="pct"/>
                  <w:tcBorders>
                    <w:right w:val="single" w:color="auto" w:sz="4" w:space="0"/>
                  </w:tcBorders>
                  <w:vAlign w:val="center"/>
                </w:tcPr>
                <w:p w14:paraId="021D2729">
                  <w:pPr>
                    <w:pStyle w:val="13"/>
                    <w:rPr>
                      <w:color w:val="auto"/>
                      <w:highlight w:val="none"/>
                    </w:rPr>
                  </w:pPr>
                  <w:r>
                    <w:rPr>
                      <w:rFonts w:hint="eastAsia"/>
                      <w:color w:val="auto"/>
                      <w:highlight w:val="none"/>
                    </w:rPr>
                    <w:t>10</w:t>
                  </w:r>
                </w:p>
              </w:tc>
            </w:tr>
            <w:tr w14:paraId="2DC3B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66" w:type="pct"/>
                  <w:vMerge w:val="continue"/>
                  <w:vAlign w:val="center"/>
                </w:tcPr>
                <w:p w14:paraId="07194984">
                  <w:pPr>
                    <w:pStyle w:val="13"/>
                    <w:rPr>
                      <w:color w:val="auto"/>
                      <w:highlight w:val="none"/>
                    </w:rPr>
                  </w:pPr>
                </w:p>
              </w:tc>
              <w:tc>
                <w:tcPr>
                  <w:tcW w:w="408" w:type="pct"/>
                  <w:vMerge w:val="continue"/>
                  <w:vAlign w:val="center"/>
                </w:tcPr>
                <w:p w14:paraId="7025F111">
                  <w:pPr>
                    <w:pStyle w:val="13"/>
                    <w:rPr>
                      <w:color w:val="auto"/>
                      <w:highlight w:val="none"/>
                    </w:rPr>
                  </w:pPr>
                </w:p>
              </w:tc>
              <w:tc>
                <w:tcPr>
                  <w:tcW w:w="730" w:type="pct"/>
                  <w:vAlign w:val="center"/>
                </w:tcPr>
                <w:p w14:paraId="7A9E0824">
                  <w:pPr>
                    <w:pStyle w:val="13"/>
                    <w:rPr>
                      <w:color w:val="auto"/>
                      <w:highlight w:val="none"/>
                    </w:rPr>
                  </w:pPr>
                  <w:r>
                    <w:rPr>
                      <w:rFonts w:hint="eastAsia"/>
                      <w:color w:val="auto"/>
                      <w:highlight w:val="none"/>
                    </w:rPr>
                    <w:t>G2饲料颗粒生产废气</w:t>
                  </w:r>
                </w:p>
              </w:tc>
              <w:tc>
                <w:tcPr>
                  <w:tcW w:w="3237" w:type="pct"/>
                  <w:vAlign w:val="center"/>
                </w:tcPr>
                <w:p w14:paraId="1BAB4DBC">
                  <w:pPr>
                    <w:pStyle w:val="13"/>
                    <w:rPr>
                      <w:color w:val="auto"/>
                      <w:highlight w:val="none"/>
                    </w:rPr>
                  </w:pPr>
                  <w:r>
                    <w:rPr>
                      <w:rFonts w:hint="eastAsia" w:cs="Times New Roman"/>
                      <w:color w:val="auto"/>
                      <w:highlight w:val="none"/>
                    </w:rPr>
                    <w:t>通过在混合机、制粒机、冷却分级筛产污处设置集气罩收集饲料颗粒生产废气，经布袋除尘器处理后由15m高排气筒DA002排放</w:t>
                  </w:r>
                  <w:r>
                    <w:rPr>
                      <w:rFonts w:cs="Times New Roman"/>
                      <w:color w:val="auto"/>
                      <w:highlight w:val="none"/>
                    </w:rPr>
                    <w:t>。</w:t>
                  </w:r>
                </w:p>
              </w:tc>
              <w:tc>
                <w:tcPr>
                  <w:tcW w:w="357" w:type="pct"/>
                  <w:tcBorders>
                    <w:right w:val="single" w:color="auto" w:sz="4" w:space="0"/>
                  </w:tcBorders>
                  <w:vAlign w:val="center"/>
                </w:tcPr>
                <w:p w14:paraId="15D1D421">
                  <w:pPr>
                    <w:pStyle w:val="13"/>
                    <w:rPr>
                      <w:color w:val="auto"/>
                      <w:highlight w:val="none"/>
                    </w:rPr>
                  </w:pPr>
                  <w:r>
                    <w:rPr>
                      <w:rFonts w:hint="eastAsia"/>
                      <w:color w:val="auto"/>
                      <w:highlight w:val="none"/>
                    </w:rPr>
                    <w:t>10</w:t>
                  </w:r>
                </w:p>
              </w:tc>
            </w:tr>
            <w:tr w14:paraId="28F9C2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66" w:type="pct"/>
                  <w:vMerge w:val="continue"/>
                  <w:vAlign w:val="center"/>
                </w:tcPr>
                <w:p w14:paraId="6B263256">
                  <w:pPr>
                    <w:pStyle w:val="13"/>
                    <w:rPr>
                      <w:color w:val="auto"/>
                      <w:highlight w:val="none"/>
                    </w:rPr>
                  </w:pPr>
                </w:p>
              </w:tc>
              <w:tc>
                <w:tcPr>
                  <w:tcW w:w="408" w:type="pct"/>
                  <w:vMerge w:val="continue"/>
                  <w:vAlign w:val="center"/>
                </w:tcPr>
                <w:p w14:paraId="4F9A9A80">
                  <w:pPr>
                    <w:pStyle w:val="13"/>
                    <w:rPr>
                      <w:color w:val="auto"/>
                      <w:highlight w:val="none"/>
                    </w:rPr>
                  </w:pPr>
                </w:p>
              </w:tc>
              <w:tc>
                <w:tcPr>
                  <w:tcW w:w="730" w:type="pct"/>
                  <w:vAlign w:val="center"/>
                </w:tcPr>
                <w:p w14:paraId="0535024E">
                  <w:pPr>
                    <w:pStyle w:val="13"/>
                    <w:rPr>
                      <w:color w:val="auto"/>
                      <w:highlight w:val="none"/>
                    </w:rPr>
                  </w:pPr>
                  <w:r>
                    <w:rPr>
                      <w:rFonts w:hint="eastAsia"/>
                      <w:color w:val="auto"/>
                      <w:highlight w:val="none"/>
                    </w:rPr>
                    <w:t>G3锅炉废气</w:t>
                  </w:r>
                </w:p>
              </w:tc>
              <w:tc>
                <w:tcPr>
                  <w:tcW w:w="3237" w:type="pct"/>
                  <w:vAlign w:val="center"/>
                </w:tcPr>
                <w:p w14:paraId="4F69E639">
                  <w:pPr>
                    <w:pStyle w:val="13"/>
                    <w:rPr>
                      <w:rFonts w:cs="Times New Roman"/>
                      <w:color w:val="auto"/>
                      <w:highlight w:val="none"/>
                    </w:rPr>
                  </w:pPr>
                  <w:r>
                    <w:rPr>
                      <w:rFonts w:hint="eastAsia" w:cs="Times New Roman"/>
                      <w:color w:val="auto"/>
                      <w:highlight w:val="none"/>
                    </w:rPr>
                    <w:t>采用低氮燃烧的锅炉废气经布袋除尘器处理后由15m高排气筒DA003排放</w:t>
                  </w:r>
                  <w:r>
                    <w:rPr>
                      <w:rFonts w:cs="Times New Roman"/>
                      <w:color w:val="auto"/>
                      <w:highlight w:val="none"/>
                    </w:rPr>
                    <w:t>。</w:t>
                  </w:r>
                </w:p>
              </w:tc>
              <w:tc>
                <w:tcPr>
                  <w:tcW w:w="357" w:type="pct"/>
                  <w:tcBorders>
                    <w:right w:val="single" w:color="auto" w:sz="4" w:space="0"/>
                  </w:tcBorders>
                  <w:vAlign w:val="center"/>
                </w:tcPr>
                <w:p w14:paraId="0771FA14">
                  <w:pPr>
                    <w:pStyle w:val="13"/>
                    <w:rPr>
                      <w:color w:val="auto"/>
                      <w:highlight w:val="none"/>
                    </w:rPr>
                  </w:pPr>
                  <w:r>
                    <w:rPr>
                      <w:rFonts w:hint="eastAsia"/>
                      <w:color w:val="auto"/>
                      <w:highlight w:val="none"/>
                    </w:rPr>
                    <w:t>5</w:t>
                  </w:r>
                </w:p>
              </w:tc>
            </w:tr>
            <w:tr w14:paraId="51402E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266" w:type="pct"/>
                  <w:vMerge w:val="continue"/>
                  <w:vAlign w:val="center"/>
                </w:tcPr>
                <w:p w14:paraId="6F13D014">
                  <w:pPr>
                    <w:pStyle w:val="13"/>
                    <w:rPr>
                      <w:color w:val="auto"/>
                      <w:highlight w:val="none"/>
                    </w:rPr>
                  </w:pPr>
                </w:p>
              </w:tc>
              <w:tc>
                <w:tcPr>
                  <w:tcW w:w="408" w:type="pct"/>
                  <w:vAlign w:val="center"/>
                </w:tcPr>
                <w:p w14:paraId="5B57BAE5">
                  <w:pPr>
                    <w:pStyle w:val="13"/>
                    <w:rPr>
                      <w:color w:val="auto"/>
                      <w:highlight w:val="none"/>
                    </w:rPr>
                  </w:pPr>
                  <w:r>
                    <w:rPr>
                      <w:rFonts w:hint="eastAsia"/>
                      <w:color w:val="auto"/>
                      <w:highlight w:val="none"/>
                    </w:rPr>
                    <w:t>无组织废气</w:t>
                  </w:r>
                </w:p>
              </w:tc>
              <w:tc>
                <w:tcPr>
                  <w:tcW w:w="730" w:type="pct"/>
                  <w:vAlign w:val="center"/>
                </w:tcPr>
                <w:p w14:paraId="4FA9C978">
                  <w:pPr>
                    <w:pStyle w:val="13"/>
                    <w:rPr>
                      <w:color w:val="auto"/>
                      <w:highlight w:val="none"/>
                    </w:rPr>
                  </w:pPr>
                  <w:r>
                    <w:rPr>
                      <w:rFonts w:hint="eastAsia"/>
                      <w:color w:val="auto"/>
                      <w:highlight w:val="none"/>
                    </w:rPr>
                    <w:t>加工车间</w:t>
                  </w:r>
                </w:p>
              </w:tc>
              <w:tc>
                <w:tcPr>
                  <w:tcW w:w="3237" w:type="pct"/>
                  <w:vAlign w:val="center"/>
                </w:tcPr>
                <w:p w14:paraId="3FA2D81C">
                  <w:pPr>
                    <w:pStyle w:val="13"/>
                    <w:rPr>
                      <w:color w:val="auto"/>
                      <w:highlight w:val="none"/>
                    </w:rPr>
                  </w:pPr>
                  <w:r>
                    <w:rPr>
                      <w:rFonts w:hint="eastAsia"/>
                      <w:color w:val="auto"/>
                      <w:highlight w:val="none"/>
                    </w:rPr>
                    <w:t>针对无组织废气采取加强管理、定期清扫、优化设备、设备密闭、加强车间通风、洒水降尘、种植绿化等措施</w:t>
                  </w:r>
                </w:p>
              </w:tc>
              <w:tc>
                <w:tcPr>
                  <w:tcW w:w="357" w:type="pct"/>
                  <w:tcBorders>
                    <w:right w:val="single" w:color="auto" w:sz="4" w:space="0"/>
                  </w:tcBorders>
                  <w:vAlign w:val="center"/>
                </w:tcPr>
                <w:p w14:paraId="65498A01">
                  <w:pPr>
                    <w:pStyle w:val="13"/>
                    <w:rPr>
                      <w:color w:val="auto"/>
                      <w:highlight w:val="none"/>
                    </w:rPr>
                  </w:pPr>
                  <w:r>
                    <w:rPr>
                      <w:rFonts w:hint="eastAsia"/>
                      <w:color w:val="auto"/>
                      <w:highlight w:val="none"/>
                    </w:rPr>
                    <w:t>2</w:t>
                  </w:r>
                </w:p>
              </w:tc>
            </w:tr>
            <w:tr w14:paraId="3B4E6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75" w:type="pct"/>
                  <w:gridSpan w:val="2"/>
                  <w:vAlign w:val="center"/>
                </w:tcPr>
                <w:p w14:paraId="2641817C">
                  <w:pPr>
                    <w:pStyle w:val="13"/>
                    <w:rPr>
                      <w:color w:val="auto"/>
                      <w:highlight w:val="none"/>
                    </w:rPr>
                  </w:pPr>
                  <w:r>
                    <w:rPr>
                      <w:color w:val="auto"/>
                      <w:highlight w:val="none"/>
                    </w:rPr>
                    <w:t>废水防治措施</w:t>
                  </w:r>
                </w:p>
              </w:tc>
              <w:tc>
                <w:tcPr>
                  <w:tcW w:w="730" w:type="pct"/>
                  <w:vAlign w:val="center"/>
                </w:tcPr>
                <w:p w14:paraId="3A1137E1">
                  <w:pPr>
                    <w:pStyle w:val="13"/>
                    <w:rPr>
                      <w:color w:val="auto"/>
                      <w:highlight w:val="none"/>
                    </w:rPr>
                  </w:pPr>
                  <w:r>
                    <w:rPr>
                      <w:rFonts w:hint="eastAsia"/>
                      <w:color w:val="auto"/>
                      <w:highlight w:val="none"/>
                      <w:lang w:val="en-US" w:eastAsia="zh-CN"/>
                    </w:rPr>
                    <w:t>调质废水、</w:t>
                  </w:r>
                  <w:r>
                    <w:rPr>
                      <w:rFonts w:hint="eastAsia"/>
                      <w:color w:val="auto"/>
                      <w:highlight w:val="none"/>
                    </w:rPr>
                    <w:t>生活污水</w:t>
                  </w:r>
                </w:p>
              </w:tc>
              <w:tc>
                <w:tcPr>
                  <w:tcW w:w="3237" w:type="pct"/>
                  <w:vAlign w:val="center"/>
                </w:tcPr>
                <w:p w14:paraId="419997AB">
                  <w:pPr>
                    <w:pStyle w:val="13"/>
                    <w:rPr>
                      <w:color w:val="auto"/>
                      <w:highlight w:val="none"/>
                    </w:rPr>
                  </w:pPr>
                  <w:r>
                    <w:rPr>
                      <w:rFonts w:hint="eastAsia"/>
                      <w:color w:val="auto"/>
                      <w:highlight w:val="none"/>
                    </w:rPr>
                    <w:t>项目采用雨污分流制，雨水经收集后，排入市政雨水管网；</w:t>
                  </w:r>
                  <w:r>
                    <w:rPr>
                      <w:rFonts w:hint="eastAsia"/>
                      <w:color w:val="auto"/>
                      <w:highlight w:val="none"/>
                      <w:lang w:eastAsia="zh-CN"/>
                    </w:rPr>
                    <w:t>生活污水经隔油池、化粪池处理达酉华镇污水处理站接管标准后，与调质废水一起纳管排入酉华镇污水处理站处理，达到《城镇污水处理站污染物排放标准》（GB 18918-2002）一级A标准后排入七星河</w:t>
                  </w:r>
                  <w:r>
                    <w:rPr>
                      <w:rFonts w:hint="eastAsia"/>
                      <w:color w:val="auto"/>
                      <w:highlight w:val="none"/>
                    </w:rPr>
                    <w:t>。</w:t>
                  </w:r>
                </w:p>
              </w:tc>
              <w:tc>
                <w:tcPr>
                  <w:tcW w:w="357" w:type="pct"/>
                  <w:tcBorders>
                    <w:right w:val="single" w:color="auto" w:sz="4" w:space="0"/>
                  </w:tcBorders>
                  <w:vAlign w:val="center"/>
                </w:tcPr>
                <w:p w14:paraId="3C5C484C">
                  <w:pPr>
                    <w:pStyle w:val="13"/>
                    <w:rPr>
                      <w:color w:val="auto"/>
                      <w:highlight w:val="none"/>
                    </w:rPr>
                  </w:pPr>
                  <w:r>
                    <w:rPr>
                      <w:rFonts w:hint="eastAsia"/>
                      <w:color w:val="auto"/>
                      <w:highlight w:val="none"/>
                    </w:rPr>
                    <w:t>5</w:t>
                  </w:r>
                </w:p>
              </w:tc>
            </w:tr>
            <w:tr w14:paraId="00FA5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75" w:type="pct"/>
                  <w:gridSpan w:val="2"/>
                  <w:vAlign w:val="center"/>
                </w:tcPr>
                <w:p w14:paraId="4A1AF880">
                  <w:pPr>
                    <w:pStyle w:val="13"/>
                    <w:rPr>
                      <w:color w:val="auto"/>
                      <w:highlight w:val="none"/>
                    </w:rPr>
                  </w:pPr>
                  <w:r>
                    <w:rPr>
                      <w:color w:val="auto"/>
                      <w:highlight w:val="none"/>
                    </w:rPr>
                    <w:t>噪声防治措施</w:t>
                  </w:r>
                </w:p>
              </w:tc>
              <w:tc>
                <w:tcPr>
                  <w:tcW w:w="730" w:type="pct"/>
                  <w:vAlign w:val="center"/>
                </w:tcPr>
                <w:p w14:paraId="07BC2224">
                  <w:pPr>
                    <w:pStyle w:val="13"/>
                    <w:rPr>
                      <w:color w:val="auto"/>
                      <w:highlight w:val="none"/>
                    </w:rPr>
                  </w:pPr>
                  <w:r>
                    <w:rPr>
                      <w:color w:val="auto"/>
                      <w:highlight w:val="none"/>
                    </w:rPr>
                    <w:t>产噪设备</w:t>
                  </w:r>
                </w:p>
              </w:tc>
              <w:tc>
                <w:tcPr>
                  <w:tcW w:w="3237" w:type="pct"/>
                  <w:vAlign w:val="center"/>
                </w:tcPr>
                <w:p w14:paraId="5776782C">
                  <w:pPr>
                    <w:pStyle w:val="13"/>
                    <w:rPr>
                      <w:color w:val="auto"/>
                      <w:highlight w:val="none"/>
                    </w:rPr>
                  </w:pPr>
                  <w:r>
                    <w:rPr>
                      <w:rFonts w:hint="eastAsia"/>
                      <w:color w:val="auto"/>
                      <w:highlight w:val="none"/>
                    </w:rPr>
                    <w:t>厂房和生产设备采取隔声、隔震、减震的措施。</w:t>
                  </w:r>
                </w:p>
              </w:tc>
              <w:tc>
                <w:tcPr>
                  <w:tcW w:w="357" w:type="pct"/>
                  <w:tcBorders>
                    <w:right w:val="single" w:color="auto" w:sz="4" w:space="0"/>
                  </w:tcBorders>
                  <w:vAlign w:val="center"/>
                </w:tcPr>
                <w:p w14:paraId="76ED198E">
                  <w:pPr>
                    <w:pStyle w:val="13"/>
                    <w:rPr>
                      <w:color w:val="auto"/>
                      <w:highlight w:val="none"/>
                    </w:rPr>
                  </w:pPr>
                  <w:r>
                    <w:rPr>
                      <w:rFonts w:hint="eastAsia"/>
                      <w:color w:val="auto"/>
                      <w:highlight w:val="none"/>
                    </w:rPr>
                    <w:t>3</w:t>
                  </w:r>
                </w:p>
              </w:tc>
            </w:tr>
            <w:tr w14:paraId="300B1F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405" w:type="pct"/>
                  <w:gridSpan w:val="3"/>
                  <w:vAlign w:val="center"/>
                </w:tcPr>
                <w:p w14:paraId="1F61E795">
                  <w:pPr>
                    <w:pStyle w:val="13"/>
                    <w:rPr>
                      <w:color w:val="auto"/>
                      <w:highlight w:val="none"/>
                    </w:rPr>
                  </w:pPr>
                  <w:r>
                    <w:rPr>
                      <w:rFonts w:hint="eastAsia"/>
                      <w:color w:val="auto"/>
                      <w:highlight w:val="none"/>
                    </w:rPr>
                    <w:t>固废防治措施</w:t>
                  </w:r>
                </w:p>
              </w:tc>
              <w:tc>
                <w:tcPr>
                  <w:tcW w:w="3237" w:type="pct"/>
                  <w:vAlign w:val="center"/>
                </w:tcPr>
                <w:p w14:paraId="09FE0F4F">
                  <w:pPr>
                    <w:pStyle w:val="13"/>
                    <w:rPr>
                      <w:color w:val="auto"/>
                      <w:highlight w:val="none"/>
                    </w:rPr>
                  </w:pPr>
                  <w:r>
                    <w:rPr>
                      <w:rFonts w:hint="eastAsia"/>
                      <w:color w:val="auto"/>
                      <w:highlight w:val="none"/>
                    </w:rPr>
                    <w:t>设固废库1座、危废库1座、垃圾桶若干。</w:t>
                  </w:r>
                </w:p>
              </w:tc>
              <w:tc>
                <w:tcPr>
                  <w:tcW w:w="357" w:type="pct"/>
                  <w:tcBorders>
                    <w:right w:val="single" w:color="auto" w:sz="4" w:space="0"/>
                  </w:tcBorders>
                  <w:vAlign w:val="center"/>
                </w:tcPr>
                <w:p w14:paraId="729DEFF3">
                  <w:pPr>
                    <w:pStyle w:val="13"/>
                    <w:rPr>
                      <w:color w:val="auto"/>
                      <w:highlight w:val="none"/>
                    </w:rPr>
                  </w:pPr>
                  <w:r>
                    <w:rPr>
                      <w:rFonts w:hint="eastAsia"/>
                      <w:color w:val="auto"/>
                      <w:highlight w:val="none"/>
                    </w:rPr>
                    <w:t>5</w:t>
                  </w:r>
                </w:p>
              </w:tc>
            </w:tr>
            <w:tr w14:paraId="58476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405" w:type="pct"/>
                  <w:gridSpan w:val="3"/>
                  <w:vAlign w:val="center"/>
                </w:tcPr>
                <w:p w14:paraId="35D18C8B">
                  <w:pPr>
                    <w:pStyle w:val="13"/>
                    <w:rPr>
                      <w:color w:val="auto"/>
                      <w:highlight w:val="none"/>
                    </w:rPr>
                  </w:pPr>
                  <w:r>
                    <w:rPr>
                      <w:rFonts w:hint="eastAsia"/>
                      <w:color w:val="auto"/>
                      <w:highlight w:val="none"/>
                    </w:rPr>
                    <w:t>地下水及土壤防治措施</w:t>
                  </w:r>
                </w:p>
              </w:tc>
              <w:tc>
                <w:tcPr>
                  <w:tcW w:w="3237" w:type="pct"/>
                  <w:vAlign w:val="center"/>
                </w:tcPr>
                <w:p w14:paraId="430979A0">
                  <w:pPr>
                    <w:pStyle w:val="13"/>
                    <w:rPr>
                      <w:color w:val="auto"/>
                      <w:highlight w:val="none"/>
                    </w:rPr>
                  </w:pPr>
                  <w:r>
                    <w:rPr>
                      <w:rFonts w:hint="eastAsia"/>
                      <w:color w:val="auto"/>
                      <w:highlight w:val="none"/>
                    </w:rPr>
                    <w:t>危废库设置重点防渗，原料仓库、加工车间、研发办公楼、成品仓库、固废库设置一般防渗，其他区域设置简单防渗</w:t>
                  </w:r>
                  <w:r>
                    <w:rPr>
                      <w:rFonts w:cs="Times New Roman"/>
                      <w:color w:val="auto"/>
                      <w:highlight w:val="none"/>
                    </w:rPr>
                    <w:t>。</w:t>
                  </w:r>
                </w:p>
              </w:tc>
              <w:tc>
                <w:tcPr>
                  <w:tcW w:w="357" w:type="pct"/>
                  <w:tcBorders>
                    <w:right w:val="single" w:color="auto" w:sz="4" w:space="0"/>
                  </w:tcBorders>
                  <w:vAlign w:val="center"/>
                </w:tcPr>
                <w:p w14:paraId="5D8BD3C1">
                  <w:pPr>
                    <w:pStyle w:val="13"/>
                    <w:rPr>
                      <w:color w:val="auto"/>
                      <w:highlight w:val="none"/>
                    </w:rPr>
                  </w:pPr>
                  <w:r>
                    <w:rPr>
                      <w:rFonts w:hint="eastAsia"/>
                      <w:color w:val="auto"/>
                      <w:highlight w:val="none"/>
                    </w:rPr>
                    <w:t>60</w:t>
                  </w:r>
                </w:p>
              </w:tc>
            </w:tr>
            <w:tr w14:paraId="3A27E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4642" w:type="pct"/>
                  <w:gridSpan w:val="4"/>
                  <w:tcBorders>
                    <w:left w:val="single" w:color="auto" w:sz="4" w:space="0"/>
                    <w:right w:val="single" w:color="auto" w:sz="4" w:space="0"/>
                  </w:tcBorders>
                  <w:vAlign w:val="center"/>
                </w:tcPr>
                <w:p w14:paraId="46D84210">
                  <w:pPr>
                    <w:pStyle w:val="13"/>
                    <w:rPr>
                      <w:color w:val="auto"/>
                      <w:highlight w:val="none"/>
                    </w:rPr>
                  </w:pPr>
                  <w:r>
                    <w:rPr>
                      <w:rFonts w:hint="eastAsia"/>
                      <w:color w:val="auto"/>
                      <w:highlight w:val="none"/>
                    </w:rPr>
                    <w:t>合计</w:t>
                  </w:r>
                </w:p>
              </w:tc>
              <w:tc>
                <w:tcPr>
                  <w:tcW w:w="357" w:type="pct"/>
                  <w:tcBorders>
                    <w:right w:val="single" w:color="auto" w:sz="4" w:space="0"/>
                  </w:tcBorders>
                  <w:vAlign w:val="center"/>
                </w:tcPr>
                <w:p w14:paraId="716B3D9F">
                  <w:pPr>
                    <w:pStyle w:val="13"/>
                    <w:rPr>
                      <w:color w:val="auto"/>
                      <w:highlight w:val="none"/>
                    </w:rPr>
                  </w:pPr>
                  <w:r>
                    <w:rPr>
                      <w:rFonts w:hint="eastAsia"/>
                      <w:color w:val="auto"/>
                      <w:highlight w:val="none"/>
                    </w:rPr>
                    <w:t>100</w:t>
                  </w:r>
                </w:p>
              </w:tc>
            </w:tr>
          </w:tbl>
          <w:p w14:paraId="27C20847">
            <w:pPr>
              <w:pStyle w:val="2"/>
              <w:ind w:firstLine="482"/>
              <w:rPr>
                <w:color w:val="auto"/>
                <w:highlight w:val="none"/>
              </w:rPr>
            </w:pPr>
            <w:r>
              <w:rPr>
                <w:rFonts w:hint="eastAsia"/>
                <w:color w:val="auto"/>
                <w:highlight w:val="none"/>
              </w:rPr>
              <w:t>9</w:t>
            </w:r>
            <w:r>
              <w:rPr>
                <w:color w:val="auto"/>
                <w:highlight w:val="none"/>
              </w:rPr>
              <w:t>、排污许可联动</w:t>
            </w:r>
          </w:p>
          <w:p w14:paraId="59C44E7A">
            <w:pPr>
              <w:ind w:firstLine="480"/>
              <w:rPr>
                <w:color w:val="auto"/>
                <w:highlight w:val="none"/>
              </w:rPr>
            </w:pPr>
            <w:r>
              <w:rPr>
                <w:color w:val="auto"/>
                <w:highlight w:val="none"/>
              </w:rPr>
              <w:t>根据安徽省生态环境厅于2021年1月30日发布的《安徽省生态环境厅关于统筹做好固定污染源排污许可日常监管工作的通知》（皖环发</w:t>
            </w:r>
            <w:r>
              <w:rPr>
                <w:rFonts w:hint="eastAsia"/>
                <w:color w:val="auto"/>
                <w:highlight w:val="none"/>
              </w:rPr>
              <w:t>〔</w:t>
            </w:r>
            <w:r>
              <w:rPr>
                <w:color w:val="auto"/>
                <w:highlight w:val="none"/>
              </w:rPr>
              <w:t>2021</w:t>
            </w:r>
            <w:r>
              <w:rPr>
                <w:rFonts w:hint="eastAsia"/>
                <w:color w:val="auto"/>
                <w:highlight w:val="none"/>
              </w:rPr>
              <w:t>〕</w:t>
            </w:r>
            <w:r>
              <w:rPr>
                <w:color w:val="auto"/>
                <w:highlight w:val="none"/>
              </w:rPr>
              <w:t>7号），属于现行《固定污染源排污许可分类管理名录》内重点管理和简化管理的行业，在环评文件中应明确</w:t>
            </w:r>
            <w:r>
              <w:rPr>
                <w:rFonts w:hint="eastAsia"/>
                <w:color w:val="auto"/>
                <w:highlight w:val="none"/>
              </w:rPr>
              <w:t>“</w:t>
            </w:r>
            <w:r>
              <w:rPr>
                <w:color w:val="auto"/>
                <w:highlight w:val="none"/>
              </w:rPr>
              <w:t>建设项目环境影响评价与排污许可联动内容</w:t>
            </w:r>
            <w:r>
              <w:rPr>
                <w:rFonts w:hint="eastAsia"/>
                <w:color w:val="auto"/>
                <w:highlight w:val="none"/>
              </w:rPr>
              <w:t>”</w:t>
            </w:r>
            <w:r>
              <w:rPr>
                <w:color w:val="auto"/>
                <w:highlight w:val="none"/>
              </w:rPr>
              <w:t>和《建设项目排污许可申请与填发信息表》。本项目对照《固定污染源排污许可分类管理名录》（2019年版）</w:t>
            </w:r>
            <w:r>
              <w:rPr>
                <w:rFonts w:hint="eastAsia"/>
                <w:color w:val="auto"/>
                <w:highlight w:val="none"/>
              </w:rPr>
              <w:t>中“八、农副食品加工业 13、饲料加工 132”不涉及发酵工艺，</w:t>
            </w:r>
            <w:r>
              <w:rPr>
                <w:color w:val="auto"/>
                <w:highlight w:val="none"/>
              </w:rPr>
              <w:t>属于</w:t>
            </w:r>
            <w:r>
              <w:rPr>
                <w:rFonts w:hint="eastAsia"/>
                <w:color w:val="auto"/>
                <w:highlight w:val="none"/>
              </w:rPr>
              <w:t>登记</w:t>
            </w:r>
            <w:r>
              <w:rPr>
                <w:color w:val="auto"/>
                <w:highlight w:val="none"/>
              </w:rPr>
              <w:t>管理</w:t>
            </w:r>
            <w:r>
              <w:rPr>
                <w:rFonts w:hint="eastAsia"/>
                <w:color w:val="auto"/>
                <w:highlight w:val="none"/>
              </w:rPr>
              <w:t>。</w:t>
            </w:r>
          </w:p>
          <w:p w14:paraId="67D2F91B">
            <w:pPr>
              <w:ind w:firstLine="480"/>
              <w:rPr>
                <w:color w:val="auto"/>
                <w:highlight w:val="none"/>
              </w:rPr>
            </w:pPr>
          </w:p>
          <w:p w14:paraId="23AB80F0">
            <w:pPr>
              <w:ind w:firstLine="480"/>
              <w:rPr>
                <w:color w:val="auto"/>
                <w:highlight w:val="none"/>
              </w:rPr>
            </w:pPr>
          </w:p>
          <w:p w14:paraId="6CD27444">
            <w:pPr>
              <w:ind w:firstLine="480"/>
              <w:rPr>
                <w:color w:val="auto"/>
                <w:highlight w:val="none"/>
              </w:rPr>
            </w:pPr>
          </w:p>
          <w:p w14:paraId="1C435236">
            <w:pPr>
              <w:ind w:firstLine="480"/>
              <w:rPr>
                <w:color w:val="auto"/>
                <w:highlight w:val="none"/>
              </w:rPr>
            </w:pPr>
          </w:p>
          <w:p w14:paraId="23E8E02B">
            <w:pPr>
              <w:ind w:firstLine="480"/>
              <w:rPr>
                <w:color w:val="auto"/>
                <w:highlight w:val="none"/>
              </w:rPr>
            </w:pPr>
          </w:p>
          <w:p w14:paraId="030788BB">
            <w:pPr>
              <w:ind w:firstLine="480"/>
              <w:rPr>
                <w:color w:val="auto"/>
                <w:highlight w:val="none"/>
              </w:rPr>
            </w:pPr>
          </w:p>
          <w:p w14:paraId="7493DC45">
            <w:pPr>
              <w:ind w:firstLine="480"/>
              <w:rPr>
                <w:color w:val="auto"/>
                <w:highlight w:val="none"/>
              </w:rPr>
            </w:pPr>
          </w:p>
          <w:p w14:paraId="2A1B93F3">
            <w:pPr>
              <w:ind w:firstLine="480"/>
              <w:rPr>
                <w:color w:val="auto"/>
                <w:highlight w:val="none"/>
              </w:rPr>
            </w:pPr>
          </w:p>
          <w:p w14:paraId="322915F3">
            <w:pPr>
              <w:ind w:firstLine="480"/>
              <w:rPr>
                <w:color w:val="auto"/>
                <w:highlight w:val="none"/>
              </w:rPr>
            </w:pPr>
          </w:p>
          <w:p w14:paraId="2184DE38">
            <w:pPr>
              <w:ind w:firstLine="480"/>
              <w:rPr>
                <w:color w:val="auto"/>
                <w:highlight w:val="none"/>
              </w:rPr>
            </w:pPr>
          </w:p>
          <w:p w14:paraId="59DDABEB">
            <w:pPr>
              <w:ind w:firstLine="480"/>
              <w:rPr>
                <w:color w:val="auto"/>
                <w:highlight w:val="none"/>
              </w:rPr>
            </w:pPr>
          </w:p>
          <w:p w14:paraId="55E55929">
            <w:pPr>
              <w:ind w:firstLine="480"/>
              <w:rPr>
                <w:color w:val="auto"/>
                <w:highlight w:val="none"/>
              </w:rPr>
            </w:pPr>
          </w:p>
          <w:p w14:paraId="0CF1F041">
            <w:pPr>
              <w:ind w:firstLine="480"/>
              <w:rPr>
                <w:color w:val="auto"/>
                <w:highlight w:val="none"/>
              </w:rPr>
            </w:pPr>
          </w:p>
          <w:p w14:paraId="35B17047">
            <w:pPr>
              <w:ind w:firstLine="480"/>
              <w:rPr>
                <w:color w:val="auto"/>
                <w:highlight w:val="none"/>
              </w:rPr>
            </w:pPr>
          </w:p>
          <w:p w14:paraId="14762760">
            <w:pPr>
              <w:ind w:firstLine="480"/>
              <w:rPr>
                <w:color w:val="auto"/>
                <w:highlight w:val="none"/>
              </w:rPr>
            </w:pPr>
          </w:p>
          <w:p w14:paraId="314B749B">
            <w:pPr>
              <w:ind w:firstLine="480"/>
              <w:rPr>
                <w:color w:val="auto"/>
                <w:highlight w:val="none"/>
              </w:rPr>
            </w:pPr>
          </w:p>
          <w:p w14:paraId="6A286573">
            <w:pPr>
              <w:ind w:firstLine="480"/>
              <w:rPr>
                <w:color w:val="auto"/>
                <w:highlight w:val="none"/>
              </w:rPr>
            </w:pPr>
          </w:p>
          <w:p w14:paraId="4890944B">
            <w:pPr>
              <w:ind w:firstLine="480"/>
              <w:rPr>
                <w:color w:val="auto"/>
                <w:highlight w:val="none"/>
              </w:rPr>
            </w:pPr>
          </w:p>
          <w:p w14:paraId="129E05A0">
            <w:pPr>
              <w:ind w:firstLine="480"/>
              <w:rPr>
                <w:color w:val="auto"/>
                <w:highlight w:val="none"/>
              </w:rPr>
            </w:pPr>
          </w:p>
          <w:p w14:paraId="5B89CF7E">
            <w:pPr>
              <w:ind w:firstLine="480"/>
              <w:rPr>
                <w:color w:val="auto"/>
                <w:highlight w:val="none"/>
              </w:rPr>
            </w:pPr>
          </w:p>
          <w:p w14:paraId="01EC6A78">
            <w:pPr>
              <w:ind w:firstLine="480"/>
              <w:rPr>
                <w:color w:val="auto"/>
                <w:highlight w:val="none"/>
              </w:rPr>
            </w:pPr>
          </w:p>
          <w:p w14:paraId="6E1C4D1D">
            <w:pPr>
              <w:ind w:firstLine="480"/>
              <w:rPr>
                <w:color w:val="auto"/>
                <w:highlight w:val="none"/>
              </w:rPr>
            </w:pPr>
          </w:p>
          <w:p w14:paraId="4CB6AE42">
            <w:pPr>
              <w:ind w:firstLine="480"/>
              <w:rPr>
                <w:color w:val="auto"/>
                <w:highlight w:val="none"/>
              </w:rPr>
            </w:pPr>
          </w:p>
          <w:p w14:paraId="183C6631">
            <w:pPr>
              <w:ind w:firstLine="480"/>
              <w:rPr>
                <w:color w:val="auto"/>
                <w:highlight w:val="none"/>
              </w:rPr>
            </w:pPr>
          </w:p>
          <w:p w14:paraId="51CB1C40">
            <w:pPr>
              <w:ind w:firstLine="480"/>
              <w:rPr>
                <w:color w:val="auto"/>
                <w:highlight w:val="none"/>
              </w:rPr>
            </w:pPr>
          </w:p>
          <w:p w14:paraId="5F81E533">
            <w:pPr>
              <w:ind w:firstLine="480"/>
              <w:rPr>
                <w:color w:val="auto"/>
                <w:highlight w:val="none"/>
              </w:rPr>
            </w:pPr>
          </w:p>
          <w:p w14:paraId="42496014">
            <w:pPr>
              <w:ind w:firstLine="480"/>
              <w:rPr>
                <w:color w:val="auto"/>
                <w:highlight w:val="none"/>
              </w:rPr>
            </w:pPr>
          </w:p>
        </w:tc>
      </w:tr>
    </w:tbl>
    <w:p w14:paraId="57B2A556">
      <w:pPr>
        <w:ind w:firstLine="480"/>
        <w:rPr>
          <w:color w:val="auto"/>
          <w:highlight w:val="none"/>
        </w:rPr>
        <w:sectPr>
          <w:pgSz w:w="11906" w:h="16838"/>
          <w:pgMar w:top="1134" w:right="1247" w:bottom="1247" w:left="1134" w:header="851" w:footer="850" w:gutter="0"/>
          <w:cols w:space="425" w:num="1"/>
          <w:docGrid w:type="lines" w:linePitch="312" w:charSpace="0"/>
        </w:sectPr>
      </w:pPr>
    </w:p>
    <w:p w14:paraId="7B7DC874">
      <w:pPr>
        <w:pStyle w:val="17"/>
        <w:rPr>
          <w:color w:val="auto"/>
          <w:highlight w:val="none"/>
        </w:rPr>
      </w:pPr>
      <w:r>
        <w:rPr>
          <w:color w:val="auto"/>
          <w:highlight w:val="none"/>
        </w:rPr>
        <w:t>五、环境保护措施监督检查清单</w:t>
      </w:r>
    </w:p>
    <w:tbl>
      <w:tblPr>
        <w:tblStyle w:val="9"/>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65"/>
        <w:gridCol w:w="390"/>
        <w:gridCol w:w="851"/>
        <w:gridCol w:w="1144"/>
        <w:gridCol w:w="1368"/>
        <w:gridCol w:w="2975"/>
        <w:gridCol w:w="2348"/>
      </w:tblGrid>
      <w:tr w14:paraId="367457E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1" w:type="pct"/>
            <w:tcBorders>
              <w:tl2br w:val="single" w:color="auto" w:sz="4" w:space="0"/>
            </w:tcBorders>
            <w:vAlign w:val="center"/>
          </w:tcPr>
          <w:p w14:paraId="237FFFC8">
            <w:pPr>
              <w:pStyle w:val="13"/>
              <w:rPr>
                <w:b/>
                <w:bCs/>
                <w:color w:val="auto"/>
                <w:highlight w:val="none"/>
              </w:rPr>
            </w:pPr>
            <w:r>
              <w:rPr>
                <w:b/>
                <w:bCs/>
                <w:color w:val="auto"/>
                <w:highlight w:val="none"/>
              </w:rPr>
              <w:t>内容</w:t>
            </w:r>
          </w:p>
          <w:p w14:paraId="00845608">
            <w:pPr>
              <w:pStyle w:val="13"/>
              <w:rPr>
                <w:b/>
                <w:bCs/>
                <w:color w:val="auto"/>
                <w:highlight w:val="none"/>
              </w:rPr>
            </w:pPr>
            <w:r>
              <w:rPr>
                <w:b/>
                <w:bCs/>
                <w:color w:val="auto"/>
                <w:highlight w:val="none"/>
              </w:rPr>
              <w:t>要素</w:t>
            </w:r>
          </w:p>
        </w:tc>
        <w:tc>
          <w:tcPr>
            <w:tcW w:w="1224" w:type="pct"/>
            <w:gridSpan w:val="3"/>
            <w:vAlign w:val="center"/>
          </w:tcPr>
          <w:p w14:paraId="6FE5111F">
            <w:pPr>
              <w:pStyle w:val="13"/>
              <w:rPr>
                <w:b/>
                <w:bCs/>
                <w:color w:val="auto"/>
                <w:highlight w:val="none"/>
              </w:rPr>
            </w:pPr>
            <w:r>
              <w:rPr>
                <w:b/>
                <w:bCs/>
                <w:color w:val="auto"/>
                <w:highlight w:val="none"/>
              </w:rPr>
              <w:t>排放口</w:t>
            </w:r>
            <w:r>
              <w:rPr>
                <w:rFonts w:hint="eastAsia"/>
                <w:b/>
                <w:bCs/>
                <w:color w:val="auto"/>
                <w:highlight w:val="none"/>
              </w:rPr>
              <w:t>（</w:t>
            </w:r>
            <w:r>
              <w:rPr>
                <w:b/>
                <w:bCs/>
                <w:color w:val="auto"/>
                <w:highlight w:val="none"/>
              </w:rPr>
              <w:t>编号、名称</w:t>
            </w:r>
            <w:r>
              <w:rPr>
                <w:rFonts w:hint="eastAsia"/>
                <w:b/>
                <w:bCs/>
                <w:color w:val="auto"/>
                <w:highlight w:val="none"/>
              </w:rPr>
              <w:t>）</w:t>
            </w:r>
            <w:r>
              <w:rPr>
                <w:b/>
                <w:bCs/>
                <w:color w:val="auto"/>
                <w:highlight w:val="none"/>
              </w:rPr>
              <w:t>/污染源</w:t>
            </w:r>
          </w:p>
        </w:tc>
        <w:tc>
          <w:tcPr>
            <w:tcW w:w="702" w:type="pct"/>
            <w:vAlign w:val="center"/>
          </w:tcPr>
          <w:p w14:paraId="41CED683">
            <w:pPr>
              <w:pStyle w:val="13"/>
              <w:rPr>
                <w:b/>
                <w:bCs/>
                <w:color w:val="auto"/>
                <w:highlight w:val="none"/>
              </w:rPr>
            </w:pPr>
            <w:r>
              <w:rPr>
                <w:b/>
                <w:bCs/>
                <w:color w:val="auto"/>
                <w:highlight w:val="none"/>
              </w:rPr>
              <w:t>污染物项目</w:t>
            </w:r>
          </w:p>
        </w:tc>
        <w:tc>
          <w:tcPr>
            <w:tcW w:w="1527" w:type="pct"/>
            <w:vAlign w:val="center"/>
          </w:tcPr>
          <w:p w14:paraId="37083589">
            <w:pPr>
              <w:pStyle w:val="13"/>
              <w:rPr>
                <w:b/>
                <w:bCs/>
                <w:color w:val="auto"/>
                <w:highlight w:val="none"/>
              </w:rPr>
            </w:pPr>
            <w:r>
              <w:rPr>
                <w:b/>
                <w:bCs/>
                <w:color w:val="auto"/>
                <w:highlight w:val="none"/>
              </w:rPr>
              <w:t>环境保护措施</w:t>
            </w:r>
          </w:p>
        </w:tc>
        <w:tc>
          <w:tcPr>
            <w:tcW w:w="1205" w:type="pct"/>
            <w:vAlign w:val="center"/>
          </w:tcPr>
          <w:p w14:paraId="50FA895B">
            <w:pPr>
              <w:pStyle w:val="13"/>
              <w:rPr>
                <w:b/>
                <w:bCs/>
                <w:color w:val="auto"/>
                <w:highlight w:val="none"/>
              </w:rPr>
            </w:pPr>
            <w:r>
              <w:rPr>
                <w:b/>
                <w:bCs/>
                <w:color w:val="auto"/>
                <w:highlight w:val="none"/>
              </w:rPr>
              <w:t>执行标准</w:t>
            </w:r>
          </w:p>
        </w:tc>
      </w:tr>
      <w:tr w14:paraId="026B0E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1" w:type="pct"/>
            <w:vMerge w:val="restart"/>
            <w:vAlign w:val="center"/>
          </w:tcPr>
          <w:p w14:paraId="285E0035">
            <w:pPr>
              <w:pStyle w:val="13"/>
              <w:rPr>
                <w:color w:val="auto"/>
                <w:highlight w:val="none"/>
              </w:rPr>
            </w:pPr>
            <w:r>
              <w:rPr>
                <w:rFonts w:hint="eastAsia"/>
                <w:b/>
                <w:bCs/>
                <w:color w:val="auto"/>
                <w:highlight w:val="none"/>
              </w:rPr>
              <w:t>大气环境</w:t>
            </w:r>
          </w:p>
        </w:tc>
        <w:tc>
          <w:tcPr>
            <w:tcW w:w="200" w:type="pct"/>
            <w:vMerge w:val="restart"/>
            <w:vAlign w:val="center"/>
          </w:tcPr>
          <w:p w14:paraId="393AB451">
            <w:pPr>
              <w:pStyle w:val="13"/>
              <w:rPr>
                <w:color w:val="auto"/>
                <w:highlight w:val="none"/>
              </w:rPr>
            </w:pPr>
            <w:r>
              <w:rPr>
                <w:rFonts w:hint="eastAsia"/>
                <w:color w:val="auto"/>
                <w:highlight w:val="none"/>
              </w:rPr>
              <w:t>有组织</w:t>
            </w:r>
          </w:p>
        </w:tc>
        <w:tc>
          <w:tcPr>
            <w:tcW w:w="437" w:type="pct"/>
            <w:vAlign w:val="center"/>
          </w:tcPr>
          <w:p w14:paraId="1C2450B5">
            <w:pPr>
              <w:pStyle w:val="13"/>
              <w:rPr>
                <w:color w:val="auto"/>
                <w:highlight w:val="none"/>
              </w:rPr>
            </w:pPr>
            <w:r>
              <w:rPr>
                <w:rFonts w:hint="eastAsia"/>
                <w:color w:val="auto"/>
                <w:highlight w:val="none"/>
              </w:rPr>
              <w:t>DA001</w:t>
            </w:r>
          </w:p>
        </w:tc>
        <w:tc>
          <w:tcPr>
            <w:tcW w:w="586" w:type="pct"/>
            <w:vAlign w:val="center"/>
          </w:tcPr>
          <w:p w14:paraId="3838FBF5">
            <w:pPr>
              <w:pStyle w:val="13"/>
              <w:rPr>
                <w:color w:val="auto"/>
                <w:highlight w:val="none"/>
              </w:rPr>
            </w:pPr>
            <w:r>
              <w:rPr>
                <w:rFonts w:hint="eastAsia"/>
                <w:color w:val="auto"/>
                <w:highlight w:val="none"/>
              </w:rPr>
              <w:t>G1秸秆饲料生产废气</w:t>
            </w:r>
          </w:p>
        </w:tc>
        <w:tc>
          <w:tcPr>
            <w:tcW w:w="702" w:type="pct"/>
            <w:vAlign w:val="center"/>
          </w:tcPr>
          <w:p w14:paraId="7D26B56D">
            <w:pPr>
              <w:pStyle w:val="13"/>
              <w:rPr>
                <w:color w:val="auto"/>
                <w:highlight w:val="none"/>
              </w:rPr>
            </w:pPr>
            <w:r>
              <w:rPr>
                <w:rFonts w:hint="eastAsia"/>
                <w:color w:val="auto"/>
                <w:highlight w:val="none"/>
              </w:rPr>
              <w:t>颗粒物</w:t>
            </w:r>
          </w:p>
        </w:tc>
        <w:tc>
          <w:tcPr>
            <w:tcW w:w="1527" w:type="pct"/>
            <w:vAlign w:val="center"/>
          </w:tcPr>
          <w:p w14:paraId="510B051E">
            <w:pPr>
              <w:pStyle w:val="13"/>
              <w:rPr>
                <w:color w:val="auto"/>
                <w:highlight w:val="none"/>
              </w:rPr>
            </w:pPr>
            <w:r>
              <w:rPr>
                <w:rFonts w:hint="eastAsia" w:cs="Times New Roman"/>
                <w:color w:val="auto"/>
                <w:highlight w:val="none"/>
              </w:rPr>
              <w:t>通过在清理筛、磁选机、破碎机、秸秆打包机产污处设置集气罩收集</w:t>
            </w:r>
            <w:r>
              <w:rPr>
                <w:color w:val="auto"/>
                <w:highlight w:val="none"/>
              </w:rPr>
              <w:t>秸秆饲料生产废气</w:t>
            </w:r>
            <w:r>
              <w:rPr>
                <w:rFonts w:hint="eastAsia"/>
                <w:color w:val="auto"/>
                <w:highlight w:val="none"/>
              </w:rPr>
              <w:t>并入</w:t>
            </w:r>
            <w:r>
              <w:rPr>
                <w:rFonts w:cs="Times New Roman"/>
                <w:color w:val="auto"/>
                <w:highlight w:val="none"/>
              </w:rPr>
              <w:t>一根</w:t>
            </w:r>
            <w:r>
              <w:rPr>
                <w:rFonts w:hint="eastAsia"/>
                <w:color w:val="auto"/>
                <w:highlight w:val="none"/>
              </w:rPr>
              <w:t>管道，经布袋除尘器处理后由</w:t>
            </w:r>
            <w:r>
              <w:rPr>
                <w:rFonts w:cs="Times New Roman"/>
                <w:color w:val="auto"/>
                <w:highlight w:val="none"/>
              </w:rPr>
              <w:t>15m高排气筒DA001排放。</w:t>
            </w:r>
          </w:p>
        </w:tc>
        <w:tc>
          <w:tcPr>
            <w:tcW w:w="1205" w:type="pct"/>
            <w:vMerge w:val="restart"/>
            <w:vAlign w:val="center"/>
          </w:tcPr>
          <w:p w14:paraId="20EDCBD9">
            <w:pPr>
              <w:pStyle w:val="13"/>
              <w:rPr>
                <w:color w:val="auto"/>
                <w:highlight w:val="none"/>
              </w:rPr>
            </w:pPr>
            <w:r>
              <w:rPr>
                <w:rFonts w:hint="eastAsia"/>
                <w:color w:val="auto"/>
                <w:highlight w:val="none"/>
              </w:rPr>
              <w:t>《大气污染物综合排放标准》（GB16297-1996）</w:t>
            </w:r>
          </w:p>
        </w:tc>
      </w:tr>
      <w:tr w14:paraId="08B437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1" w:type="pct"/>
            <w:vMerge w:val="continue"/>
            <w:vAlign w:val="center"/>
          </w:tcPr>
          <w:p w14:paraId="60184FA4">
            <w:pPr>
              <w:pStyle w:val="13"/>
              <w:rPr>
                <w:color w:val="auto"/>
                <w:highlight w:val="none"/>
              </w:rPr>
            </w:pPr>
          </w:p>
        </w:tc>
        <w:tc>
          <w:tcPr>
            <w:tcW w:w="200" w:type="pct"/>
            <w:vMerge w:val="continue"/>
            <w:vAlign w:val="center"/>
          </w:tcPr>
          <w:p w14:paraId="1FB42C2F">
            <w:pPr>
              <w:pStyle w:val="13"/>
              <w:rPr>
                <w:color w:val="auto"/>
                <w:highlight w:val="none"/>
              </w:rPr>
            </w:pPr>
          </w:p>
        </w:tc>
        <w:tc>
          <w:tcPr>
            <w:tcW w:w="437" w:type="pct"/>
            <w:vAlign w:val="center"/>
          </w:tcPr>
          <w:p w14:paraId="5E0FDD3E">
            <w:pPr>
              <w:pStyle w:val="13"/>
              <w:rPr>
                <w:color w:val="auto"/>
                <w:highlight w:val="none"/>
              </w:rPr>
            </w:pPr>
            <w:r>
              <w:rPr>
                <w:rFonts w:hint="eastAsia"/>
                <w:color w:val="auto"/>
                <w:highlight w:val="none"/>
              </w:rPr>
              <w:t>DA002</w:t>
            </w:r>
          </w:p>
        </w:tc>
        <w:tc>
          <w:tcPr>
            <w:tcW w:w="586" w:type="pct"/>
            <w:vAlign w:val="center"/>
          </w:tcPr>
          <w:p w14:paraId="21A76905">
            <w:pPr>
              <w:pStyle w:val="13"/>
              <w:rPr>
                <w:color w:val="auto"/>
                <w:highlight w:val="none"/>
              </w:rPr>
            </w:pPr>
            <w:r>
              <w:rPr>
                <w:rFonts w:hint="eastAsia"/>
                <w:color w:val="auto"/>
                <w:highlight w:val="none"/>
              </w:rPr>
              <w:t>G2饲料颗粒生产废气</w:t>
            </w:r>
          </w:p>
        </w:tc>
        <w:tc>
          <w:tcPr>
            <w:tcW w:w="702" w:type="pct"/>
            <w:vAlign w:val="center"/>
          </w:tcPr>
          <w:p w14:paraId="2E74A1F6">
            <w:pPr>
              <w:pStyle w:val="13"/>
              <w:rPr>
                <w:color w:val="auto"/>
                <w:highlight w:val="none"/>
              </w:rPr>
            </w:pPr>
            <w:r>
              <w:rPr>
                <w:rFonts w:hint="eastAsia"/>
                <w:color w:val="auto"/>
                <w:highlight w:val="none"/>
              </w:rPr>
              <w:t>颗粒物</w:t>
            </w:r>
          </w:p>
        </w:tc>
        <w:tc>
          <w:tcPr>
            <w:tcW w:w="1527" w:type="pct"/>
            <w:vAlign w:val="center"/>
          </w:tcPr>
          <w:p w14:paraId="4B76163C">
            <w:pPr>
              <w:pStyle w:val="13"/>
              <w:rPr>
                <w:color w:val="auto"/>
                <w:highlight w:val="none"/>
              </w:rPr>
            </w:pPr>
            <w:r>
              <w:rPr>
                <w:rFonts w:hint="eastAsia" w:cs="Times New Roman"/>
                <w:color w:val="auto"/>
                <w:highlight w:val="none"/>
              </w:rPr>
              <w:t>通过在混合机、制粒机、冷却分级筛产污处设置集气罩收集饲料颗粒生产废气，经布袋除尘器处理后由15m高排气筒DA002排放</w:t>
            </w:r>
            <w:r>
              <w:rPr>
                <w:rFonts w:cs="Times New Roman"/>
                <w:color w:val="auto"/>
                <w:highlight w:val="none"/>
              </w:rPr>
              <w:t>。</w:t>
            </w:r>
          </w:p>
        </w:tc>
        <w:tc>
          <w:tcPr>
            <w:tcW w:w="1205" w:type="pct"/>
            <w:vMerge w:val="continue"/>
            <w:vAlign w:val="center"/>
          </w:tcPr>
          <w:p w14:paraId="0C3FDAA9">
            <w:pPr>
              <w:pStyle w:val="13"/>
              <w:rPr>
                <w:color w:val="auto"/>
                <w:highlight w:val="none"/>
              </w:rPr>
            </w:pPr>
          </w:p>
        </w:tc>
      </w:tr>
      <w:tr w14:paraId="00F9AAF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1" w:type="pct"/>
            <w:vMerge w:val="continue"/>
            <w:vAlign w:val="center"/>
          </w:tcPr>
          <w:p w14:paraId="0FBD4F6A">
            <w:pPr>
              <w:pStyle w:val="13"/>
              <w:rPr>
                <w:color w:val="auto"/>
                <w:highlight w:val="none"/>
              </w:rPr>
            </w:pPr>
          </w:p>
        </w:tc>
        <w:tc>
          <w:tcPr>
            <w:tcW w:w="200" w:type="pct"/>
            <w:vMerge w:val="continue"/>
            <w:vAlign w:val="center"/>
          </w:tcPr>
          <w:p w14:paraId="24510BA6">
            <w:pPr>
              <w:pStyle w:val="13"/>
              <w:rPr>
                <w:color w:val="auto"/>
                <w:highlight w:val="none"/>
              </w:rPr>
            </w:pPr>
          </w:p>
        </w:tc>
        <w:tc>
          <w:tcPr>
            <w:tcW w:w="437" w:type="pct"/>
            <w:vAlign w:val="center"/>
          </w:tcPr>
          <w:p w14:paraId="597A8F99">
            <w:pPr>
              <w:pStyle w:val="13"/>
              <w:rPr>
                <w:color w:val="auto"/>
                <w:highlight w:val="none"/>
              </w:rPr>
            </w:pPr>
            <w:r>
              <w:rPr>
                <w:rFonts w:hint="eastAsia"/>
                <w:color w:val="auto"/>
                <w:highlight w:val="none"/>
              </w:rPr>
              <w:t>DA003</w:t>
            </w:r>
          </w:p>
        </w:tc>
        <w:tc>
          <w:tcPr>
            <w:tcW w:w="586" w:type="pct"/>
            <w:vAlign w:val="center"/>
          </w:tcPr>
          <w:p w14:paraId="6A76748A">
            <w:pPr>
              <w:pStyle w:val="13"/>
              <w:rPr>
                <w:color w:val="auto"/>
                <w:highlight w:val="none"/>
              </w:rPr>
            </w:pPr>
            <w:r>
              <w:rPr>
                <w:rFonts w:hint="eastAsia"/>
                <w:color w:val="auto"/>
                <w:highlight w:val="none"/>
              </w:rPr>
              <w:t>G3锅炉废气</w:t>
            </w:r>
          </w:p>
        </w:tc>
        <w:tc>
          <w:tcPr>
            <w:tcW w:w="702" w:type="pct"/>
            <w:vAlign w:val="center"/>
          </w:tcPr>
          <w:p w14:paraId="4D32908A">
            <w:pPr>
              <w:pStyle w:val="13"/>
              <w:rPr>
                <w:color w:val="auto"/>
                <w:highlight w:val="none"/>
              </w:rPr>
            </w:pPr>
            <w:r>
              <w:rPr>
                <w:rFonts w:hint="eastAsia"/>
                <w:color w:val="auto"/>
                <w:highlight w:val="none"/>
              </w:rPr>
              <w:t>颗粒物、二氧化硫、氮氧化物、烟气黑度</w:t>
            </w:r>
          </w:p>
        </w:tc>
        <w:tc>
          <w:tcPr>
            <w:tcW w:w="1527" w:type="pct"/>
            <w:vAlign w:val="center"/>
          </w:tcPr>
          <w:p w14:paraId="52F215FE">
            <w:pPr>
              <w:pStyle w:val="13"/>
              <w:rPr>
                <w:rFonts w:cs="Times New Roman"/>
                <w:color w:val="auto"/>
                <w:highlight w:val="none"/>
              </w:rPr>
            </w:pPr>
            <w:r>
              <w:rPr>
                <w:rFonts w:hint="eastAsia" w:cs="Times New Roman"/>
                <w:color w:val="auto"/>
                <w:highlight w:val="none"/>
              </w:rPr>
              <w:t>采用低氮燃烧的锅炉废气经布袋除尘器处理后由30m高排气筒DA003排放，</w:t>
            </w:r>
          </w:p>
        </w:tc>
        <w:tc>
          <w:tcPr>
            <w:tcW w:w="1205" w:type="pct"/>
            <w:vAlign w:val="center"/>
          </w:tcPr>
          <w:p w14:paraId="24F42E6B">
            <w:pPr>
              <w:pStyle w:val="13"/>
              <w:rPr>
                <w:color w:val="auto"/>
                <w:highlight w:val="none"/>
              </w:rPr>
            </w:pPr>
            <w:r>
              <w:rPr>
                <w:rFonts w:hint="eastAsia"/>
                <w:color w:val="auto"/>
                <w:highlight w:val="none"/>
              </w:rPr>
              <w:t>《锅炉大气污染物排放标准》（GB13271-2014）</w:t>
            </w:r>
          </w:p>
        </w:tc>
      </w:tr>
      <w:tr w14:paraId="616CCC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1" w:type="pct"/>
            <w:vMerge w:val="continue"/>
            <w:vAlign w:val="center"/>
          </w:tcPr>
          <w:p w14:paraId="1310838A">
            <w:pPr>
              <w:ind w:firstLine="482"/>
              <w:jc w:val="center"/>
              <w:rPr>
                <w:b/>
                <w:bCs/>
                <w:color w:val="auto"/>
                <w:highlight w:val="none"/>
              </w:rPr>
            </w:pPr>
          </w:p>
        </w:tc>
        <w:tc>
          <w:tcPr>
            <w:tcW w:w="200" w:type="pct"/>
            <w:vAlign w:val="center"/>
          </w:tcPr>
          <w:p w14:paraId="08A5BD5F">
            <w:pPr>
              <w:pStyle w:val="13"/>
              <w:rPr>
                <w:color w:val="auto"/>
                <w:highlight w:val="none"/>
              </w:rPr>
            </w:pPr>
            <w:r>
              <w:rPr>
                <w:rFonts w:hint="eastAsia"/>
                <w:color w:val="auto"/>
                <w:highlight w:val="none"/>
              </w:rPr>
              <w:t>无组织</w:t>
            </w:r>
          </w:p>
        </w:tc>
        <w:tc>
          <w:tcPr>
            <w:tcW w:w="1024" w:type="pct"/>
            <w:gridSpan w:val="2"/>
            <w:vAlign w:val="center"/>
          </w:tcPr>
          <w:p w14:paraId="595EAB7E">
            <w:pPr>
              <w:pStyle w:val="13"/>
              <w:rPr>
                <w:color w:val="auto"/>
                <w:highlight w:val="none"/>
              </w:rPr>
            </w:pPr>
            <w:r>
              <w:rPr>
                <w:rFonts w:hint="eastAsia"/>
                <w:color w:val="auto"/>
                <w:highlight w:val="none"/>
              </w:rPr>
              <w:t>厂界</w:t>
            </w:r>
          </w:p>
        </w:tc>
        <w:tc>
          <w:tcPr>
            <w:tcW w:w="702" w:type="pct"/>
            <w:vAlign w:val="center"/>
          </w:tcPr>
          <w:p w14:paraId="1FE5F3A4">
            <w:pPr>
              <w:pStyle w:val="13"/>
              <w:rPr>
                <w:color w:val="auto"/>
                <w:highlight w:val="none"/>
              </w:rPr>
            </w:pPr>
            <w:r>
              <w:rPr>
                <w:rFonts w:hint="eastAsia"/>
                <w:color w:val="auto"/>
                <w:highlight w:val="none"/>
              </w:rPr>
              <w:t>颗粒物、二氧化硫、氮氧化物</w:t>
            </w:r>
          </w:p>
        </w:tc>
        <w:tc>
          <w:tcPr>
            <w:tcW w:w="1527" w:type="pct"/>
            <w:vAlign w:val="center"/>
          </w:tcPr>
          <w:p w14:paraId="53C09F83">
            <w:pPr>
              <w:pStyle w:val="13"/>
              <w:rPr>
                <w:color w:val="auto"/>
                <w:highlight w:val="none"/>
              </w:rPr>
            </w:pPr>
            <w:r>
              <w:rPr>
                <w:rFonts w:hint="eastAsia"/>
                <w:color w:val="auto"/>
                <w:highlight w:val="none"/>
              </w:rPr>
              <w:t>针对无组织废气采取加强管理、定期清扫、优化设备、设备密闭、加强车间通风、洒水降尘、种植绿化等措施。</w:t>
            </w:r>
          </w:p>
        </w:tc>
        <w:tc>
          <w:tcPr>
            <w:tcW w:w="1205" w:type="pct"/>
            <w:vAlign w:val="center"/>
          </w:tcPr>
          <w:p w14:paraId="1FB442A1">
            <w:pPr>
              <w:pStyle w:val="13"/>
              <w:rPr>
                <w:color w:val="auto"/>
                <w:highlight w:val="none"/>
              </w:rPr>
            </w:pPr>
            <w:r>
              <w:rPr>
                <w:rFonts w:hint="eastAsia"/>
                <w:color w:val="auto"/>
                <w:highlight w:val="none"/>
              </w:rPr>
              <w:t>《大气污染物综合排放标准》（GB16297-1996）</w:t>
            </w:r>
          </w:p>
        </w:tc>
      </w:tr>
      <w:tr w14:paraId="536B12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1" w:type="pct"/>
            <w:vAlign w:val="center"/>
          </w:tcPr>
          <w:p w14:paraId="25E9F11F">
            <w:pPr>
              <w:pStyle w:val="13"/>
              <w:rPr>
                <w:b/>
                <w:bCs/>
                <w:color w:val="auto"/>
                <w:highlight w:val="none"/>
              </w:rPr>
            </w:pPr>
            <w:r>
              <w:rPr>
                <w:b/>
                <w:bCs/>
                <w:color w:val="auto"/>
                <w:highlight w:val="none"/>
              </w:rPr>
              <w:t>地表水环境</w:t>
            </w:r>
          </w:p>
        </w:tc>
        <w:tc>
          <w:tcPr>
            <w:tcW w:w="1224" w:type="pct"/>
            <w:gridSpan w:val="3"/>
            <w:vAlign w:val="center"/>
          </w:tcPr>
          <w:p w14:paraId="1AD3EF1B">
            <w:pPr>
              <w:pStyle w:val="13"/>
              <w:rPr>
                <w:color w:val="auto"/>
                <w:highlight w:val="none"/>
              </w:rPr>
            </w:pPr>
            <w:r>
              <w:rPr>
                <w:color w:val="auto"/>
                <w:highlight w:val="none"/>
              </w:rPr>
              <w:t>DW001</w:t>
            </w:r>
          </w:p>
        </w:tc>
        <w:tc>
          <w:tcPr>
            <w:tcW w:w="702" w:type="pct"/>
            <w:vAlign w:val="center"/>
          </w:tcPr>
          <w:p w14:paraId="4F88A52A">
            <w:pPr>
              <w:pStyle w:val="13"/>
              <w:rPr>
                <w:color w:val="auto"/>
                <w:highlight w:val="none"/>
              </w:rPr>
            </w:pPr>
            <w:r>
              <w:rPr>
                <w:rFonts w:hint="eastAsia"/>
                <w:color w:val="auto"/>
                <w:highlight w:val="none"/>
              </w:rPr>
              <w:t>pH</w:t>
            </w:r>
            <w:r>
              <w:rPr>
                <w:rFonts w:hint="eastAsia"/>
                <w:color w:val="auto"/>
                <w:highlight w:val="none"/>
                <w:lang w:eastAsia="zh-CN"/>
              </w:rPr>
              <w:t>、</w:t>
            </w:r>
            <w:r>
              <w:rPr>
                <w:rFonts w:hint="eastAsia"/>
                <w:color w:val="auto"/>
                <w:highlight w:val="none"/>
              </w:rPr>
              <w:t>色度</w:t>
            </w:r>
            <w:r>
              <w:rPr>
                <w:rFonts w:hint="eastAsia"/>
                <w:color w:val="auto"/>
                <w:highlight w:val="none"/>
                <w:lang w:eastAsia="zh-CN"/>
              </w:rPr>
              <w:t>、</w:t>
            </w:r>
            <w:r>
              <w:rPr>
                <w:rFonts w:hint="eastAsia"/>
                <w:color w:val="auto"/>
                <w:highlight w:val="none"/>
              </w:rPr>
              <w:t>SS</w:t>
            </w:r>
            <w:r>
              <w:rPr>
                <w:rFonts w:hint="eastAsia"/>
                <w:color w:val="auto"/>
                <w:highlight w:val="none"/>
                <w:lang w:eastAsia="zh-CN"/>
              </w:rPr>
              <w:t>、</w:t>
            </w:r>
            <w:r>
              <w:rPr>
                <w:rFonts w:hint="eastAsia"/>
                <w:color w:val="auto"/>
                <w:highlight w:val="none"/>
              </w:rPr>
              <w:t>BOD</w:t>
            </w:r>
            <w:r>
              <w:rPr>
                <w:rFonts w:hint="eastAsia"/>
                <w:color w:val="auto"/>
                <w:highlight w:val="none"/>
                <w:vertAlign w:val="subscript"/>
              </w:rPr>
              <w:t>5</w:t>
            </w:r>
            <w:r>
              <w:rPr>
                <w:rFonts w:hint="eastAsia"/>
                <w:color w:val="auto"/>
                <w:highlight w:val="none"/>
                <w:lang w:eastAsia="zh-CN"/>
              </w:rPr>
              <w:t>、</w:t>
            </w:r>
            <w:r>
              <w:rPr>
                <w:rFonts w:hint="eastAsia"/>
                <w:color w:val="auto"/>
                <w:highlight w:val="none"/>
              </w:rPr>
              <w:t>COD</w:t>
            </w:r>
            <w:r>
              <w:rPr>
                <w:rFonts w:hint="eastAsia"/>
                <w:color w:val="auto"/>
                <w:highlight w:val="none"/>
                <w:lang w:eastAsia="zh-CN"/>
              </w:rPr>
              <w:t>、</w:t>
            </w:r>
            <w:r>
              <w:rPr>
                <w:rFonts w:hint="eastAsia"/>
                <w:color w:val="auto"/>
                <w:highlight w:val="none"/>
              </w:rPr>
              <w:t>NH</w:t>
            </w:r>
            <w:r>
              <w:rPr>
                <w:rFonts w:hint="eastAsia"/>
                <w:color w:val="auto"/>
                <w:highlight w:val="none"/>
                <w:vertAlign w:val="subscript"/>
              </w:rPr>
              <w:t>3</w:t>
            </w:r>
            <w:r>
              <w:rPr>
                <w:rFonts w:hint="eastAsia"/>
                <w:color w:val="auto"/>
                <w:highlight w:val="none"/>
              </w:rPr>
              <w:t>-N</w:t>
            </w:r>
            <w:r>
              <w:rPr>
                <w:rFonts w:hint="eastAsia"/>
                <w:color w:val="auto"/>
                <w:highlight w:val="none"/>
                <w:lang w:eastAsia="zh-CN"/>
              </w:rPr>
              <w:t>、</w:t>
            </w:r>
            <w:r>
              <w:rPr>
                <w:rFonts w:hint="eastAsia"/>
                <w:color w:val="auto"/>
                <w:highlight w:val="none"/>
              </w:rPr>
              <w:t>TN</w:t>
            </w:r>
            <w:r>
              <w:rPr>
                <w:rFonts w:hint="eastAsia"/>
                <w:color w:val="auto"/>
                <w:highlight w:val="none"/>
                <w:lang w:eastAsia="zh-CN"/>
              </w:rPr>
              <w:t>、</w:t>
            </w:r>
            <w:r>
              <w:rPr>
                <w:rFonts w:hint="eastAsia"/>
                <w:color w:val="auto"/>
                <w:highlight w:val="none"/>
              </w:rPr>
              <w:t>TP</w:t>
            </w:r>
            <w:r>
              <w:rPr>
                <w:rFonts w:hint="eastAsia"/>
                <w:color w:val="auto"/>
                <w:highlight w:val="none"/>
                <w:lang w:eastAsia="zh-CN"/>
              </w:rPr>
              <w:t>、</w:t>
            </w:r>
            <w:r>
              <w:rPr>
                <w:rFonts w:hint="eastAsia"/>
                <w:color w:val="auto"/>
                <w:highlight w:val="none"/>
              </w:rPr>
              <w:t>动植物油</w:t>
            </w:r>
          </w:p>
        </w:tc>
        <w:tc>
          <w:tcPr>
            <w:tcW w:w="1527" w:type="pct"/>
            <w:vAlign w:val="center"/>
          </w:tcPr>
          <w:p w14:paraId="48352B9A">
            <w:pPr>
              <w:pStyle w:val="13"/>
              <w:rPr>
                <w:color w:val="auto"/>
                <w:highlight w:val="none"/>
              </w:rPr>
            </w:pPr>
            <w:r>
              <w:rPr>
                <w:rFonts w:hint="eastAsia"/>
                <w:color w:val="auto"/>
                <w:highlight w:val="none"/>
              </w:rPr>
              <w:t>生活污水经隔油池、化粪池处理达到酉华镇污水处理站接管标准后，同循环冷却水排水经市政污水管网进入酉华镇污水处理站处理，达到《城镇污水处理站污染物排放标准》（GB 18918-2002）一级A标准后排入七星河。</w:t>
            </w:r>
          </w:p>
        </w:tc>
        <w:tc>
          <w:tcPr>
            <w:tcW w:w="1205" w:type="pct"/>
            <w:vAlign w:val="center"/>
          </w:tcPr>
          <w:p w14:paraId="3AD689A3">
            <w:pPr>
              <w:pStyle w:val="13"/>
              <w:rPr>
                <w:color w:val="auto"/>
                <w:highlight w:val="none"/>
              </w:rPr>
            </w:pPr>
            <w:r>
              <w:rPr>
                <w:rFonts w:hint="eastAsia"/>
                <w:color w:val="auto"/>
                <w:highlight w:val="none"/>
              </w:rPr>
              <w:t>酉华镇污水处理站接管标准及《污水综合排放标准》（GB 8978-1996）中的三级标准。</w:t>
            </w:r>
          </w:p>
        </w:tc>
      </w:tr>
      <w:tr w14:paraId="27E962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1" w:type="pct"/>
            <w:vAlign w:val="center"/>
          </w:tcPr>
          <w:p w14:paraId="4DA31C48">
            <w:pPr>
              <w:pStyle w:val="13"/>
              <w:rPr>
                <w:b/>
                <w:bCs/>
                <w:color w:val="auto"/>
                <w:highlight w:val="none"/>
              </w:rPr>
            </w:pPr>
            <w:r>
              <w:rPr>
                <w:b/>
                <w:bCs/>
                <w:color w:val="auto"/>
                <w:highlight w:val="none"/>
              </w:rPr>
              <w:t>声环境</w:t>
            </w:r>
          </w:p>
        </w:tc>
        <w:tc>
          <w:tcPr>
            <w:tcW w:w="1224" w:type="pct"/>
            <w:gridSpan w:val="3"/>
            <w:vAlign w:val="center"/>
          </w:tcPr>
          <w:p w14:paraId="0580DB03">
            <w:pPr>
              <w:pStyle w:val="13"/>
              <w:rPr>
                <w:color w:val="auto"/>
                <w:highlight w:val="none"/>
              </w:rPr>
            </w:pPr>
            <w:r>
              <w:rPr>
                <w:color w:val="auto"/>
                <w:highlight w:val="none"/>
              </w:rPr>
              <w:t>各产噪设备</w:t>
            </w:r>
          </w:p>
        </w:tc>
        <w:tc>
          <w:tcPr>
            <w:tcW w:w="702" w:type="pct"/>
            <w:vAlign w:val="center"/>
          </w:tcPr>
          <w:p w14:paraId="3B5EC84C">
            <w:pPr>
              <w:pStyle w:val="13"/>
              <w:rPr>
                <w:color w:val="auto"/>
                <w:highlight w:val="none"/>
              </w:rPr>
            </w:pPr>
            <w:r>
              <w:rPr>
                <w:color w:val="auto"/>
                <w:highlight w:val="none"/>
              </w:rPr>
              <w:t>LAeq</w:t>
            </w:r>
          </w:p>
        </w:tc>
        <w:tc>
          <w:tcPr>
            <w:tcW w:w="1527" w:type="pct"/>
            <w:vAlign w:val="center"/>
          </w:tcPr>
          <w:p w14:paraId="3E36ED04">
            <w:pPr>
              <w:pStyle w:val="13"/>
              <w:rPr>
                <w:color w:val="auto"/>
                <w:highlight w:val="none"/>
              </w:rPr>
            </w:pPr>
            <w:r>
              <w:rPr>
                <w:color w:val="auto"/>
                <w:highlight w:val="none"/>
              </w:rPr>
              <w:t>生产设备采取厂房隔声、隔震、减震的措施；对空压机采取减震的措施。</w:t>
            </w:r>
          </w:p>
        </w:tc>
        <w:tc>
          <w:tcPr>
            <w:tcW w:w="1205" w:type="pct"/>
            <w:vAlign w:val="center"/>
          </w:tcPr>
          <w:p w14:paraId="5C2F9163">
            <w:pPr>
              <w:pStyle w:val="13"/>
              <w:rPr>
                <w:color w:val="auto"/>
                <w:highlight w:val="none"/>
              </w:rPr>
            </w:pPr>
            <w:r>
              <w:rPr>
                <w:color w:val="auto"/>
                <w:highlight w:val="none"/>
              </w:rPr>
              <w:t>《工业企业厂界环境噪声排放标准》</w:t>
            </w:r>
            <w:r>
              <w:rPr>
                <w:rFonts w:hint="eastAsia"/>
                <w:color w:val="auto"/>
                <w:highlight w:val="none"/>
              </w:rPr>
              <w:t>（</w:t>
            </w:r>
            <w:r>
              <w:rPr>
                <w:color w:val="auto"/>
                <w:highlight w:val="none"/>
              </w:rPr>
              <w:t>GB</w:t>
            </w:r>
            <w:r>
              <w:rPr>
                <w:rFonts w:hint="eastAsia"/>
                <w:color w:val="auto"/>
                <w:highlight w:val="none"/>
              </w:rPr>
              <w:t xml:space="preserve"> </w:t>
            </w:r>
            <w:r>
              <w:rPr>
                <w:color w:val="auto"/>
                <w:highlight w:val="none"/>
              </w:rPr>
              <w:t>12348-2008</w:t>
            </w:r>
            <w:r>
              <w:rPr>
                <w:rFonts w:hint="eastAsia"/>
                <w:color w:val="auto"/>
                <w:highlight w:val="none"/>
              </w:rPr>
              <w:t>）</w:t>
            </w:r>
            <w:r>
              <w:rPr>
                <w:color w:val="auto"/>
                <w:highlight w:val="none"/>
              </w:rPr>
              <w:t>中</w:t>
            </w:r>
            <w:r>
              <w:rPr>
                <w:rFonts w:hint="eastAsia"/>
                <w:color w:val="auto"/>
                <w:highlight w:val="none"/>
                <w:lang w:val="en-US" w:eastAsia="zh-CN"/>
              </w:rPr>
              <w:t>2</w:t>
            </w:r>
            <w:r>
              <w:rPr>
                <w:color w:val="auto"/>
                <w:highlight w:val="none"/>
              </w:rPr>
              <w:fldChar w:fldCharType="begin"/>
            </w:r>
            <w:r>
              <w:rPr>
                <w:color w:val="auto"/>
                <w:highlight w:val="none"/>
              </w:rPr>
              <w:instrText xml:space="preserve"> = 3 \* ROMAN </w:instrText>
            </w:r>
            <w:r>
              <w:rPr>
                <w:color w:val="auto"/>
                <w:highlight w:val="none"/>
              </w:rPr>
              <w:fldChar w:fldCharType="separate"/>
            </w:r>
            <w:r>
              <w:rPr>
                <w:color w:val="auto"/>
                <w:highlight w:val="none"/>
              </w:rPr>
              <w:fldChar w:fldCharType="end"/>
            </w:r>
            <w:r>
              <w:rPr>
                <w:color w:val="auto"/>
                <w:highlight w:val="none"/>
              </w:rPr>
              <w:t>类标准。</w:t>
            </w:r>
          </w:p>
        </w:tc>
      </w:tr>
      <w:tr w14:paraId="2ED183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1" w:type="pct"/>
            <w:vAlign w:val="center"/>
          </w:tcPr>
          <w:p w14:paraId="3F663353">
            <w:pPr>
              <w:pStyle w:val="13"/>
              <w:rPr>
                <w:b/>
                <w:bCs/>
                <w:color w:val="auto"/>
                <w:highlight w:val="none"/>
              </w:rPr>
            </w:pPr>
            <w:r>
              <w:rPr>
                <w:b/>
                <w:bCs/>
                <w:color w:val="auto"/>
                <w:highlight w:val="none"/>
              </w:rPr>
              <w:t>电磁辐射</w:t>
            </w:r>
          </w:p>
        </w:tc>
        <w:tc>
          <w:tcPr>
            <w:tcW w:w="1224" w:type="pct"/>
            <w:gridSpan w:val="3"/>
            <w:vAlign w:val="center"/>
          </w:tcPr>
          <w:p w14:paraId="4ECBDEDA">
            <w:pPr>
              <w:pStyle w:val="13"/>
              <w:rPr>
                <w:color w:val="auto"/>
                <w:highlight w:val="none"/>
              </w:rPr>
            </w:pPr>
            <w:r>
              <w:rPr>
                <w:color w:val="auto"/>
                <w:highlight w:val="none"/>
              </w:rPr>
              <w:t>/</w:t>
            </w:r>
          </w:p>
        </w:tc>
        <w:tc>
          <w:tcPr>
            <w:tcW w:w="702" w:type="pct"/>
            <w:vAlign w:val="center"/>
          </w:tcPr>
          <w:p w14:paraId="7E313A04">
            <w:pPr>
              <w:pStyle w:val="13"/>
              <w:rPr>
                <w:color w:val="auto"/>
                <w:highlight w:val="none"/>
              </w:rPr>
            </w:pPr>
            <w:r>
              <w:rPr>
                <w:color w:val="auto"/>
                <w:highlight w:val="none"/>
              </w:rPr>
              <w:t>/</w:t>
            </w:r>
          </w:p>
        </w:tc>
        <w:tc>
          <w:tcPr>
            <w:tcW w:w="1527" w:type="pct"/>
            <w:vAlign w:val="center"/>
          </w:tcPr>
          <w:p w14:paraId="418BB014">
            <w:pPr>
              <w:pStyle w:val="13"/>
              <w:rPr>
                <w:color w:val="auto"/>
                <w:highlight w:val="none"/>
              </w:rPr>
            </w:pPr>
            <w:r>
              <w:rPr>
                <w:color w:val="auto"/>
                <w:highlight w:val="none"/>
              </w:rPr>
              <w:t>/</w:t>
            </w:r>
          </w:p>
        </w:tc>
        <w:tc>
          <w:tcPr>
            <w:tcW w:w="1205" w:type="pct"/>
            <w:vAlign w:val="center"/>
          </w:tcPr>
          <w:p w14:paraId="26EEB639">
            <w:pPr>
              <w:pStyle w:val="13"/>
              <w:rPr>
                <w:color w:val="auto"/>
                <w:highlight w:val="none"/>
              </w:rPr>
            </w:pPr>
            <w:r>
              <w:rPr>
                <w:color w:val="auto"/>
                <w:highlight w:val="none"/>
              </w:rPr>
              <w:t>/</w:t>
            </w:r>
          </w:p>
        </w:tc>
      </w:tr>
      <w:tr w14:paraId="26EE32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1" w:type="pct"/>
            <w:vAlign w:val="center"/>
          </w:tcPr>
          <w:p w14:paraId="369E25A0">
            <w:pPr>
              <w:pStyle w:val="13"/>
              <w:rPr>
                <w:b/>
                <w:bCs/>
                <w:color w:val="auto"/>
                <w:highlight w:val="none"/>
              </w:rPr>
            </w:pPr>
            <w:r>
              <w:rPr>
                <w:b/>
                <w:bCs/>
                <w:color w:val="auto"/>
                <w:highlight w:val="none"/>
              </w:rPr>
              <w:t>固体废物</w:t>
            </w:r>
          </w:p>
        </w:tc>
        <w:tc>
          <w:tcPr>
            <w:tcW w:w="4658" w:type="pct"/>
            <w:gridSpan w:val="6"/>
            <w:vAlign w:val="center"/>
          </w:tcPr>
          <w:p w14:paraId="6C164E07">
            <w:pPr>
              <w:pStyle w:val="13"/>
              <w:jc w:val="both"/>
              <w:rPr>
                <w:color w:val="auto"/>
                <w:highlight w:val="none"/>
              </w:rPr>
            </w:pPr>
            <w:r>
              <w:rPr>
                <w:rFonts w:hint="eastAsia"/>
                <w:color w:val="auto"/>
                <w:highlight w:val="none"/>
              </w:rPr>
              <w:t>一般工业固废（筛分杂质、磁选杂质、废包装材料、炉渣、除尘粉尘）、危险废物（废矿物油）以及生活垃圾。</w:t>
            </w:r>
          </w:p>
          <w:p w14:paraId="2EBC59C1">
            <w:pPr>
              <w:pStyle w:val="13"/>
              <w:jc w:val="both"/>
              <w:rPr>
                <w:color w:val="auto"/>
                <w:highlight w:val="none"/>
              </w:rPr>
            </w:pPr>
            <w:r>
              <w:rPr>
                <w:color w:val="auto"/>
                <w:highlight w:val="none"/>
              </w:rPr>
              <w:t>一般工业固废</w:t>
            </w:r>
            <w:r>
              <w:rPr>
                <w:rFonts w:hint="eastAsia"/>
                <w:color w:val="auto"/>
                <w:highlight w:val="none"/>
              </w:rPr>
              <w:t>包括：除尘粉尘收集后回用于生产；筛分杂质、磁选杂质、废包装材料、炉渣</w:t>
            </w:r>
            <w:r>
              <w:rPr>
                <w:color w:val="auto"/>
                <w:highlight w:val="none"/>
              </w:rPr>
              <w:t>收集</w:t>
            </w:r>
            <w:r>
              <w:rPr>
                <w:rFonts w:hint="eastAsia"/>
                <w:color w:val="auto"/>
                <w:highlight w:val="none"/>
              </w:rPr>
              <w:t>暂存固废库，定期</w:t>
            </w:r>
            <w:r>
              <w:rPr>
                <w:color w:val="auto"/>
                <w:highlight w:val="none"/>
              </w:rPr>
              <w:t>委托有资质的单位处置</w:t>
            </w:r>
            <w:r>
              <w:rPr>
                <w:rFonts w:hint="eastAsia"/>
                <w:color w:val="auto"/>
                <w:highlight w:val="none"/>
              </w:rPr>
              <w:t>；</w:t>
            </w:r>
          </w:p>
          <w:p w14:paraId="0ACC1AA8">
            <w:pPr>
              <w:pStyle w:val="13"/>
              <w:jc w:val="both"/>
              <w:rPr>
                <w:color w:val="auto"/>
                <w:highlight w:val="none"/>
              </w:rPr>
            </w:pPr>
            <w:r>
              <w:rPr>
                <w:color w:val="auto"/>
                <w:highlight w:val="none"/>
              </w:rPr>
              <w:t>危险废物</w:t>
            </w:r>
            <w:r>
              <w:rPr>
                <w:rFonts w:hint="eastAsia"/>
                <w:color w:val="auto"/>
                <w:highlight w:val="none"/>
              </w:rPr>
              <w:t>包括：废矿物油收集</w:t>
            </w:r>
            <w:r>
              <w:rPr>
                <w:color w:val="auto"/>
                <w:highlight w:val="none"/>
              </w:rPr>
              <w:t>暂存于</w:t>
            </w:r>
            <w:r>
              <w:rPr>
                <w:rFonts w:hint="eastAsia"/>
                <w:color w:val="auto"/>
                <w:highlight w:val="none"/>
              </w:rPr>
              <w:t>危废库</w:t>
            </w:r>
            <w:r>
              <w:rPr>
                <w:color w:val="auto"/>
                <w:highlight w:val="none"/>
              </w:rPr>
              <w:t>，定期委托有</w:t>
            </w:r>
            <w:r>
              <w:rPr>
                <w:rFonts w:hint="eastAsia"/>
                <w:color w:val="auto"/>
                <w:highlight w:val="none"/>
              </w:rPr>
              <w:t>危废处置</w:t>
            </w:r>
            <w:r>
              <w:rPr>
                <w:color w:val="auto"/>
                <w:highlight w:val="none"/>
              </w:rPr>
              <w:t>资质的单位处置</w:t>
            </w:r>
            <w:r>
              <w:rPr>
                <w:rFonts w:hint="eastAsia"/>
                <w:color w:val="auto"/>
                <w:highlight w:val="none"/>
              </w:rPr>
              <w:t>；</w:t>
            </w:r>
          </w:p>
          <w:p w14:paraId="532754D4">
            <w:pPr>
              <w:pStyle w:val="13"/>
              <w:jc w:val="both"/>
              <w:rPr>
                <w:color w:val="auto"/>
                <w:highlight w:val="none"/>
              </w:rPr>
            </w:pPr>
            <w:r>
              <w:rPr>
                <w:rFonts w:hint="eastAsia"/>
                <w:color w:val="auto"/>
                <w:highlight w:val="none"/>
              </w:rPr>
              <w:t>生活垃圾委托环卫部门定期清运。</w:t>
            </w:r>
          </w:p>
        </w:tc>
      </w:tr>
      <w:tr w14:paraId="788600A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1" w:type="pct"/>
            <w:vAlign w:val="center"/>
          </w:tcPr>
          <w:p w14:paraId="1B23218F">
            <w:pPr>
              <w:pStyle w:val="13"/>
              <w:rPr>
                <w:b/>
                <w:bCs/>
                <w:color w:val="auto"/>
                <w:highlight w:val="none"/>
              </w:rPr>
            </w:pPr>
            <w:r>
              <w:rPr>
                <w:b/>
                <w:bCs/>
                <w:color w:val="auto"/>
                <w:highlight w:val="none"/>
              </w:rPr>
              <w:t>土壤及地下水污染防治措施</w:t>
            </w:r>
          </w:p>
        </w:tc>
        <w:tc>
          <w:tcPr>
            <w:tcW w:w="4658" w:type="pct"/>
            <w:gridSpan w:val="6"/>
            <w:vAlign w:val="center"/>
          </w:tcPr>
          <w:p w14:paraId="2DCB1E6D">
            <w:pPr>
              <w:pStyle w:val="13"/>
              <w:jc w:val="left"/>
              <w:rPr>
                <w:color w:val="auto"/>
                <w:highlight w:val="none"/>
              </w:rPr>
            </w:pPr>
            <w:r>
              <w:rPr>
                <w:color w:val="auto"/>
                <w:highlight w:val="none"/>
              </w:rPr>
              <w:t>落实分区防渗措施，加强管理及维护</w:t>
            </w:r>
            <w:r>
              <w:rPr>
                <w:rFonts w:hint="eastAsia" w:cs="Times New Roman"/>
                <w:color w:val="auto"/>
                <w:highlight w:val="none"/>
              </w:rPr>
              <w:t>。</w:t>
            </w:r>
          </w:p>
          <w:p w14:paraId="645B0D45">
            <w:pPr>
              <w:pStyle w:val="13"/>
              <w:jc w:val="left"/>
              <w:rPr>
                <w:color w:val="auto"/>
                <w:highlight w:val="none"/>
              </w:rPr>
            </w:pPr>
            <w:r>
              <w:rPr>
                <w:color w:val="auto"/>
                <w:highlight w:val="none"/>
              </w:rPr>
              <w:t>重点防渗区</w:t>
            </w:r>
            <w:r>
              <w:rPr>
                <w:rFonts w:hint="eastAsia"/>
                <w:color w:val="auto"/>
                <w:highlight w:val="none"/>
              </w:rPr>
              <w:t>：危废库；</w:t>
            </w:r>
          </w:p>
          <w:p w14:paraId="1418E975">
            <w:pPr>
              <w:pStyle w:val="13"/>
              <w:jc w:val="left"/>
              <w:rPr>
                <w:color w:val="auto"/>
                <w:highlight w:val="none"/>
              </w:rPr>
            </w:pPr>
            <w:r>
              <w:rPr>
                <w:rFonts w:hint="eastAsia"/>
                <w:color w:val="auto"/>
                <w:highlight w:val="none"/>
              </w:rPr>
              <w:t>一般</w:t>
            </w:r>
            <w:r>
              <w:rPr>
                <w:color w:val="auto"/>
                <w:highlight w:val="none"/>
              </w:rPr>
              <w:t>防渗区：</w:t>
            </w:r>
            <w:r>
              <w:rPr>
                <w:rFonts w:hint="eastAsia"/>
                <w:color w:val="auto"/>
                <w:highlight w:val="none"/>
              </w:rPr>
              <w:t>原料仓库、加工车间、研发办公楼、成品仓库、固废库；</w:t>
            </w:r>
          </w:p>
          <w:p w14:paraId="1AC0FBBB">
            <w:pPr>
              <w:pStyle w:val="13"/>
              <w:jc w:val="left"/>
              <w:rPr>
                <w:color w:val="auto"/>
                <w:highlight w:val="none"/>
              </w:rPr>
            </w:pPr>
            <w:r>
              <w:rPr>
                <w:color w:val="auto"/>
                <w:highlight w:val="none"/>
              </w:rPr>
              <w:t>简单</w:t>
            </w:r>
            <w:r>
              <w:rPr>
                <w:rFonts w:hint="eastAsia"/>
                <w:color w:val="auto"/>
                <w:highlight w:val="none"/>
              </w:rPr>
              <w:t>防渗区：其他区域。</w:t>
            </w:r>
          </w:p>
        </w:tc>
      </w:tr>
      <w:tr w14:paraId="75830F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1" w:type="pct"/>
            <w:vAlign w:val="center"/>
          </w:tcPr>
          <w:p w14:paraId="47D52BEA">
            <w:pPr>
              <w:pStyle w:val="13"/>
              <w:rPr>
                <w:b/>
                <w:bCs/>
                <w:color w:val="auto"/>
                <w:highlight w:val="none"/>
              </w:rPr>
            </w:pPr>
            <w:r>
              <w:rPr>
                <w:b/>
                <w:bCs/>
                <w:color w:val="auto"/>
                <w:highlight w:val="none"/>
              </w:rPr>
              <w:t>生态保护措施</w:t>
            </w:r>
          </w:p>
        </w:tc>
        <w:tc>
          <w:tcPr>
            <w:tcW w:w="4658" w:type="pct"/>
            <w:gridSpan w:val="6"/>
            <w:vAlign w:val="center"/>
          </w:tcPr>
          <w:p w14:paraId="5802910A">
            <w:pPr>
              <w:pStyle w:val="13"/>
              <w:jc w:val="left"/>
              <w:rPr>
                <w:color w:val="auto"/>
                <w:highlight w:val="none"/>
              </w:rPr>
            </w:pPr>
            <w:r>
              <w:rPr>
                <w:color w:val="auto"/>
                <w:highlight w:val="none"/>
              </w:rPr>
              <w:t>项目</w:t>
            </w:r>
            <w:r>
              <w:rPr>
                <w:rFonts w:hint="eastAsia"/>
                <w:color w:val="auto"/>
                <w:highlight w:val="none"/>
              </w:rPr>
              <w:t>地处安徽省青阳县荣华炉料有限公司现有闲置用地内</w:t>
            </w:r>
            <w:r>
              <w:rPr>
                <w:color w:val="auto"/>
                <w:highlight w:val="none"/>
              </w:rPr>
              <w:t>。项目周边处于人类活动频繁区，无原始植被生长和珍贵野生动物活动，区域生态系统敏感程度较低，项目用地范围内不涉及生态环境保护目标，不需开展生态影响评价。</w:t>
            </w:r>
          </w:p>
        </w:tc>
      </w:tr>
      <w:tr w14:paraId="34B403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1" w:type="pct"/>
            <w:vAlign w:val="center"/>
          </w:tcPr>
          <w:p w14:paraId="3FE6B2C2">
            <w:pPr>
              <w:pStyle w:val="13"/>
              <w:rPr>
                <w:b/>
                <w:bCs/>
                <w:color w:val="auto"/>
                <w:highlight w:val="none"/>
              </w:rPr>
            </w:pPr>
            <w:r>
              <w:rPr>
                <w:b/>
                <w:bCs/>
                <w:color w:val="auto"/>
                <w:highlight w:val="none"/>
              </w:rPr>
              <w:t>环境风险防范措施</w:t>
            </w:r>
          </w:p>
        </w:tc>
        <w:tc>
          <w:tcPr>
            <w:tcW w:w="4658" w:type="pct"/>
            <w:gridSpan w:val="6"/>
            <w:vAlign w:val="center"/>
          </w:tcPr>
          <w:p w14:paraId="10648862">
            <w:pPr>
              <w:pStyle w:val="13"/>
              <w:jc w:val="left"/>
              <w:rPr>
                <w:color w:val="auto"/>
                <w:highlight w:val="none"/>
              </w:rPr>
            </w:pPr>
            <w:r>
              <w:rPr>
                <w:color w:val="auto"/>
                <w:highlight w:val="none"/>
              </w:rPr>
              <w:t>①加强职工的环保教育，提高安全防范风险的意识，安排专人负责全厂的安全管理，为职工提供安全卫生的劳保用具。</w:t>
            </w:r>
          </w:p>
          <w:p w14:paraId="7BD0CB26">
            <w:pPr>
              <w:pStyle w:val="13"/>
              <w:jc w:val="left"/>
              <w:rPr>
                <w:color w:val="auto"/>
                <w:highlight w:val="none"/>
              </w:rPr>
            </w:pPr>
            <w:r>
              <w:rPr>
                <w:color w:val="auto"/>
                <w:highlight w:val="none"/>
              </w:rPr>
              <w:t>②</w:t>
            </w:r>
            <w:r>
              <w:rPr>
                <w:rFonts w:hint="eastAsia"/>
                <w:color w:val="auto"/>
                <w:highlight w:val="none"/>
              </w:rPr>
              <w:t>危废库</w:t>
            </w:r>
            <w:r>
              <w:rPr>
                <w:color w:val="auto"/>
                <w:highlight w:val="none"/>
              </w:rPr>
              <w:t>设置重点防渗</w:t>
            </w:r>
            <w:r>
              <w:rPr>
                <w:rFonts w:hint="eastAsia"/>
                <w:color w:val="auto"/>
                <w:highlight w:val="none"/>
              </w:rPr>
              <w:t>，原料仓库、加工车间、研发办公楼、成品仓库、固废库设置一般防渗，其他区域设置简单防渗</w:t>
            </w:r>
            <w:r>
              <w:rPr>
                <w:color w:val="auto"/>
                <w:highlight w:val="none"/>
              </w:rPr>
              <w:t>。危险废物妥善收集，临时堆存时间不得过长，堆存量不超过规定要求，以防造成渗漏等二次污染或安全事故。</w:t>
            </w:r>
          </w:p>
          <w:p w14:paraId="140E6FD0">
            <w:pPr>
              <w:pStyle w:val="13"/>
              <w:jc w:val="left"/>
              <w:rPr>
                <w:color w:val="auto"/>
                <w:highlight w:val="none"/>
              </w:rPr>
            </w:pPr>
            <w:r>
              <w:rPr>
                <w:color w:val="auto"/>
                <w:highlight w:val="none"/>
              </w:rPr>
              <w:t>③原料贮存的场所必须符合防火要求，远离火种，应与易燃或可燃物分开存放</w:t>
            </w:r>
            <w:r>
              <w:rPr>
                <w:rFonts w:hint="eastAsia"/>
                <w:color w:val="auto"/>
                <w:highlight w:val="none"/>
              </w:rPr>
              <w:t>；</w:t>
            </w:r>
            <w:r>
              <w:rPr>
                <w:color w:val="auto"/>
                <w:highlight w:val="none"/>
              </w:rPr>
              <w:t>出入库必须检查登记，控制好贮存场所的温度和湿度，进出仓库时严禁携带火种、禁止在仓库内吸烟、玩火。</w:t>
            </w:r>
          </w:p>
          <w:p w14:paraId="08E42D8C">
            <w:pPr>
              <w:pStyle w:val="13"/>
              <w:jc w:val="left"/>
              <w:rPr>
                <w:color w:val="auto"/>
                <w:highlight w:val="none"/>
              </w:rPr>
            </w:pPr>
            <w:r>
              <w:rPr>
                <w:color w:val="auto"/>
                <w:highlight w:val="none"/>
              </w:rPr>
              <w:t>④编制环境风险应急预案并备案。</w:t>
            </w:r>
          </w:p>
        </w:tc>
      </w:tr>
      <w:tr w14:paraId="3BDFC5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1" w:type="pct"/>
            <w:vAlign w:val="center"/>
          </w:tcPr>
          <w:p w14:paraId="78E66748">
            <w:pPr>
              <w:pStyle w:val="13"/>
              <w:rPr>
                <w:b/>
                <w:bCs/>
                <w:color w:val="auto"/>
                <w:highlight w:val="none"/>
              </w:rPr>
            </w:pPr>
            <w:r>
              <w:rPr>
                <w:b/>
                <w:bCs/>
                <w:color w:val="auto"/>
                <w:highlight w:val="none"/>
              </w:rPr>
              <w:t>其他环境管理要求</w:t>
            </w:r>
          </w:p>
        </w:tc>
        <w:tc>
          <w:tcPr>
            <w:tcW w:w="4658" w:type="pct"/>
            <w:gridSpan w:val="6"/>
            <w:vAlign w:val="center"/>
          </w:tcPr>
          <w:p w14:paraId="3A1539A1">
            <w:pPr>
              <w:pStyle w:val="13"/>
              <w:jc w:val="left"/>
              <w:rPr>
                <w:color w:val="auto"/>
                <w:highlight w:val="none"/>
              </w:rPr>
            </w:pPr>
            <w:r>
              <w:rPr>
                <w:rFonts w:hint="eastAsia"/>
                <w:color w:val="auto"/>
                <w:highlight w:val="none"/>
              </w:rPr>
              <w:t>排污口规范化设置</w:t>
            </w:r>
          </w:p>
          <w:p w14:paraId="5B50B4B9">
            <w:pPr>
              <w:pStyle w:val="13"/>
              <w:jc w:val="left"/>
              <w:rPr>
                <w:color w:val="auto"/>
                <w:highlight w:val="none"/>
              </w:rPr>
            </w:pPr>
            <w:r>
              <w:rPr>
                <w:color w:val="auto"/>
                <w:highlight w:val="none"/>
              </w:rPr>
              <w:t>根据国家环保总局《关于开展排污口规范化整治试点工作的意见》、《关于加快排污口规范化整治试点工作的通知》和《安徽省污染源排放口规范化</w:t>
            </w:r>
            <w:r>
              <w:rPr>
                <w:rFonts w:hint="eastAsia"/>
                <w:color w:val="auto"/>
                <w:highlight w:val="none"/>
              </w:rPr>
              <w:t>整治管理办法》的精神，企业所有排放口（包括水、气、声、渣）必须按照“便于采集样品、便于计量监测、便于日常现场监督检查”的原则和规范化要求，排污口要立标管理，设立国家标准规定的标志牌，根据排污口污染物的排放特点，设置提示性或警告性环境保护图形标志牌，一般</w:t>
            </w:r>
            <w:r>
              <w:rPr>
                <w:color w:val="auto"/>
                <w:highlight w:val="none"/>
              </w:rPr>
              <w:t>污染源设置提示性标志牌，毒性污染物设置警告性环境保护图形标志牌；绘制企业排污口分布图，对治理设施安装运行监控装置、排污口的规范化要符合有关要求。</w:t>
            </w:r>
          </w:p>
          <w:p w14:paraId="4231F1E0">
            <w:pPr>
              <w:pStyle w:val="13"/>
              <w:jc w:val="left"/>
              <w:rPr>
                <w:color w:val="auto"/>
                <w:highlight w:val="none"/>
              </w:rPr>
            </w:pPr>
            <w:r>
              <w:rPr>
                <w:color w:val="auto"/>
                <w:highlight w:val="none"/>
              </w:rPr>
              <w:t>（1）合理设置排污口位置，排污口应按规范设计，并按《污染源监测技术规范》设置采样点；</w:t>
            </w:r>
            <w:r>
              <w:rPr>
                <w:rFonts w:hint="eastAsia"/>
                <w:color w:val="auto"/>
                <w:highlight w:val="none"/>
              </w:rPr>
              <w:t>全厂</w:t>
            </w:r>
            <w:r>
              <w:rPr>
                <w:color w:val="auto"/>
                <w:highlight w:val="none"/>
              </w:rPr>
              <w:t>共设置</w:t>
            </w:r>
            <w:r>
              <w:rPr>
                <w:rFonts w:hint="eastAsia"/>
                <w:color w:val="auto"/>
                <w:highlight w:val="none"/>
              </w:rPr>
              <w:t>3根排气筒（DA001-DA003）。</w:t>
            </w:r>
          </w:p>
          <w:p w14:paraId="111901F5">
            <w:pPr>
              <w:pStyle w:val="13"/>
              <w:jc w:val="left"/>
              <w:rPr>
                <w:color w:val="auto"/>
                <w:highlight w:val="none"/>
              </w:rPr>
            </w:pPr>
            <w:r>
              <w:rPr>
                <w:color w:val="auto"/>
                <w:highlight w:val="none"/>
              </w:rPr>
              <w:t>（2）按照GB</w:t>
            </w:r>
            <w:r>
              <w:rPr>
                <w:rFonts w:hint="eastAsia"/>
                <w:color w:val="auto"/>
                <w:highlight w:val="none"/>
              </w:rPr>
              <w:t xml:space="preserve"> </w:t>
            </w:r>
            <w:r>
              <w:rPr>
                <w:color w:val="auto"/>
                <w:highlight w:val="none"/>
              </w:rPr>
              <w:t>15562.1-1995及GB</w:t>
            </w:r>
            <w:r>
              <w:rPr>
                <w:rFonts w:hint="eastAsia"/>
                <w:color w:val="auto"/>
                <w:highlight w:val="none"/>
              </w:rPr>
              <w:t xml:space="preserve"> </w:t>
            </w:r>
            <w:r>
              <w:rPr>
                <w:color w:val="auto"/>
                <w:highlight w:val="none"/>
              </w:rPr>
              <w:t>15562.2-1995《环境保护图形标志》的规定，规范化设置废气排气筒、噪声排放</w:t>
            </w:r>
            <w:r>
              <w:rPr>
                <w:rFonts w:hint="eastAsia"/>
                <w:color w:val="auto"/>
                <w:highlight w:val="none"/>
              </w:rPr>
              <w:t>源</w:t>
            </w:r>
            <w:r>
              <w:rPr>
                <w:color w:val="auto"/>
                <w:highlight w:val="none"/>
              </w:rPr>
              <w:t>、</w:t>
            </w:r>
            <w:r>
              <w:rPr>
                <w:rFonts w:hint="eastAsia"/>
                <w:color w:val="auto"/>
                <w:highlight w:val="none"/>
              </w:rPr>
              <w:t>固废库</w:t>
            </w:r>
            <w:r>
              <w:rPr>
                <w:color w:val="auto"/>
                <w:highlight w:val="none"/>
              </w:rPr>
              <w:t>、</w:t>
            </w:r>
            <w:r>
              <w:rPr>
                <w:rFonts w:hint="eastAsia"/>
                <w:color w:val="auto"/>
                <w:highlight w:val="none"/>
              </w:rPr>
              <w:t>危废库</w:t>
            </w:r>
            <w:r>
              <w:rPr>
                <w:color w:val="auto"/>
                <w:highlight w:val="none"/>
              </w:rPr>
              <w:t>等。</w:t>
            </w:r>
          </w:p>
          <w:p w14:paraId="076CD6D8">
            <w:pPr>
              <w:pStyle w:val="13"/>
              <w:jc w:val="left"/>
              <w:rPr>
                <w:color w:val="auto"/>
                <w:highlight w:val="none"/>
              </w:rPr>
            </w:pPr>
            <w:r>
              <w:rPr>
                <w:color w:val="auto"/>
                <w:highlight w:val="none"/>
              </w:rPr>
              <w:t>对企业车间废气处理装置的排口分别设置平面固定式提示标志牌或树立式固定式提示标志牌，平面固定式标志牌为0.48m×0.3m的长方形冷轧钢板，树立式提示标志牌为0.42m×0.42m的正方形冷轧钢板，提示牌的背景和立柱为绿色，图案、边框、支架和</w:t>
            </w:r>
            <w:r>
              <w:rPr>
                <w:rFonts w:hint="eastAsia"/>
                <w:color w:val="auto"/>
                <w:highlight w:val="none"/>
              </w:rPr>
              <w:t>辅助</w:t>
            </w:r>
            <w:r>
              <w:rPr>
                <w:color w:val="auto"/>
                <w:highlight w:val="none"/>
              </w:rPr>
              <w:t>标志的文字为白色，文字字型为黑体，标志牌辅助标志内容包括排污单位名称、标志牌名称、排污口编号和主要污染物名称，并交付当地环保部门注明</w:t>
            </w:r>
            <w:r>
              <w:rPr>
                <w:rFonts w:hint="eastAsia"/>
                <w:color w:val="auto"/>
                <w:highlight w:val="none"/>
              </w:rPr>
              <w:t>。</w:t>
            </w:r>
          </w:p>
          <w:p w14:paraId="757AD0D7">
            <w:pPr>
              <w:pStyle w:val="14"/>
              <w:spacing w:before="156"/>
              <w:rPr>
                <w:color w:val="auto"/>
                <w:highlight w:val="none"/>
              </w:rPr>
            </w:pPr>
            <w:r>
              <w:rPr>
                <w:color w:val="auto"/>
                <w:highlight w:val="none"/>
              </w:rPr>
              <w:t>表</w:t>
            </w:r>
            <w:r>
              <w:rPr>
                <w:rFonts w:hint="eastAsia"/>
                <w:color w:val="auto"/>
                <w:highlight w:val="none"/>
              </w:rPr>
              <w:t xml:space="preserve">5-1  </w:t>
            </w:r>
            <w:r>
              <w:rPr>
                <w:color w:val="auto"/>
                <w:highlight w:val="none"/>
              </w:rPr>
              <w:t>环保图形标志</w:t>
            </w:r>
          </w:p>
          <w:tbl>
            <w:tblPr>
              <w:tblStyle w:val="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2153"/>
              <w:gridCol w:w="2774"/>
              <w:gridCol w:w="1675"/>
              <w:gridCol w:w="1525"/>
            </w:tblGrid>
            <w:tr w14:paraId="20BD8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07" w:type="pct"/>
                  <w:vAlign w:val="center"/>
                </w:tcPr>
                <w:p w14:paraId="03AAC70A">
                  <w:pPr>
                    <w:pStyle w:val="13"/>
                    <w:rPr>
                      <w:b/>
                      <w:bCs/>
                      <w:color w:val="auto"/>
                      <w:highlight w:val="none"/>
                    </w:rPr>
                  </w:pPr>
                  <w:r>
                    <w:rPr>
                      <w:b/>
                      <w:bCs/>
                      <w:color w:val="auto"/>
                      <w:highlight w:val="none"/>
                    </w:rPr>
                    <w:t>序号</w:t>
                  </w:r>
                </w:p>
              </w:tc>
              <w:tc>
                <w:tcPr>
                  <w:tcW w:w="1216" w:type="pct"/>
                  <w:vAlign w:val="center"/>
                </w:tcPr>
                <w:p w14:paraId="49A272B8">
                  <w:pPr>
                    <w:pStyle w:val="13"/>
                    <w:rPr>
                      <w:b/>
                      <w:bCs/>
                      <w:color w:val="auto"/>
                      <w:highlight w:val="none"/>
                    </w:rPr>
                  </w:pPr>
                  <w:r>
                    <w:rPr>
                      <w:b/>
                      <w:bCs/>
                      <w:color w:val="auto"/>
                      <w:highlight w:val="none"/>
                    </w:rPr>
                    <w:t>提示性图形符号</w:t>
                  </w:r>
                </w:p>
              </w:tc>
              <w:tc>
                <w:tcPr>
                  <w:tcW w:w="1567" w:type="pct"/>
                  <w:vAlign w:val="center"/>
                </w:tcPr>
                <w:p w14:paraId="7817DD80">
                  <w:pPr>
                    <w:pStyle w:val="13"/>
                    <w:rPr>
                      <w:b/>
                      <w:bCs/>
                      <w:color w:val="auto"/>
                      <w:highlight w:val="none"/>
                    </w:rPr>
                  </w:pPr>
                  <w:r>
                    <w:rPr>
                      <w:b/>
                      <w:bCs/>
                      <w:color w:val="auto"/>
                      <w:highlight w:val="none"/>
                    </w:rPr>
                    <w:t>警告图形符号</w:t>
                  </w:r>
                </w:p>
              </w:tc>
              <w:tc>
                <w:tcPr>
                  <w:tcW w:w="946" w:type="pct"/>
                  <w:vAlign w:val="center"/>
                </w:tcPr>
                <w:p w14:paraId="46995D7A">
                  <w:pPr>
                    <w:pStyle w:val="13"/>
                    <w:rPr>
                      <w:b/>
                      <w:bCs/>
                      <w:color w:val="auto"/>
                      <w:highlight w:val="none"/>
                    </w:rPr>
                  </w:pPr>
                  <w:r>
                    <w:rPr>
                      <w:b/>
                      <w:bCs/>
                      <w:color w:val="auto"/>
                      <w:highlight w:val="none"/>
                    </w:rPr>
                    <w:t>排放口及贮存、处置场</w:t>
                  </w:r>
                </w:p>
              </w:tc>
              <w:tc>
                <w:tcPr>
                  <w:tcW w:w="861" w:type="pct"/>
                  <w:vAlign w:val="center"/>
                </w:tcPr>
                <w:p w14:paraId="04A3F368">
                  <w:pPr>
                    <w:pStyle w:val="13"/>
                    <w:rPr>
                      <w:b/>
                      <w:bCs/>
                      <w:color w:val="auto"/>
                      <w:highlight w:val="none"/>
                    </w:rPr>
                  </w:pPr>
                  <w:r>
                    <w:rPr>
                      <w:b/>
                      <w:bCs/>
                      <w:color w:val="auto"/>
                      <w:highlight w:val="none"/>
                    </w:rPr>
                    <w:t>本项目</w:t>
                  </w:r>
                </w:p>
              </w:tc>
            </w:tr>
            <w:tr w14:paraId="37306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jc w:val="center"/>
              </w:trPr>
              <w:tc>
                <w:tcPr>
                  <w:tcW w:w="407" w:type="pct"/>
                  <w:vAlign w:val="center"/>
                </w:tcPr>
                <w:p w14:paraId="21FDF50A">
                  <w:pPr>
                    <w:pStyle w:val="13"/>
                    <w:rPr>
                      <w:color w:val="auto"/>
                      <w:highlight w:val="none"/>
                    </w:rPr>
                  </w:pPr>
                  <w:r>
                    <w:rPr>
                      <w:color w:val="auto"/>
                      <w:highlight w:val="none"/>
                    </w:rPr>
                    <w:t>1</w:t>
                  </w:r>
                </w:p>
              </w:tc>
              <w:tc>
                <w:tcPr>
                  <w:tcW w:w="1216" w:type="pct"/>
                  <w:vAlign w:val="center"/>
                </w:tcPr>
                <w:p w14:paraId="26AE51B5">
                  <w:pPr>
                    <w:pStyle w:val="13"/>
                    <w:rPr>
                      <w:color w:val="auto"/>
                      <w:highlight w:val="none"/>
                    </w:rPr>
                  </w:pPr>
                  <w:r>
                    <w:rPr>
                      <w:color w:val="auto"/>
                      <w:highlight w:val="none"/>
                    </w:rPr>
                    <w:drawing>
                      <wp:inline distT="0" distB="0" distL="114300" distR="114300">
                        <wp:extent cx="1003300" cy="1003300"/>
                        <wp:effectExtent l="0" t="0" r="6350" b="6350"/>
                        <wp:docPr id="2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
                                <pic:cNvPicPr>
                                  <a:picLocks noChangeAspect="1"/>
                                </pic:cNvPicPr>
                              </pic:nvPicPr>
                              <pic:blipFill>
                                <a:blip r:embed="rId40"/>
                                <a:stretch>
                                  <a:fillRect/>
                                </a:stretch>
                              </pic:blipFill>
                              <pic:spPr>
                                <a:xfrm>
                                  <a:off x="0" y="0"/>
                                  <a:ext cx="1003300" cy="1003300"/>
                                </a:xfrm>
                                <a:prstGeom prst="rect">
                                  <a:avLst/>
                                </a:prstGeom>
                                <a:noFill/>
                                <a:ln>
                                  <a:noFill/>
                                </a:ln>
                              </pic:spPr>
                            </pic:pic>
                          </a:graphicData>
                        </a:graphic>
                      </wp:inline>
                    </w:drawing>
                  </w:r>
                </w:p>
              </w:tc>
              <w:tc>
                <w:tcPr>
                  <w:tcW w:w="1567" w:type="pct"/>
                  <w:vAlign w:val="center"/>
                </w:tcPr>
                <w:p w14:paraId="088154C4">
                  <w:pPr>
                    <w:pStyle w:val="13"/>
                    <w:rPr>
                      <w:color w:val="auto"/>
                      <w:highlight w:val="none"/>
                    </w:rPr>
                  </w:pPr>
                  <w:r>
                    <w:rPr>
                      <w:color w:val="auto"/>
                      <w:highlight w:val="none"/>
                    </w:rPr>
                    <w:drawing>
                      <wp:inline distT="0" distB="0" distL="114300" distR="114300">
                        <wp:extent cx="1097280" cy="968375"/>
                        <wp:effectExtent l="0" t="0" r="7620" b="3175"/>
                        <wp:docPr id="2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
                                <pic:cNvPicPr>
                                  <a:picLocks noChangeAspect="1"/>
                                </pic:cNvPicPr>
                              </pic:nvPicPr>
                              <pic:blipFill>
                                <a:blip r:embed="rId41"/>
                                <a:stretch>
                                  <a:fillRect/>
                                </a:stretch>
                              </pic:blipFill>
                              <pic:spPr>
                                <a:xfrm>
                                  <a:off x="0" y="0"/>
                                  <a:ext cx="1097280" cy="968375"/>
                                </a:xfrm>
                                <a:prstGeom prst="rect">
                                  <a:avLst/>
                                </a:prstGeom>
                                <a:noFill/>
                                <a:ln>
                                  <a:noFill/>
                                </a:ln>
                              </pic:spPr>
                            </pic:pic>
                          </a:graphicData>
                        </a:graphic>
                      </wp:inline>
                    </w:drawing>
                  </w:r>
                </w:p>
              </w:tc>
              <w:tc>
                <w:tcPr>
                  <w:tcW w:w="946" w:type="pct"/>
                  <w:vAlign w:val="center"/>
                </w:tcPr>
                <w:p w14:paraId="649D85AB">
                  <w:pPr>
                    <w:pStyle w:val="13"/>
                    <w:rPr>
                      <w:color w:val="auto"/>
                      <w:highlight w:val="none"/>
                    </w:rPr>
                  </w:pPr>
                  <w:r>
                    <w:rPr>
                      <w:color w:val="auto"/>
                      <w:highlight w:val="none"/>
                    </w:rPr>
                    <w:t>废水排放口</w:t>
                  </w:r>
                </w:p>
              </w:tc>
              <w:tc>
                <w:tcPr>
                  <w:tcW w:w="861" w:type="pct"/>
                  <w:vAlign w:val="center"/>
                </w:tcPr>
                <w:p w14:paraId="0A1DE03E">
                  <w:pPr>
                    <w:pStyle w:val="13"/>
                    <w:rPr>
                      <w:color w:val="auto"/>
                      <w:highlight w:val="none"/>
                    </w:rPr>
                  </w:pPr>
                  <w:r>
                    <w:rPr>
                      <w:rFonts w:hint="eastAsia"/>
                      <w:color w:val="auto"/>
                      <w:highlight w:val="none"/>
                    </w:rPr>
                    <w:t>废水</w:t>
                  </w:r>
                  <w:r>
                    <w:rPr>
                      <w:color w:val="auto"/>
                      <w:highlight w:val="none"/>
                    </w:rPr>
                    <w:t>总排放口</w:t>
                  </w:r>
                </w:p>
              </w:tc>
            </w:tr>
            <w:tr w14:paraId="06679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jc w:val="center"/>
              </w:trPr>
              <w:tc>
                <w:tcPr>
                  <w:tcW w:w="407" w:type="pct"/>
                  <w:vAlign w:val="center"/>
                </w:tcPr>
                <w:p w14:paraId="57B7FEF8">
                  <w:pPr>
                    <w:pStyle w:val="13"/>
                    <w:rPr>
                      <w:color w:val="auto"/>
                      <w:highlight w:val="none"/>
                    </w:rPr>
                  </w:pPr>
                  <w:r>
                    <w:rPr>
                      <w:color w:val="auto"/>
                      <w:highlight w:val="none"/>
                    </w:rPr>
                    <w:t>2</w:t>
                  </w:r>
                </w:p>
              </w:tc>
              <w:tc>
                <w:tcPr>
                  <w:tcW w:w="1216" w:type="pct"/>
                  <w:vAlign w:val="center"/>
                </w:tcPr>
                <w:p w14:paraId="48BD5BFE">
                  <w:pPr>
                    <w:pStyle w:val="13"/>
                    <w:rPr>
                      <w:color w:val="auto"/>
                      <w:highlight w:val="none"/>
                    </w:rPr>
                  </w:pPr>
                  <w:r>
                    <w:rPr>
                      <w:color w:val="auto"/>
                      <w:highlight w:val="none"/>
                    </w:rPr>
                    <w:drawing>
                      <wp:inline distT="0" distB="0" distL="114300" distR="114300">
                        <wp:extent cx="993775" cy="993775"/>
                        <wp:effectExtent l="0" t="0" r="15875" b="15875"/>
                        <wp:docPr id="2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5"/>
                                <pic:cNvPicPr>
                                  <a:picLocks noChangeAspect="1"/>
                                </pic:cNvPicPr>
                              </pic:nvPicPr>
                              <pic:blipFill>
                                <a:blip r:embed="rId42"/>
                                <a:stretch>
                                  <a:fillRect/>
                                </a:stretch>
                              </pic:blipFill>
                              <pic:spPr>
                                <a:xfrm>
                                  <a:off x="0" y="0"/>
                                  <a:ext cx="993775" cy="993775"/>
                                </a:xfrm>
                                <a:prstGeom prst="rect">
                                  <a:avLst/>
                                </a:prstGeom>
                                <a:noFill/>
                                <a:ln>
                                  <a:noFill/>
                                </a:ln>
                              </pic:spPr>
                            </pic:pic>
                          </a:graphicData>
                        </a:graphic>
                      </wp:inline>
                    </w:drawing>
                  </w:r>
                </w:p>
              </w:tc>
              <w:tc>
                <w:tcPr>
                  <w:tcW w:w="1567" w:type="pct"/>
                  <w:vAlign w:val="center"/>
                </w:tcPr>
                <w:p w14:paraId="237EE855">
                  <w:pPr>
                    <w:pStyle w:val="13"/>
                    <w:rPr>
                      <w:color w:val="auto"/>
                      <w:highlight w:val="none"/>
                    </w:rPr>
                  </w:pPr>
                  <w:r>
                    <w:rPr>
                      <w:color w:val="auto"/>
                      <w:highlight w:val="none"/>
                    </w:rPr>
                    <w:drawing>
                      <wp:inline distT="0" distB="0" distL="114300" distR="114300">
                        <wp:extent cx="1111885" cy="982345"/>
                        <wp:effectExtent l="0" t="0" r="12065" b="8255"/>
                        <wp:docPr id="2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6"/>
                                <pic:cNvPicPr>
                                  <a:picLocks noChangeAspect="1"/>
                                </pic:cNvPicPr>
                              </pic:nvPicPr>
                              <pic:blipFill>
                                <a:blip r:embed="rId43"/>
                                <a:stretch>
                                  <a:fillRect/>
                                </a:stretch>
                              </pic:blipFill>
                              <pic:spPr>
                                <a:xfrm>
                                  <a:off x="0" y="0"/>
                                  <a:ext cx="1111885" cy="982345"/>
                                </a:xfrm>
                                <a:prstGeom prst="rect">
                                  <a:avLst/>
                                </a:prstGeom>
                                <a:noFill/>
                                <a:ln>
                                  <a:noFill/>
                                </a:ln>
                              </pic:spPr>
                            </pic:pic>
                          </a:graphicData>
                        </a:graphic>
                      </wp:inline>
                    </w:drawing>
                  </w:r>
                </w:p>
              </w:tc>
              <w:tc>
                <w:tcPr>
                  <w:tcW w:w="946" w:type="pct"/>
                  <w:vAlign w:val="center"/>
                </w:tcPr>
                <w:p w14:paraId="56A3BC2D">
                  <w:pPr>
                    <w:pStyle w:val="13"/>
                    <w:rPr>
                      <w:color w:val="auto"/>
                      <w:highlight w:val="none"/>
                    </w:rPr>
                  </w:pPr>
                  <w:r>
                    <w:rPr>
                      <w:color w:val="auto"/>
                      <w:highlight w:val="none"/>
                    </w:rPr>
                    <w:t>噪声排放源</w:t>
                  </w:r>
                </w:p>
              </w:tc>
              <w:tc>
                <w:tcPr>
                  <w:tcW w:w="861" w:type="pct"/>
                  <w:vAlign w:val="center"/>
                </w:tcPr>
                <w:p w14:paraId="6276E622">
                  <w:pPr>
                    <w:pStyle w:val="13"/>
                    <w:rPr>
                      <w:color w:val="auto"/>
                      <w:highlight w:val="none"/>
                    </w:rPr>
                  </w:pPr>
                  <w:r>
                    <w:rPr>
                      <w:color w:val="auto"/>
                      <w:highlight w:val="none"/>
                    </w:rPr>
                    <w:t>企业厂界</w:t>
                  </w:r>
                </w:p>
              </w:tc>
            </w:tr>
            <w:tr w14:paraId="05B34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jc w:val="center"/>
              </w:trPr>
              <w:tc>
                <w:tcPr>
                  <w:tcW w:w="407" w:type="pct"/>
                  <w:vAlign w:val="center"/>
                </w:tcPr>
                <w:p w14:paraId="4E9BE7B8">
                  <w:pPr>
                    <w:pStyle w:val="13"/>
                    <w:rPr>
                      <w:color w:val="auto"/>
                      <w:highlight w:val="none"/>
                    </w:rPr>
                  </w:pPr>
                  <w:r>
                    <w:rPr>
                      <w:color w:val="auto"/>
                      <w:highlight w:val="none"/>
                    </w:rPr>
                    <w:t>3</w:t>
                  </w:r>
                </w:p>
              </w:tc>
              <w:tc>
                <w:tcPr>
                  <w:tcW w:w="1216" w:type="pct"/>
                  <w:vAlign w:val="center"/>
                </w:tcPr>
                <w:p w14:paraId="4E1555CF">
                  <w:pPr>
                    <w:pStyle w:val="13"/>
                    <w:rPr>
                      <w:color w:val="auto"/>
                      <w:highlight w:val="none"/>
                    </w:rPr>
                  </w:pPr>
                  <w:r>
                    <w:rPr>
                      <w:color w:val="auto"/>
                      <w:highlight w:val="none"/>
                    </w:rPr>
                    <w:drawing>
                      <wp:inline distT="0" distB="0" distL="114300" distR="114300">
                        <wp:extent cx="1029970" cy="1012825"/>
                        <wp:effectExtent l="0" t="0" r="17780" b="15875"/>
                        <wp:docPr id="3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7"/>
                                <pic:cNvPicPr>
                                  <a:picLocks noChangeAspect="1"/>
                                </pic:cNvPicPr>
                              </pic:nvPicPr>
                              <pic:blipFill>
                                <a:blip r:embed="rId44"/>
                                <a:stretch>
                                  <a:fillRect/>
                                </a:stretch>
                              </pic:blipFill>
                              <pic:spPr>
                                <a:xfrm>
                                  <a:off x="0" y="0"/>
                                  <a:ext cx="1029970" cy="1012825"/>
                                </a:xfrm>
                                <a:prstGeom prst="rect">
                                  <a:avLst/>
                                </a:prstGeom>
                                <a:noFill/>
                                <a:ln>
                                  <a:noFill/>
                                </a:ln>
                              </pic:spPr>
                            </pic:pic>
                          </a:graphicData>
                        </a:graphic>
                      </wp:inline>
                    </w:drawing>
                  </w:r>
                </w:p>
              </w:tc>
              <w:tc>
                <w:tcPr>
                  <w:tcW w:w="1567" w:type="pct"/>
                  <w:vAlign w:val="center"/>
                </w:tcPr>
                <w:p w14:paraId="2389C97B">
                  <w:pPr>
                    <w:pStyle w:val="13"/>
                    <w:rPr>
                      <w:color w:val="auto"/>
                      <w:highlight w:val="none"/>
                    </w:rPr>
                  </w:pPr>
                  <w:r>
                    <w:rPr>
                      <w:color w:val="auto"/>
                      <w:highlight w:val="none"/>
                    </w:rPr>
                    <w:drawing>
                      <wp:inline distT="0" distB="0" distL="114300" distR="114300">
                        <wp:extent cx="1158875" cy="1035050"/>
                        <wp:effectExtent l="0" t="0" r="3175" b="12700"/>
                        <wp:docPr id="3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8"/>
                                <pic:cNvPicPr>
                                  <a:picLocks noChangeAspect="1"/>
                                </pic:cNvPicPr>
                              </pic:nvPicPr>
                              <pic:blipFill>
                                <a:blip r:embed="rId45"/>
                                <a:stretch>
                                  <a:fillRect/>
                                </a:stretch>
                              </pic:blipFill>
                              <pic:spPr>
                                <a:xfrm>
                                  <a:off x="0" y="0"/>
                                  <a:ext cx="1158875" cy="1035050"/>
                                </a:xfrm>
                                <a:prstGeom prst="rect">
                                  <a:avLst/>
                                </a:prstGeom>
                                <a:noFill/>
                                <a:ln>
                                  <a:noFill/>
                                </a:ln>
                              </pic:spPr>
                            </pic:pic>
                          </a:graphicData>
                        </a:graphic>
                      </wp:inline>
                    </w:drawing>
                  </w:r>
                </w:p>
              </w:tc>
              <w:tc>
                <w:tcPr>
                  <w:tcW w:w="946" w:type="pct"/>
                  <w:vAlign w:val="center"/>
                </w:tcPr>
                <w:p w14:paraId="78034102">
                  <w:pPr>
                    <w:pStyle w:val="13"/>
                    <w:rPr>
                      <w:color w:val="auto"/>
                      <w:highlight w:val="none"/>
                    </w:rPr>
                  </w:pPr>
                  <w:r>
                    <w:rPr>
                      <w:color w:val="auto"/>
                      <w:highlight w:val="none"/>
                    </w:rPr>
                    <w:t>一般固体废物</w:t>
                  </w:r>
                </w:p>
              </w:tc>
              <w:tc>
                <w:tcPr>
                  <w:tcW w:w="861" w:type="pct"/>
                  <w:vAlign w:val="center"/>
                </w:tcPr>
                <w:p w14:paraId="2FE1D4F3">
                  <w:pPr>
                    <w:pStyle w:val="13"/>
                    <w:rPr>
                      <w:color w:val="auto"/>
                      <w:highlight w:val="none"/>
                    </w:rPr>
                  </w:pPr>
                  <w:r>
                    <w:rPr>
                      <w:rFonts w:hint="eastAsia"/>
                      <w:color w:val="auto"/>
                      <w:highlight w:val="none"/>
                    </w:rPr>
                    <w:t>固废库TS003</w:t>
                  </w:r>
                </w:p>
              </w:tc>
            </w:tr>
            <w:tr w14:paraId="73B20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jc w:val="center"/>
              </w:trPr>
              <w:tc>
                <w:tcPr>
                  <w:tcW w:w="407" w:type="pct"/>
                  <w:vAlign w:val="center"/>
                </w:tcPr>
                <w:p w14:paraId="497AFD3A">
                  <w:pPr>
                    <w:pStyle w:val="13"/>
                    <w:rPr>
                      <w:color w:val="auto"/>
                      <w:highlight w:val="none"/>
                    </w:rPr>
                  </w:pPr>
                  <w:r>
                    <w:rPr>
                      <w:color w:val="auto"/>
                      <w:highlight w:val="none"/>
                    </w:rPr>
                    <w:t>4</w:t>
                  </w:r>
                </w:p>
              </w:tc>
              <w:tc>
                <w:tcPr>
                  <w:tcW w:w="1216" w:type="pct"/>
                  <w:vAlign w:val="center"/>
                </w:tcPr>
                <w:p w14:paraId="0E516E5E">
                  <w:pPr>
                    <w:pStyle w:val="13"/>
                    <w:rPr>
                      <w:color w:val="auto"/>
                      <w:highlight w:val="none"/>
                    </w:rPr>
                  </w:pPr>
                  <w:r>
                    <w:rPr>
                      <w:color w:val="auto"/>
                      <w:highlight w:val="none"/>
                    </w:rPr>
                    <w:drawing>
                      <wp:inline distT="0" distB="0" distL="114300" distR="114300">
                        <wp:extent cx="1038225" cy="1038225"/>
                        <wp:effectExtent l="0" t="0" r="9525" b="9525"/>
                        <wp:docPr id="3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9"/>
                                <pic:cNvPicPr>
                                  <a:picLocks noChangeAspect="1"/>
                                </pic:cNvPicPr>
                              </pic:nvPicPr>
                              <pic:blipFill>
                                <a:blip r:embed="rId46"/>
                                <a:stretch>
                                  <a:fillRect/>
                                </a:stretch>
                              </pic:blipFill>
                              <pic:spPr>
                                <a:xfrm>
                                  <a:off x="0" y="0"/>
                                  <a:ext cx="1038225" cy="1038225"/>
                                </a:xfrm>
                                <a:prstGeom prst="rect">
                                  <a:avLst/>
                                </a:prstGeom>
                                <a:noFill/>
                                <a:ln>
                                  <a:noFill/>
                                </a:ln>
                              </pic:spPr>
                            </pic:pic>
                          </a:graphicData>
                        </a:graphic>
                      </wp:inline>
                    </w:drawing>
                  </w:r>
                </w:p>
              </w:tc>
              <w:tc>
                <w:tcPr>
                  <w:tcW w:w="1567" w:type="pct"/>
                  <w:vAlign w:val="center"/>
                </w:tcPr>
                <w:p w14:paraId="6503CCE2">
                  <w:pPr>
                    <w:pStyle w:val="13"/>
                    <w:rPr>
                      <w:color w:val="auto"/>
                      <w:highlight w:val="none"/>
                    </w:rPr>
                  </w:pPr>
                  <w:r>
                    <w:rPr>
                      <w:color w:val="auto"/>
                      <w:highlight w:val="none"/>
                    </w:rPr>
                    <w:drawing>
                      <wp:inline distT="0" distB="0" distL="114300" distR="114300">
                        <wp:extent cx="1137285" cy="1012190"/>
                        <wp:effectExtent l="0" t="0" r="5715" b="16510"/>
                        <wp:docPr id="3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0"/>
                                <pic:cNvPicPr>
                                  <a:picLocks noChangeAspect="1"/>
                                </pic:cNvPicPr>
                              </pic:nvPicPr>
                              <pic:blipFill>
                                <a:blip r:embed="rId47"/>
                                <a:stretch>
                                  <a:fillRect/>
                                </a:stretch>
                              </pic:blipFill>
                              <pic:spPr>
                                <a:xfrm>
                                  <a:off x="0" y="0"/>
                                  <a:ext cx="1137285" cy="1012190"/>
                                </a:xfrm>
                                <a:prstGeom prst="rect">
                                  <a:avLst/>
                                </a:prstGeom>
                                <a:noFill/>
                                <a:ln>
                                  <a:noFill/>
                                </a:ln>
                              </pic:spPr>
                            </pic:pic>
                          </a:graphicData>
                        </a:graphic>
                      </wp:inline>
                    </w:drawing>
                  </w:r>
                </w:p>
              </w:tc>
              <w:tc>
                <w:tcPr>
                  <w:tcW w:w="946" w:type="pct"/>
                  <w:vAlign w:val="center"/>
                </w:tcPr>
                <w:p w14:paraId="5DD7F7E8">
                  <w:pPr>
                    <w:pStyle w:val="13"/>
                    <w:rPr>
                      <w:color w:val="auto"/>
                      <w:highlight w:val="none"/>
                    </w:rPr>
                  </w:pPr>
                  <w:r>
                    <w:rPr>
                      <w:color w:val="auto"/>
                      <w:highlight w:val="none"/>
                    </w:rPr>
                    <w:t>废气排放口</w:t>
                  </w:r>
                </w:p>
              </w:tc>
              <w:tc>
                <w:tcPr>
                  <w:tcW w:w="861" w:type="pct"/>
                  <w:vAlign w:val="center"/>
                </w:tcPr>
                <w:p w14:paraId="414E5825">
                  <w:pPr>
                    <w:pStyle w:val="13"/>
                    <w:rPr>
                      <w:color w:val="auto"/>
                      <w:highlight w:val="none"/>
                    </w:rPr>
                  </w:pPr>
                  <w:r>
                    <w:rPr>
                      <w:rFonts w:hint="eastAsia"/>
                      <w:color w:val="auto"/>
                      <w:highlight w:val="none"/>
                    </w:rPr>
                    <w:t>DA001</w:t>
                  </w:r>
                  <w:r>
                    <w:rPr>
                      <w:color w:val="auto"/>
                      <w:highlight w:val="none"/>
                    </w:rPr>
                    <w:t>排放口</w:t>
                  </w:r>
                </w:p>
                <w:p w14:paraId="75986D9D">
                  <w:pPr>
                    <w:pStyle w:val="13"/>
                    <w:rPr>
                      <w:color w:val="auto"/>
                      <w:highlight w:val="none"/>
                    </w:rPr>
                  </w:pPr>
                  <w:r>
                    <w:rPr>
                      <w:rFonts w:hint="eastAsia"/>
                      <w:color w:val="auto"/>
                      <w:highlight w:val="none"/>
                    </w:rPr>
                    <w:t>DA002</w:t>
                  </w:r>
                  <w:r>
                    <w:rPr>
                      <w:color w:val="auto"/>
                      <w:highlight w:val="none"/>
                    </w:rPr>
                    <w:t>排放口</w:t>
                  </w:r>
                </w:p>
              </w:tc>
            </w:tr>
            <w:tr w14:paraId="22332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jc w:val="center"/>
              </w:trPr>
              <w:tc>
                <w:tcPr>
                  <w:tcW w:w="407" w:type="pct"/>
                  <w:vAlign w:val="center"/>
                </w:tcPr>
                <w:p w14:paraId="10021E93">
                  <w:pPr>
                    <w:pStyle w:val="13"/>
                    <w:rPr>
                      <w:color w:val="auto"/>
                      <w:highlight w:val="none"/>
                    </w:rPr>
                  </w:pPr>
                  <w:r>
                    <w:rPr>
                      <w:rFonts w:hint="eastAsia"/>
                      <w:color w:val="auto"/>
                      <w:highlight w:val="none"/>
                    </w:rPr>
                    <w:t>5</w:t>
                  </w:r>
                </w:p>
              </w:tc>
              <w:tc>
                <w:tcPr>
                  <w:tcW w:w="1216" w:type="pct"/>
                  <w:vAlign w:val="center"/>
                </w:tcPr>
                <w:p w14:paraId="3C5B9A49">
                  <w:pPr>
                    <w:pStyle w:val="13"/>
                    <w:rPr>
                      <w:color w:val="auto"/>
                      <w:highlight w:val="none"/>
                    </w:rPr>
                  </w:pPr>
                  <w:r>
                    <w:rPr>
                      <w:rFonts w:hint="eastAsia"/>
                      <w:color w:val="auto"/>
                      <w:highlight w:val="none"/>
                    </w:rPr>
                    <w:t>/</w:t>
                  </w:r>
                </w:p>
              </w:tc>
              <w:tc>
                <w:tcPr>
                  <w:tcW w:w="1567" w:type="pct"/>
                  <w:vAlign w:val="center"/>
                </w:tcPr>
                <w:p w14:paraId="213AB4CB">
                  <w:pPr>
                    <w:pStyle w:val="13"/>
                    <w:rPr>
                      <w:color w:val="auto"/>
                      <w:highlight w:val="none"/>
                    </w:rPr>
                  </w:pPr>
                  <w:r>
                    <w:rPr>
                      <w:color w:val="auto"/>
                      <w:highlight w:val="none"/>
                    </w:rPr>
                    <w:drawing>
                      <wp:inline distT="0" distB="0" distL="114300" distR="114300">
                        <wp:extent cx="1381760" cy="1017905"/>
                        <wp:effectExtent l="0" t="0" r="8890" b="10795"/>
                        <wp:docPr id="3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1"/>
                                <pic:cNvPicPr>
                                  <a:picLocks noChangeAspect="1"/>
                                </pic:cNvPicPr>
                              </pic:nvPicPr>
                              <pic:blipFill>
                                <a:blip r:embed="rId48"/>
                                <a:stretch>
                                  <a:fillRect/>
                                </a:stretch>
                              </pic:blipFill>
                              <pic:spPr>
                                <a:xfrm>
                                  <a:off x="0" y="0"/>
                                  <a:ext cx="1381760" cy="1017905"/>
                                </a:xfrm>
                                <a:prstGeom prst="rect">
                                  <a:avLst/>
                                </a:prstGeom>
                                <a:noFill/>
                                <a:ln>
                                  <a:noFill/>
                                </a:ln>
                              </pic:spPr>
                            </pic:pic>
                          </a:graphicData>
                        </a:graphic>
                      </wp:inline>
                    </w:drawing>
                  </w:r>
                </w:p>
              </w:tc>
              <w:tc>
                <w:tcPr>
                  <w:tcW w:w="946" w:type="pct"/>
                  <w:vAlign w:val="center"/>
                </w:tcPr>
                <w:p w14:paraId="64369427">
                  <w:pPr>
                    <w:pStyle w:val="13"/>
                    <w:rPr>
                      <w:color w:val="auto"/>
                      <w:highlight w:val="none"/>
                    </w:rPr>
                  </w:pPr>
                  <w:r>
                    <w:rPr>
                      <w:rFonts w:hint="eastAsia"/>
                      <w:color w:val="auto"/>
                      <w:highlight w:val="none"/>
                    </w:rPr>
                    <w:t>危险废物</w:t>
                  </w:r>
                </w:p>
              </w:tc>
              <w:tc>
                <w:tcPr>
                  <w:tcW w:w="861" w:type="pct"/>
                  <w:vAlign w:val="center"/>
                </w:tcPr>
                <w:p w14:paraId="1CDE9627">
                  <w:pPr>
                    <w:pStyle w:val="13"/>
                    <w:rPr>
                      <w:color w:val="auto"/>
                      <w:highlight w:val="none"/>
                    </w:rPr>
                  </w:pPr>
                  <w:r>
                    <w:rPr>
                      <w:rFonts w:hint="eastAsia"/>
                      <w:color w:val="auto"/>
                      <w:highlight w:val="none"/>
                    </w:rPr>
                    <w:t>危废库TS004</w:t>
                  </w:r>
                </w:p>
              </w:tc>
            </w:tr>
          </w:tbl>
          <w:p w14:paraId="1F1C218A">
            <w:pPr>
              <w:pStyle w:val="14"/>
              <w:spacing w:before="156"/>
              <w:rPr>
                <w:color w:val="auto"/>
                <w:highlight w:val="none"/>
              </w:rPr>
            </w:pPr>
            <w:r>
              <w:rPr>
                <w:color w:val="auto"/>
                <w:highlight w:val="none"/>
              </w:rPr>
              <w:t>表</w:t>
            </w:r>
            <w:r>
              <w:rPr>
                <w:rFonts w:hint="eastAsia"/>
                <w:color w:val="auto"/>
                <w:highlight w:val="none"/>
              </w:rPr>
              <w:t xml:space="preserve">5-2  </w:t>
            </w:r>
            <w:r>
              <w:rPr>
                <w:color w:val="auto"/>
                <w:highlight w:val="none"/>
              </w:rPr>
              <w:t>环保图形标志形状、颜色</w:t>
            </w:r>
          </w:p>
          <w:tbl>
            <w:tblPr>
              <w:tblStyle w:val="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1"/>
              <w:gridCol w:w="2521"/>
              <w:gridCol w:w="1902"/>
              <w:gridCol w:w="1902"/>
            </w:tblGrid>
            <w:tr w14:paraId="7ADF4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24" w:type="pct"/>
                  <w:vAlign w:val="center"/>
                </w:tcPr>
                <w:p w14:paraId="153F80A1">
                  <w:pPr>
                    <w:pStyle w:val="13"/>
                    <w:rPr>
                      <w:b/>
                      <w:bCs/>
                      <w:color w:val="auto"/>
                      <w:highlight w:val="none"/>
                    </w:rPr>
                  </w:pPr>
                  <w:r>
                    <w:rPr>
                      <w:rFonts w:hint="eastAsia"/>
                      <w:b/>
                      <w:bCs/>
                      <w:color w:val="auto"/>
                      <w:highlight w:val="none"/>
                    </w:rPr>
                    <w:t>符合</w:t>
                  </w:r>
                </w:p>
              </w:tc>
              <w:tc>
                <w:tcPr>
                  <w:tcW w:w="1424" w:type="pct"/>
                  <w:vAlign w:val="center"/>
                </w:tcPr>
                <w:p w14:paraId="40365DA1">
                  <w:pPr>
                    <w:pStyle w:val="13"/>
                    <w:rPr>
                      <w:b/>
                      <w:bCs/>
                      <w:color w:val="auto"/>
                      <w:highlight w:val="none"/>
                    </w:rPr>
                  </w:pPr>
                  <w:r>
                    <w:rPr>
                      <w:b/>
                      <w:bCs/>
                      <w:color w:val="auto"/>
                      <w:highlight w:val="none"/>
                    </w:rPr>
                    <w:t>形状</w:t>
                  </w:r>
                </w:p>
              </w:tc>
              <w:tc>
                <w:tcPr>
                  <w:tcW w:w="1075" w:type="pct"/>
                  <w:vAlign w:val="center"/>
                </w:tcPr>
                <w:p w14:paraId="00B2CBB9">
                  <w:pPr>
                    <w:pStyle w:val="13"/>
                    <w:rPr>
                      <w:b/>
                      <w:bCs/>
                      <w:color w:val="auto"/>
                      <w:highlight w:val="none"/>
                    </w:rPr>
                  </w:pPr>
                  <w:r>
                    <w:rPr>
                      <w:b/>
                      <w:bCs/>
                      <w:color w:val="auto"/>
                      <w:highlight w:val="none"/>
                    </w:rPr>
                    <w:t>背景颜色</w:t>
                  </w:r>
                </w:p>
              </w:tc>
              <w:tc>
                <w:tcPr>
                  <w:tcW w:w="1075" w:type="pct"/>
                  <w:vAlign w:val="center"/>
                </w:tcPr>
                <w:p w14:paraId="663E30B3">
                  <w:pPr>
                    <w:pStyle w:val="13"/>
                    <w:rPr>
                      <w:b/>
                      <w:bCs/>
                      <w:color w:val="auto"/>
                      <w:highlight w:val="none"/>
                    </w:rPr>
                  </w:pPr>
                  <w:r>
                    <w:rPr>
                      <w:b/>
                      <w:bCs/>
                      <w:color w:val="auto"/>
                      <w:highlight w:val="none"/>
                    </w:rPr>
                    <w:t>图形颜色</w:t>
                  </w:r>
                </w:p>
              </w:tc>
            </w:tr>
            <w:tr w14:paraId="0129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24" w:type="pct"/>
                  <w:vAlign w:val="center"/>
                </w:tcPr>
                <w:p w14:paraId="61E3CE6A">
                  <w:pPr>
                    <w:pStyle w:val="13"/>
                    <w:rPr>
                      <w:color w:val="auto"/>
                      <w:highlight w:val="none"/>
                    </w:rPr>
                  </w:pPr>
                  <w:r>
                    <w:rPr>
                      <w:color w:val="auto"/>
                      <w:highlight w:val="none"/>
                    </w:rPr>
                    <w:t>提示性图形符号</w:t>
                  </w:r>
                </w:p>
              </w:tc>
              <w:tc>
                <w:tcPr>
                  <w:tcW w:w="1424" w:type="pct"/>
                  <w:vAlign w:val="center"/>
                </w:tcPr>
                <w:p w14:paraId="7B7297E3">
                  <w:pPr>
                    <w:pStyle w:val="13"/>
                    <w:rPr>
                      <w:color w:val="auto"/>
                      <w:highlight w:val="none"/>
                    </w:rPr>
                  </w:pPr>
                  <w:r>
                    <w:rPr>
                      <w:color w:val="auto"/>
                      <w:highlight w:val="none"/>
                    </w:rPr>
                    <w:t>正方形边框</w:t>
                  </w:r>
                </w:p>
              </w:tc>
              <w:tc>
                <w:tcPr>
                  <w:tcW w:w="1075" w:type="pct"/>
                  <w:vAlign w:val="center"/>
                </w:tcPr>
                <w:p w14:paraId="7639E86E">
                  <w:pPr>
                    <w:pStyle w:val="13"/>
                    <w:rPr>
                      <w:color w:val="auto"/>
                      <w:highlight w:val="none"/>
                    </w:rPr>
                  </w:pPr>
                  <w:r>
                    <w:rPr>
                      <w:color w:val="auto"/>
                      <w:highlight w:val="none"/>
                    </w:rPr>
                    <w:t>绿色</w:t>
                  </w:r>
                </w:p>
              </w:tc>
              <w:tc>
                <w:tcPr>
                  <w:tcW w:w="1075" w:type="pct"/>
                  <w:vAlign w:val="center"/>
                </w:tcPr>
                <w:p w14:paraId="2696C5AA">
                  <w:pPr>
                    <w:pStyle w:val="13"/>
                    <w:rPr>
                      <w:color w:val="auto"/>
                      <w:highlight w:val="none"/>
                    </w:rPr>
                  </w:pPr>
                  <w:r>
                    <w:rPr>
                      <w:color w:val="auto"/>
                      <w:highlight w:val="none"/>
                    </w:rPr>
                    <w:t>白色</w:t>
                  </w:r>
                </w:p>
              </w:tc>
            </w:tr>
            <w:tr w14:paraId="1FDAD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24" w:type="pct"/>
                  <w:vAlign w:val="center"/>
                </w:tcPr>
                <w:p w14:paraId="3BE0B989">
                  <w:pPr>
                    <w:pStyle w:val="13"/>
                    <w:rPr>
                      <w:color w:val="auto"/>
                      <w:highlight w:val="none"/>
                    </w:rPr>
                  </w:pPr>
                  <w:r>
                    <w:rPr>
                      <w:color w:val="auto"/>
                      <w:highlight w:val="none"/>
                    </w:rPr>
                    <w:t>警告图形符号</w:t>
                  </w:r>
                </w:p>
              </w:tc>
              <w:tc>
                <w:tcPr>
                  <w:tcW w:w="1424" w:type="pct"/>
                  <w:vAlign w:val="center"/>
                </w:tcPr>
                <w:p w14:paraId="373A8E5E">
                  <w:pPr>
                    <w:pStyle w:val="13"/>
                    <w:rPr>
                      <w:color w:val="auto"/>
                      <w:highlight w:val="none"/>
                    </w:rPr>
                  </w:pPr>
                  <w:r>
                    <w:rPr>
                      <w:color w:val="auto"/>
                      <w:highlight w:val="none"/>
                    </w:rPr>
                    <w:t>三角形边框</w:t>
                  </w:r>
                </w:p>
              </w:tc>
              <w:tc>
                <w:tcPr>
                  <w:tcW w:w="1075" w:type="pct"/>
                  <w:vAlign w:val="center"/>
                </w:tcPr>
                <w:p w14:paraId="5C748A08">
                  <w:pPr>
                    <w:pStyle w:val="13"/>
                    <w:rPr>
                      <w:color w:val="auto"/>
                      <w:highlight w:val="none"/>
                    </w:rPr>
                  </w:pPr>
                  <w:r>
                    <w:rPr>
                      <w:rFonts w:hint="eastAsia"/>
                      <w:color w:val="auto"/>
                      <w:highlight w:val="none"/>
                    </w:rPr>
                    <w:t>黄</w:t>
                  </w:r>
                  <w:r>
                    <w:rPr>
                      <w:color w:val="auto"/>
                      <w:highlight w:val="none"/>
                    </w:rPr>
                    <w:t>色</w:t>
                  </w:r>
                </w:p>
              </w:tc>
              <w:tc>
                <w:tcPr>
                  <w:tcW w:w="1075" w:type="pct"/>
                  <w:vAlign w:val="center"/>
                </w:tcPr>
                <w:p w14:paraId="7DE04598">
                  <w:pPr>
                    <w:pStyle w:val="13"/>
                    <w:rPr>
                      <w:color w:val="auto"/>
                      <w:highlight w:val="none"/>
                    </w:rPr>
                  </w:pPr>
                  <w:r>
                    <w:rPr>
                      <w:rFonts w:hint="eastAsia"/>
                      <w:color w:val="auto"/>
                      <w:highlight w:val="none"/>
                    </w:rPr>
                    <w:t>黑</w:t>
                  </w:r>
                  <w:r>
                    <w:rPr>
                      <w:color w:val="auto"/>
                      <w:highlight w:val="none"/>
                    </w:rPr>
                    <w:t>色</w:t>
                  </w:r>
                </w:p>
              </w:tc>
            </w:tr>
          </w:tbl>
          <w:p w14:paraId="2AC16C91">
            <w:pPr>
              <w:pStyle w:val="13"/>
              <w:jc w:val="left"/>
              <w:rPr>
                <w:color w:val="auto"/>
                <w:highlight w:val="none"/>
              </w:rPr>
            </w:pPr>
            <w:r>
              <w:rPr>
                <w:color w:val="auto"/>
                <w:highlight w:val="none"/>
              </w:rPr>
              <w:t>（3）按照要求填写由原国家环保部统一印制的《中华人民共和国规范化排污口标志登记证》。</w:t>
            </w:r>
          </w:p>
          <w:p w14:paraId="596ECB0B">
            <w:pPr>
              <w:pStyle w:val="13"/>
              <w:jc w:val="left"/>
              <w:rPr>
                <w:color w:val="auto"/>
                <w:highlight w:val="none"/>
              </w:rPr>
            </w:pPr>
            <w:r>
              <w:rPr>
                <w:color w:val="auto"/>
                <w:highlight w:val="none"/>
              </w:rPr>
              <w:t>（4）规范化设置的排污口有关</w:t>
            </w:r>
            <w:r>
              <w:rPr>
                <w:rFonts w:hint="eastAsia"/>
                <w:color w:val="auto"/>
                <w:highlight w:val="none"/>
              </w:rPr>
              <w:t>设施</w:t>
            </w:r>
            <w:r>
              <w:rPr>
                <w:color w:val="auto"/>
                <w:highlight w:val="none"/>
              </w:rPr>
              <w:t>属于环境保护设施，应将其纳入本单位设备管理，并选派具有专业知识的专职或兼职人员对排污口进行管理</w:t>
            </w:r>
            <w:r>
              <w:rPr>
                <w:rFonts w:hint="eastAsia"/>
                <w:color w:val="auto"/>
                <w:highlight w:val="none"/>
              </w:rPr>
              <w:t>。</w:t>
            </w:r>
          </w:p>
          <w:p w14:paraId="0A705312">
            <w:pPr>
              <w:pStyle w:val="13"/>
              <w:jc w:val="left"/>
              <w:rPr>
                <w:color w:val="auto"/>
                <w:highlight w:val="none"/>
              </w:rPr>
            </w:pPr>
          </w:p>
          <w:p w14:paraId="122F8680">
            <w:pPr>
              <w:pStyle w:val="13"/>
              <w:jc w:val="left"/>
              <w:rPr>
                <w:color w:val="auto"/>
                <w:highlight w:val="none"/>
              </w:rPr>
            </w:pPr>
          </w:p>
          <w:p w14:paraId="44478F60">
            <w:pPr>
              <w:pStyle w:val="13"/>
              <w:jc w:val="left"/>
              <w:rPr>
                <w:color w:val="auto"/>
                <w:highlight w:val="none"/>
              </w:rPr>
            </w:pPr>
          </w:p>
          <w:p w14:paraId="08543C88">
            <w:pPr>
              <w:pStyle w:val="13"/>
              <w:jc w:val="left"/>
              <w:rPr>
                <w:color w:val="auto"/>
                <w:highlight w:val="none"/>
              </w:rPr>
            </w:pPr>
          </w:p>
          <w:p w14:paraId="22A2DB0A">
            <w:pPr>
              <w:pStyle w:val="13"/>
              <w:jc w:val="left"/>
              <w:rPr>
                <w:color w:val="auto"/>
                <w:highlight w:val="none"/>
              </w:rPr>
            </w:pPr>
          </w:p>
          <w:p w14:paraId="5CB9D9DC">
            <w:pPr>
              <w:pStyle w:val="13"/>
              <w:jc w:val="left"/>
              <w:rPr>
                <w:color w:val="auto"/>
                <w:highlight w:val="none"/>
              </w:rPr>
            </w:pPr>
          </w:p>
          <w:p w14:paraId="60E7B4D9">
            <w:pPr>
              <w:pStyle w:val="13"/>
              <w:jc w:val="left"/>
              <w:rPr>
                <w:color w:val="auto"/>
                <w:highlight w:val="none"/>
              </w:rPr>
            </w:pPr>
          </w:p>
          <w:p w14:paraId="4F72EF0D">
            <w:pPr>
              <w:pStyle w:val="13"/>
              <w:jc w:val="left"/>
              <w:rPr>
                <w:color w:val="auto"/>
                <w:highlight w:val="none"/>
              </w:rPr>
            </w:pPr>
          </w:p>
          <w:p w14:paraId="0749B346">
            <w:pPr>
              <w:pStyle w:val="13"/>
              <w:jc w:val="left"/>
              <w:rPr>
                <w:color w:val="auto"/>
                <w:highlight w:val="none"/>
              </w:rPr>
            </w:pPr>
          </w:p>
          <w:p w14:paraId="316F26F9">
            <w:pPr>
              <w:pStyle w:val="13"/>
              <w:jc w:val="left"/>
              <w:rPr>
                <w:color w:val="auto"/>
                <w:highlight w:val="none"/>
              </w:rPr>
            </w:pPr>
          </w:p>
          <w:p w14:paraId="1036EE2F">
            <w:pPr>
              <w:pStyle w:val="13"/>
              <w:jc w:val="left"/>
              <w:rPr>
                <w:color w:val="auto"/>
                <w:highlight w:val="none"/>
              </w:rPr>
            </w:pPr>
          </w:p>
          <w:p w14:paraId="265C3EBE">
            <w:pPr>
              <w:pStyle w:val="13"/>
              <w:jc w:val="left"/>
              <w:rPr>
                <w:color w:val="auto"/>
                <w:highlight w:val="none"/>
              </w:rPr>
            </w:pPr>
          </w:p>
        </w:tc>
      </w:tr>
    </w:tbl>
    <w:p w14:paraId="12A129B7">
      <w:pPr>
        <w:pStyle w:val="17"/>
        <w:rPr>
          <w:color w:val="auto"/>
          <w:highlight w:val="none"/>
        </w:rPr>
      </w:pPr>
      <w:r>
        <w:rPr>
          <w:color w:val="auto"/>
          <w:highlight w:val="none"/>
        </w:rPr>
        <w:t>六、结论</w:t>
      </w:r>
    </w:p>
    <w:tbl>
      <w:tblPr>
        <w:tblStyle w:val="9"/>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741"/>
      </w:tblGrid>
      <w:tr w14:paraId="20525AF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20" w:hRule="atLeast"/>
          <w:jc w:val="center"/>
        </w:trPr>
        <w:tc>
          <w:tcPr>
            <w:tcW w:w="5000" w:type="pct"/>
          </w:tcPr>
          <w:p w14:paraId="4BCA05EE">
            <w:pPr>
              <w:ind w:firstLine="480"/>
              <w:rPr>
                <w:color w:val="auto"/>
                <w:highlight w:val="none"/>
              </w:rPr>
            </w:pPr>
            <w:r>
              <w:rPr>
                <w:color w:val="auto"/>
                <w:highlight w:val="none"/>
              </w:rPr>
              <w:t>从环境影响角度</w:t>
            </w:r>
            <w:r>
              <w:rPr>
                <w:rFonts w:hint="eastAsia"/>
                <w:color w:val="auto"/>
                <w:highlight w:val="none"/>
              </w:rPr>
              <w:t>分析</w:t>
            </w:r>
            <w:r>
              <w:rPr>
                <w:color w:val="auto"/>
                <w:highlight w:val="none"/>
              </w:rPr>
              <w:t>，</w:t>
            </w:r>
            <w:r>
              <w:rPr>
                <w:rFonts w:hint="eastAsia"/>
                <w:color w:val="auto"/>
                <w:highlight w:val="none"/>
              </w:rPr>
              <w:t>本</w:t>
            </w:r>
            <w:r>
              <w:rPr>
                <w:color w:val="auto"/>
                <w:highlight w:val="none"/>
              </w:rPr>
              <w:t>项目的建设是可行的。</w:t>
            </w:r>
          </w:p>
        </w:tc>
      </w:tr>
    </w:tbl>
    <w:p w14:paraId="1279B2D2">
      <w:pPr>
        <w:ind w:firstLine="480"/>
        <w:rPr>
          <w:color w:val="auto"/>
          <w:highlight w:val="none"/>
        </w:rPr>
        <w:sectPr>
          <w:pgSz w:w="11906" w:h="16838"/>
          <w:pgMar w:top="1134" w:right="1247" w:bottom="1247" w:left="1134" w:header="851" w:footer="850" w:gutter="0"/>
          <w:cols w:space="425" w:num="1"/>
          <w:docGrid w:type="lines" w:linePitch="312" w:charSpace="0"/>
        </w:sectPr>
      </w:pPr>
    </w:p>
    <w:p w14:paraId="61CDCF05">
      <w:pPr>
        <w:pStyle w:val="21"/>
        <w:spacing w:before="0" w:beforeLines="0" w:after="0" w:afterLines="0"/>
        <w:jc w:val="left"/>
        <w:rPr>
          <w:rFonts w:hint="default"/>
          <w:color w:val="auto"/>
          <w:highlight w:val="none"/>
        </w:rPr>
      </w:pPr>
      <w:r>
        <w:rPr>
          <w:rFonts w:hint="default"/>
          <w:color w:val="auto"/>
          <w:highlight w:val="none"/>
        </w:rPr>
        <w:t>附表</w:t>
      </w:r>
    </w:p>
    <w:p w14:paraId="2F8BDD84">
      <w:pPr>
        <w:pStyle w:val="14"/>
        <w:spacing w:before="156"/>
        <w:rPr>
          <w:color w:val="auto"/>
          <w:highlight w:val="none"/>
        </w:rPr>
      </w:pPr>
      <w:r>
        <w:rPr>
          <w:color w:val="auto"/>
          <w:highlight w:val="none"/>
        </w:rPr>
        <w:t>建设项目污染物排放量汇总表  单位：t/a</w:t>
      </w:r>
    </w:p>
    <w:tbl>
      <w:tblPr>
        <w:tblStyle w:val="9"/>
        <w:tblW w:w="4994"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728"/>
        <w:gridCol w:w="1552"/>
        <w:gridCol w:w="1950"/>
        <w:gridCol w:w="1216"/>
        <w:gridCol w:w="1918"/>
        <w:gridCol w:w="1787"/>
        <w:gridCol w:w="1889"/>
        <w:gridCol w:w="2347"/>
        <w:gridCol w:w="1109"/>
      </w:tblGrid>
      <w:tr w14:paraId="6AE3C6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51" w:type="pct"/>
            <w:tcBorders>
              <w:tl2br w:val="single" w:color="auto" w:sz="4" w:space="0"/>
            </w:tcBorders>
            <w:tcMar>
              <w:left w:w="28" w:type="dxa"/>
              <w:right w:w="28" w:type="dxa"/>
            </w:tcMar>
            <w:vAlign w:val="center"/>
          </w:tcPr>
          <w:p w14:paraId="23BDDD9B">
            <w:pPr>
              <w:pStyle w:val="13"/>
              <w:rPr>
                <w:b/>
                <w:bCs/>
                <w:color w:val="auto"/>
                <w:highlight w:val="none"/>
              </w:rPr>
            </w:pPr>
            <w:r>
              <w:rPr>
                <w:b/>
                <w:bCs/>
                <w:color w:val="auto"/>
                <w:highlight w:val="none"/>
              </w:rPr>
              <w:t>项目</w:t>
            </w:r>
          </w:p>
          <w:p w14:paraId="45EB562E">
            <w:pPr>
              <w:pStyle w:val="13"/>
              <w:rPr>
                <w:b/>
                <w:bCs/>
                <w:color w:val="auto"/>
                <w:highlight w:val="none"/>
              </w:rPr>
            </w:pPr>
            <w:r>
              <w:rPr>
                <w:b/>
                <w:bCs/>
                <w:color w:val="auto"/>
                <w:highlight w:val="none"/>
              </w:rPr>
              <w:t>分类</w:t>
            </w:r>
          </w:p>
        </w:tc>
        <w:tc>
          <w:tcPr>
            <w:tcW w:w="535" w:type="pct"/>
            <w:tcMar>
              <w:left w:w="28" w:type="dxa"/>
              <w:right w:w="28" w:type="dxa"/>
            </w:tcMar>
            <w:vAlign w:val="center"/>
          </w:tcPr>
          <w:p w14:paraId="7055F880">
            <w:pPr>
              <w:pStyle w:val="13"/>
              <w:rPr>
                <w:b/>
                <w:bCs/>
                <w:color w:val="auto"/>
                <w:highlight w:val="none"/>
              </w:rPr>
            </w:pPr>
            <w:r>
              <w:rPr>
                <w:b/>
                <w:bCs/>
                <w:color w:val="auto"/>
                <w:highlight w:val="none"/>
              </w:rPr>
              <w:t>污染物名称</w:t>
            </w:r>
          </w:p>
        </w:tc>
        <w:tc>
          <w:tcPr>
            <w:tcW w:w="672" w:type="pct"/>
            <w:tcMar>
              <w:left w:w="28" w:type="dxa"/>
              <w:right w:w="28" w:type="dxa"/>
            </w:tcMar>
            <w:vAlign w:val="center"/>
          </w:tcPr>
          <w:p w14:paraId="2D2B45E1">
            <w:pPr>
              <w:pStyle w:val="13"/>
              <w:rPr>
                <w:b/>
                <w:bCs/>
                <w:color w:val="auto"/>
                <w:highlight w:val="none"/>
              </w:rPr>
            </w:pPr>
            <w:r>
              <w:rPr>
                <w:b/>
                <w:bCs/>
                <w:color w:val="auto"/>
                <w:highlight w:val="none"/>
              </w:rPr>
              <w:t>现有工程排放量</w:t>
            </w:r>
            <w:r>
              <w:rPr>
                <w:rFonts w:hint="eastAsia"/>
                <w:b/>
                <w:bCs/>
                <w:color w:val="auto"/>
                <w:highlight w:val="none"/>
              </w:rPr>
              <w:t>（</w:t>
            </w:r>
            <w:r>
              <w:rPr>
                <w:b/>
                <w:bCs/>
                <w:color w:val="auto"/>
                <w:highlight w:val="none"/>
              </w:rPr>
              <w:t>固体废物产生量</w:t>
            </w:r>
            <w:r>
              <w:rPr>
                <w:rFonts w:hint="eastAsia"/>
                <w:b/>
                <w:bCs/>
                <w:color w:val="auto"/>
                <w:highlight w:val="none"/>
              </w:rPr>
              <w:t>）</w:t>
            </w:r>
            <w:r>
              <w:rPr>
                <w:b/>
                <w:bCs/>
                <w:color w:val="auto"/>
                <w:highlight w:val="none"/>
              </w:rPr>
              <w:fldChar w:fldCharType="begin"/>
            </w:r>
            <w:r>
              <w:rPr>
                <w:b/>
                <w:bCs/>
                <w:color w:val="auto"/>
                <w:highlight w:val="none"/>
              </w:rPr>
              <w:instrText xml:space="preserve"> = 1 \* GB3 \* MERGEFORMAT </w:instrText>
            </w:r>
            <w:r>
              <w:rPr>
                <w:b/>
                <w:bCs/>
                <w:color w:val="auto"/>
                <w:highlight w:val="none"/>
              </w:rPr>
              <w:fldChar w:fldCharType="separate"/>
            </w:r>
            <w:r>
              <w:rPr>
                <w:b/>
                <w:bCs/>
                <w:color w:val="auto"/>
                <w:highlight w:val="none"/>
              </w:rPr>
              <w:t>①</w:t>
            </w:r>
            <w:r>
              <w:rPr>
                <w:b/>
                <w:bCs/>
                <w:color w:val="auto"/>
                <w:highlight w:val="none"/>
              </w:rPr>
              <w:fldChar w:fldCharType="end"/>
            </w:r>
          </w:p>
        </w:tc>
        <w:tc>
          <w:tcPr>
            <w:tcW w:w="419" w:type="pct"/>
            <w:tcMar>
              <w:left w:w="28" w:type="dxa"/>
              <w:right w:w="28" w:type="dxa"/>
            </w:tcMar>
            <w:vAlign w:val="center"/>
          </w:tcPr>
          <w:p w14:paraId="70249A7C">
            <w:pPr>
              <w:pStyle w:val="13"/>
              <w:rPr>
                <w:b/>
                <w:bCs/>
                <w:color w:val="auto"/>
                <w:highlight w:val="none"/>
              </w:rPr>
            </w:pPr>
            <w:r>
              <w:rPr>
                <w:b/>
                <w:bCs/>
                <w:color w:val="auto"/>
                <w:highlight w:val="none"/>
              </w:rPr>
              <w:t>现有工程许可排放量</w:t>
            </w:r>
            <w:r>
              <w:rPr>
                <w:b/>
                <w:bCs/>
                <w:color w:val="auto"/>
                <w:highlight w:val="none"/>
              </w:rPr>
              <w:fldChar w:fldCharType="begin"/>
            </w:r>
            <w:r>
              <w:rPr>
                <w:b/>
                <w:bCs/>
                <w:color w:val="auto"/>
                <w:highlight w:val="none"/>
              </w:rPr>
              <w:instrText xml:space="preserve"> = 2 \* GB3 \* MERGEFORMAT </w:instrText>
            </w:r>
            <w:r>
              <w:rPr>
                <w:b/>
                <w:bCs/>
                <w:color w:val="auto"/>
                <w:highlight w:val="none"/>
              </w:rPr>
              <w:fldChar w:fldCharType="separate"/>
            </w:r>
            <w:r>
              <w:rPr>
                <w:b/>
                <w:bCs/>
                <w:color w:val="auto"/>
                <w:highlight w:val="none"/>
              </w:rPr>
              <w:t>②</w:t>
            </w:r>
            <w:r>
              <w:rPr>
                <w:b/>
                <w:bCs/>
                <w:color w:val="auto"/>
                <w:highlight w:val="none"/>
              </w:rPr>
              <w:fldChar w:fldCharType="end"/>
            </w:r>
          </w:p>
        </w:tc>
        <w:tc>
          <w:tcPr>
            <w:tcW w:w="661" w:type="pct"/>
            <w:tcMar>
              <w:left w:w="28" w:type="dxa"/>
              <w:right w:w="28" w:type="dxa"/>
            </w:tcMar>
            <w:vAlign w:val="center"/>
          </w:tcPr>
          <w:p w14:paraId="47476768">
            <w:pPr>
              <w:pStyle w:val="13"/>
              <w:rPr>
                <w:b/>
                <w:bCs/>
                <w:color w:val="auto"/>
                <w:highlight w:val="none"/>
              </w:rPr>
            </w:pPr>
            <w:r>
              <w:rPr>
                <w:b/>
                <w:bCs/>
                <w:color w:val="auto"/>
                <w:highlight w:val="none"/>
              </w:rPr>
              <w:t>在建工程排放量</w:t>
            </w:r>
            <w:r>
              <w:rPr>
                <w:rFonts w:hint="eastAsia"/>
                <w:b/>
                <w:bCs/>
                <w:color w:val="auto"/>
                <w:highlight w:val="none"/>
              </w:rPr>
              <w:t>（</w:t>
            </w:r>
            <w:r>
              <w:rPr>
                <w:b/>
                <w:bCs/>
                <w:color w:val="auto"/>
                <w:highlight w:val="none"/>
              </w:rPr>
              <w:t>固体废物产生量</w:t>
            </w:r>
            <w:r>
              <w:rPr>
                <w:rFonts w:hint="eastAsia"/>
                <w:b/>
                <w:bCs/>
                <w:color w:val="auto"/>
                <w:highlight w:val="none"/>
              </w:rPr>
              <w:t>）</w:t>
            </w:r>
            <w:r>
              <w:rPr>
                <w:b/>
                <w:bCs/>
                <w:color w:val="auto"/>
                <w:highlight w:val="none"/>
              </w:rPr>
              <w:fldChar w:fldCharType="begin"/>
            </w:r>
            <w:r>
              <w:rPr>
                <w:b/>
                <w:bCs/>
                <w:color w:val="auto"/>
                <w:highlight w:val="none"/>
              </w:rPr>
              <w:instrText xml:space="preserve"> = 3 \* GB3 \* MERGEFORMAT </w:instrText>
            </w:r>
            <w:r>
              <w:rPr>
                <w:b/>
                <w:bCs/>
                <w:color w:val="auto"/>
                <w:highlight w:val="none"/>
              </w:rPr>
              <w:fldChar w:fldCharType="separate"/>
            </w:r>
            <w:r>
              <w:rPr>
                <w:b/>
                <w:bCs/>
                <w:color w:val="auto"/>
                <w:highlight w:val="none"/>
              </w:rPr>
              <w:t>③</w:t>
            </w:r>
            <w:r>
              <w:rPr>
                <w:b/>
                <w:bCs/>
                <w:color w:val="auto"/>
                <w:highlight w:val="none"/>
              </w:rPr>
              <w:fldChar w:fldCharType="end"/>
            </w:r>
          </w:p>
        </w:tc>
        <w:tc>
          <w:tcPr>
            <w:tcW w:w="616" w:type="pct"/>
            <w:tcMar>
              <w:left w:w="28" w:type="dxa"/>
              <w:right w:w="28" w:type="dxa"/>
            </w:tcMar>
            <w:vAlign w:val="center"/>
          </w:tcPr>
          <w:p w14:paraId="1956CB0A">
            <w:pPr>
              <w:pStyle w:val="13"/>
              <w:rPr>
                <w:b/>
                <w:bCs/>
                <w:color w:val="auto"/>
                <w:highlight w:val="none"/>
              </w:rPr>
            </w:pPr>
            <w:r>
              <w:rPr>
                <w:b/>
                <w:bCs/>
                <w:color w:val="auto"/>
                <w:highlight w:val="none"/>
              </w:rPr>
              <w:t>本项目排放量</w:t>
            </w:r>
            <w:r>
              <w:rPr>
                <w:rFonts w:hint="eastAsia"/>
                <w:b/>
                <w:bCs/>
                <w:color w:val="auto"/>
                <w:highlight w:val="none"/>
              </w:rPr>
              <w:t>（</w:t>
            </w:r>
            <w:r>
              <w:rPr>
                <w:b/>
                <w:bCs/>
                <w:color w:val="auto"/>
                <w:highlight w:val="none"/>
              </w:rPr>
              <w:t>固体废物产生量</w:t>
            </w:r>
            <w:r>
              <w:rPr>
                <w:rFonts w:hint="eastAsia"/>
                <w:b/>
                <w:bCs/>
                <w:color w:val="auto"/>
                <w:highlight w:val="none"/>
              </w:rPr>
              <w:t>）</w:t>
            </w:r>
            <w:r>
              <w:rPr>
                <w:b/>
                <w:bCs/>
                <w:color w:val="auto"/>
                <w:highlight w:val="none"/>
              </w:rPr>
              <w:fldChar w:fldCharType="begin"/>
            </w:r>
            <w:r>
              <w:rPr>
                <w:b/>
                <w:bCs/>
                <w:color w:val="auto"/>
                <w:highlight w:val="none"/>
              </w:rPr>
              <w:instrText xml:space="preserve"> = 4 \* GB3 \* MERGEFORMAT </w:instrText>
            </w:r>
            <w:r>
              <w:rPr>
                <w:b/>
                <w:bCs/>
                <w:color w:val="auto"/>
                <w:highlight w:val="none"/>
              </w:rPr>
              <w:fldChar w:fldCharType="separate"/>
            </w:r>
            <w:r>
              <w:rPr>
                <w:b/>
                <w:bCs/>
                <w:color w:val="auto"/>
                <w:highlight w:val="none"/>
              </w:rPr>
              <w:t>④</w:t>
            </w:r>
            <w:r>
              <w:rPr>
                <w:b/>
                <w:bCs/>
                <w:color w:val="auto"/>
                <w:highlight w:val="none"/>
              </w:rPr>
              <w:fldChar w:fldCharType="end"/>
            </w:r>
          </w:p>
        </w:tc>
        <w:tc>
          <w:tcPr>
            <w:tcW w:w="651" w:type="pct"/>
            <w:tcMar>
              <w:left w:w="28" w:type="dxa"/>
              <w:right w:w="28" w:type="dxa"/>
            </w:tcMar>
            <w:vAlign w:val="center"/>
          </w:tcPr>
          <w:p w14:paraId="31B7F256">
            <w:pPr>
              <w:pStyle w:val="13"/>
              <w:rPr>
                <w:b/>
                <w:bCs/>
                <w:color w:val="auto"/>
                <w:highlight w:val="none"/>
              </w:rPr>
            </w:pPr>
            <w:r>
              <w:rPr>
                <w:b/>
                <w:bCs/>
                <w:color w:val="auto"/>
                <w:highlight w:val="none"/>
              </w:rPr>
              <w:t>以新带老削减量</w:t>
            </w:r>
            <w:r>
              <w:rPr>
                <w:rFonts w:hint="eastAsia"/>
                <w:b/>
                <w:bCs/>
                <w:color w:val="auto"/>
                <w:highlight w:val="none"/>
              </w:rPr>
              <w:t>（</w:t>
            </w:r>
            <w:r>
              <w:rPr>
                <w:b/>
                <w:bCs/>
                <w:color w:val="auto"/>
                <w:highlight w:val="none"/>
              </w:rPr>
              <w:t>新建项目不填</w:t>
            </w:r>
            <w:r>
              <w:rPr>
                <w:rFonts w:hint="eastAsia"/>
                <w:b/>
                <w:bCs/>
                <w:color w:val="auto"/>
                <w:highlight w:val="none"/>
              </w:rPr>
              <w:t>）</w:t>
            </w:r>
            <w:r>
              <w:rPr>
                <w:b/>
                <w:bCs/>
                <w:color w:val="auto"/>
                <w:highlight w:val="none"/>
              </w:rPr>
              <w:fldChar w:fldCharType="begin"/>
            </w:r>
            <w:r>
              <w:rPr>
                <w:b/>
                <w:bCs/>
                <w:color w:val="auto"/>
                <w:highlight w:val="none"/>
              </w:rPr>
              <w:instrText xml:space="preserve"> = 5 \* GB3 \* MERGEFORMAT </w:instrText>
            </w:r>
            <w:r>
              <w:rPr>
                <w:b/>
                <w:bCs/>
                <w:color w:val="auto"/>
                <w:highlight w:val="none"/>
              </w:rPr>
              <w:fldChar w:fldCharType="separate"/>
            </w:r>
            <w:r>
              <w:rPr>
                <w:b/>
                <w:bCs/>
                <w:color w:val="auto"/>
                <w:highlight w:val="none"/>
              </w:rPr>
              <w:t>⑤</w:t>
            </w:r>
            <w:r>
              <w:rPr>
                <w:b/>
                <w:bCs/>
                <w:color w:val="auto"/>
                <w:highlight w:val="none"/>
              </w:rPr>
              <w:fldChar w:fldCharType="end"/>
            </w:r>
          </w:p>
        </w:tc>
        <w:tc>
          <w:tcPr>
            <w:tcW w:w="809" w:type="pct"/>
            <w:tcMar>
              <w:left w:w="28" w:type="dxa"/>
              <w:right w:w="28" w:type="dxa"/>
            </w:tcMar>
            <w:vAlign w:val="center"/>
          </w:tcPr>
          <w:p w14:paraId="78D88D74">
            <w:pPr>
              <w:pStyle w:val="13"/>
              <w:rPr>
                <w:b/>
                <w:bCs/>
                <w:color w:val="auto"/>
                <w:highlight w:val="none"/>
              </w:rPr>
            </w:pPr>
            <w:r>
              <w:rPr>
                <w:b/>
                <w:bCs/>
                <w:color w:val="auto"/>
                <w:highlight w:val="none"/>
              </w:rPr>
              <w:t>本项目建成后全厂排放量</w:t>
            </w:r>
            <w:r>
              <w:rPr>
                <w:rFonts w:hint="eastAsia"/>
                <w:b/>
                <w:bCs/>
                <w:color w:val="auto"/>
                <w:highlight w:val="none"/>
              </w:rPr>
              <w:t>（</w:t>
            </w:r>
            <w:r>
              <w:rPr>
                <w:b/>
                <w:bCs/>
                <w:color w:val="auto"/>
                <w:highlight w:val="none"/>
              </w:rPr>
              <w:t>固体废物产生量</w:t>
            </w:r>
            <w:r>
              <w:rPr>
                <w:rFonts w:hint="eastAsia"/>
                <w:b/>
                <w:bCs/>
                <w:color w:val="auto"/>
                <w:highlight w:val="none"/>
              </w:rPr>
              <w:t>）</w:t>
            </w:r>
            <w:r>
              <w:rPr>
                <w:b/>
                <w:bCs/>
                <w:color w:val="auto"/>
                <w:highlight w:val="none"/>
              </w:rPr>
              <w:fldChar w:fldCharType="begin"/>
            </w:r>
            <w:r>
              <w:rPr>
                <w:b/>
                <w:bCs/>
                <w:color w:val="auto"/>
                <w:highlight w:val="none"/>
              </w:rPr>
              <w:instrText xml:space="preserve"> = 6 \* GB3 \* MERGEFORMAT </w:instrText>
            </w:r>
            <w:r>
              <w:rPr>
                <w:b/>
                <w:bCs/>
                <w:color w:val="auto"/>
                <w:highlight w:val="none"/>
              </w:rPr>
              <w:fldChar w:fldCharType="separate"/>
            </w:r>
            <w:r>
              <w:rPr>
                <w:b/>
                <w:bCs/>
                <w:color w:val="auto"/>
                <w:highlight w:val="none"/>
              </w:rPr>
              <w:t>⑥</w:t>
            </w:r>
            <w:r>
              <w:rPr>
                <w:b/>
                <w:bCs/>
                <w:color w:val="auto"/>
                <w:highlight w:val="none"/>
              </w:rPr>
              <w:fldChar w:fldCharType="end"/>
            </w:r>
          </w:p>
        </w:tc>
        <w:tc>
          <w:tcPr>
            <w:tcW w:w="382" w:type="pct"/>
            <w:tcMar>
              <w:left w:w="28" w:type="dxa"/>
              <w:right w:w="28" w:type="dxa"/>
            </w:tcMar>
            <w:vAlign w:val="center"/>
          </w:tcPr>
          <w:p w14:paraId="26B78E88">
            <w:pPr>
              <w:pStyle w:val="13"/>
              <w:rPr>
                <w:b/>
                <w:bCs/>
                <w:color w:val="auto"/>
                <w:highlight w:val="none"/>
              </w:rPr>
            </w:pPr>
            <w:r>
              <w:rPr>
                <w:b/>
                <w:bCs/>
                <w:color w:val="auto"/>
                <w:highlight w:val="none"/>
              </w:rPr>
              <w:t>变化量</w:t>
            </w:r>
            <w:r>
              <w:rPr>
                <w:b/>
                <w:bCs/>
                <w:color w:val="auto"/>
                <w:highlight w:val="none"/>
              </w:rPr>
              <w:fldChar w:fldCharType="begin"/>
            </w:r>
            <w:r>
              <w:rPr>
                <w:b/>
                <w:bCs/>
                <w:color w:val="auto"/>
                <w:highlight w:val="none"/>
              </w:rPr>
              <w:instrText xml:space="preserve"> = 7 \* GB3 \* MERGEFORMAT </w:instrText>
            </w:r>
            <w:r>
              <w:rPr>
                <w:b/>
                <w:bCs/>
                <w:color w:val="auto"/>
                <w:highlight w:val="none"/>
              </w:rPr>
              <w:fldChar w:fldCharType="separate"/>
            </w:r>
            <w:r>
              <w:rPr>
                <w:b/>
                <w:bCs/>
                <w:color w:val="auto"/>
                <w:highlight w:val="none"/>
              </w:rPr>
              <w:t>⑦</w:t>
            </w:r>
            <w:r>
              <w:rPr>
                <w:b/>
                <w:bCs/>
                <w:color w:val="auto"/>
                <w:highlight w:val="none"/>
              </w:rPr>
              <w:fldChar w:fldCharType="end"/>
            </w:r>
          </w:p>
        </w:tc>
      </w:tr>
      <w:tr w14:paraId="7E2B38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51" w:type="pct"/>
            <w:vMerge w:val="restart"/>
            <w:vAlign w:val="center"/>
          </w:tcPr>
          <w:p w14:paraId="3F4CC1AA">
            <w:pPr>
              <w:pStyle w:val="13"/>
              <w:rPr>
                <w:color w:val="auto"/>
                <w:highlight w:val="none"/>
              </w:rPr>
            </w:pPr>
            <w:r>
              <w:rPr>
                <w:color w:val="auto"/>
                <w:highlight w:val="none"/>
              </w:rPr>
              <w:t>废气</w:t>
            </w:r>
          </w:p>
        </w:tc>
        <w:tc>
          <w:tcPr>
            <w:tcW w:w="535" w:type="pct"/>
            <w:vAlign w:val="center"/>
          </w:tcPr>
          <w:p w14:paraId="7EAE71CB">
            <w:pPr>
              <w:pStyle w:val="13"/>
              <w:rPr>
                <w:color w:val="auto"/>
                <w:highlight w:val="none"/>
              </w:rPr>
            </w:pPr>
            <w:r>
              <w:rPr>
                <w:color w:val="auto"/>
                <w:highlight w:val="none"/>
              </w:rPr>
              <w:t>颗粒物</w:t>
            </w:r>
          </w:p>
        </w:tc>
        <w:tc>
          <w:tcPr>
            <w:tcW w:w="672" w:type="pct"/>
            <w:vAlign w:val="center"/>
          </w:tcPr>
          <w:p w14:paraId="05506D30">
            <w:pPr>
              <w:pStyle w:val="13"/>
              <w:ind w:firstLine="0" w:firstLineChars="0"/>
              <w:rPr>
                <w:color w:val="auto"/>
                <w:highlight w:val="none"/>
              </w:rPr>
            </w:pPr>
            <w:r>
              <w:rPr>
                <w:rFonts w:hint="eastAsia"/>
                <w:color w:val="auto"/>
                <w:highlight w:val="none"/>
              </w:rPr>
              <w:t>/</w:t>
            </w:r>
          </w:p>
        </w:tc>
        <w:tc>
          <w:tcPr>
            <w:tcW w:w="419" w:type="pct"/>
            <w:vAlign w:val="center"/>
          </w:tcPr>
          <w:p w14:paraId="79798866">
            <w:pPr>
              <w:pStyle w:val="13"/>
              <w:ind w:firstLine="0" w:firstLineChars="0"/>
              <w:rPr>
                <w:color w:val="auto"/>
                <w:highlight w:val="none"/>
              </w:rPr>
            </w:pPr>
            <w:r>
              <w:rPr>
                <w:rFonts w:hint="eastAsia"/>
                <w:color w:val="auto"/>
                <w:highlight w:val="none"/>
              </w:rPr>
              <w:t>/</w:t>
            </w:r>
          </w:p>
        </w:tc>
        <w:tc>
          <w:tcPr>
            <w:tcW w:w="661" w:type="pct"/>
            <w:vAlign w:val="center"/>
          </w:tcPr>
          <w:p w14:paraId="4672B993">
            <w:pPr>
              <w:pStyle w:val="13"/>
              <w:ind w:firstLine="0" w:firstLineChars="0"/>
              <w:rPr>
                <w:color w:val="auto"/>
                <w:highlight w:val="none"/>
              </w:rPr>
            </w:pPr>
            <w:r>
              <w:rPr>
                <w:rFonts w:hint="eastAsia"/>
                <w:color w:val="auto"/>
                <w:highlight w:val="none"/>
              </w:rPr>
              <w:t>/</w:t>
            </w:r>
          </w:p>
        </w:tc>
        <w:tc>
          <w:tcPr>
            <w:tcW w:w="616" w:type="pct"/>
            <w:vAlign w:val="center"/>
          </w:tcPr>
          <w:p w14:paraId="3A461472">
            <w:pPr>
              <w:pStyle w:val="13"/>
              <w:rPr>
                <w:rFonts w:hint="default" w:eastAsia="宋体"/>
                <w:color w:val="auto"/>
                <w:highlight w:val="none"/>
                <w:lang w:val="en-US" w:eastAsia="zh-CN"/>
              </w:rPr>
            </w:pPr>
            <w:r>
              <w:rPr>
                <w:rFonts w:hint="eastAsia"/>
                <w:color w:val="auto"/>
                <w:highlight w:val="none"/>
              </w:rPr>
              <w:t>0.86</w:t>
            </w:r>
            <w:r>
              <w:rPr>
                <w:rFonts w:hint="eastAsia"/>
                <w:color w:val="auto"/>
                <w:highlight w:val="none"/>
                <w:lang w:val="en-US" w:eastAsia="zh-CN"/>
              </w:rPr>
              <w:t>36</w:t>
            </w:r>
          </w:p>
        </w:tc>
        <w:tc>
          <w:tcPr>
            <w:tcW w:w="651" w:type="pct"/>
            <w:vAlign w:val="center"/>
          </w:tcPr>
          <w:p w14:paraId="2D8B1D4D">
            <w:pPr>
              <w:pStyle w:val="13"/>
              <w:ind w:firstLine="0" w:firstLineChars="0"/>
              <w:rPr>
                <w:color w:val="auto"/>
                <w:highlight w:val="none"/>
              </w:rPr>
            </w:pPr>
            <w:r>
              <w:rPr>
                <w:rFonts w:hint="eastAsia"/>
                <w:color w:val="auto"/>
                <w:highlight w:val="none"/>
              </w:rPr>
              <w:t>/</w:t>
            </w:r>
          </w:p>
        </w:tc>
        <w:tc>
          <w:tcPr>
            <w:tcW w:w="809" w:type="pct"/>
            <w:vAlign w:val="center"/>
          </w:tcPr>
          <w:p w14:paraId="4CEFDC2D">
            <w:pPr>
              <w:pStyle w:val="13"/>
              <w:rPr>
                <w:color w:val="auto"/>
                <w:highlight w:val="none"/>
              </w:rPr>
            </w:pPr>
            <w:r>
              <w:rPr>
                <w:rFonts w:hint="eastAsia"/>
                <w:color w:val="auto"/>
                <w:highlight w:val="none"/>
              </w:rPr>
              <w:t>0.86</w:t>
            </w:r>
            <w:r>
              <w:rPr>
                <w:rFonts w:hint="eastAsia"/>
                <w:color w:val="auto"/>
                <w:highlight w:val="none"/>
                <w:lang w:val="en-US" w:eastAsia="zh-CN"/>
              </w:rPr>
              <w:t>36</w:t>
            </w:r>
          </w:p>
        </w:tc>
        <w:tc>
          <w:tcPr>
            <w:tcW w:w="382" w:type="pct"/>
            <w:vAlign w:val="center"/>
          </w:tcPr>
          <w:p w14:paraId="28DE95F2">
            <w:pPr>
              <w:pStyle w:val="13"/>
              <w:rPr>
                <w:color w:val="auto"/>
                <w:highlight w:val="none"/>
              </w:rPr>
            </w:pPr>
            <w:r>
              <w:rPr>
                <w:rFonts w:hint="eastAsia"/>
                <w:color w:val="auto"/>
                <w:highlight w:val="none"/>
              </w:rPr>
              <w:t>+0.86</w:t>
            </w:r>
            <w:r>
              <w:rPr>
                <w:rFonts w:hint="eastAsia"/>
                <w:color w:val="auto"/>
                <w:highlight w:val="none"/>
                <w:lang w:val="en-US" w:eastAsia="zh-CN"/>
              </w:rPr>
              <w:t>36</w:t>
            </w:r>
          </w:p>
        </w:tc>
      </w:tr>
      <w:tr w14:paraId="67A734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51" w:type="pct"/>
            <w:vMerge w:val="continue"/>
            <w:vAlign w:val="center"/>
          </w:tcPr>
          <w:p w14:paraId="05A7750B">
            <w:pPr>
              <w:pStyle w:val="13"/>
              <w:rPr>
                <w:color w:val="auto"/>
                <w:highlight w:val="none"/>
              </w:rPr>
            </w:pPr>
          </w:p>
        </w:tc>
        <w:tc>
          <w:tcPr>
            <w:tcW w:w="535" w:type="pct"/>
            <w:vAlign w:val="center"/>
          </w:tcPr>
          <w:p w14:paraId="5DEACD85">
            <w:pPr>
              <w:pStyle w:val="13"/>
              <w:rPr>
                <w:rFonts w:hint="eastAsia" w:eastAsia="宋体"/>
                <w:color w:val="auto"/>
                <w:highlight w:val="none"/>
                <w:lang w:val="en-US" w:eastAsia="zh-CN"/>
              </w:rPr>
            </w:pPr>
            <w:r>
              <w:rPr>
                <w:rFonts w:hint="eastAsia"/>
                <w:color w:val="auto"/>
                <w:highlight w:val="none"/>
                <w:lang w:val="en-US" w:eastAsia="zh-CN"/>
              </w:rPr>
              <w:t>二氧化硫</w:t>
            </w:r>
          </w:p>
        </w:tc>
        <w:tc>
          <w:tcPr>
            <w:tcW w:w="672" w:type="pct"/>
            <w:vAlign w:val="center"/>
          </w:tcPr>
          <w:p w14:paraId="1171F178">
            <w:pPr>
              <w:pStyle w:val="13"/>
              <w:ind w:firstLine="0" w:firstLineChars="0"/>
              <w:rPr>
                <w:rFonts w:hint="eastAsia"/>
                <w:color w:val="auto"/>
                <w:highlight w:val="none"/>
              </w:rPr>
            </w:pPr>
            <w:r>
              <w:rPr>
                <w:rFonts w:hint="eastAsia"/>
                <w:color w:val="auto"/>
                <w:highlight w:val="none"/>
              </w:rPr>
              <w:t>/</w:t>
            </w:r>
          </w:p>
        </w:tc>
        <w:tc>
          <w:tcPr>
            <w:tcW w:w="419" w:type="pct"/>
            <w:vAlign w:val="center"/>
          </w:tcPr>
          <w:p w14:paraId="476B67C9">
            <w:pPr>
              <w:pStyle w:val="13"/>
              <w:ind w:firstLine="0" w:firstLineChars="0"/>
              <w:rPr>
                <w:rFonts w:hint="eastAsia"/>
                <w:color w:val="auto"/>
                <w:highlight w:val="none"/>
              </w:rPr>
            </w:pPr>
            <w:r>
              <w:rPr>
                <w:rFonts w:hint="eastAsia"/>
                <w:color w:val="auto"/>
                <w:highlight w:val="none"/>
              </w:rPr>
              <w:t>/</w:t>
            </w:r>
          </w:p>
        </w:tc>
        <w:tc>
          <w:tcPr>
            <w:tcW w:w="661" w:type="pct"/>
            <w:vAlign w:val="center"/>
          </w:tcPr>
          <w:p w14:paraId="072A7149">
            <w:pPr>
              <w:pStyle w:val="13"/>
              <w:ind w:firstLine="0" w:firstLineChars="0"/>
              <w:rPr>
                <w:rFonts w:hint="eastAsia"/>
                <w:color w:val="auto"/>
                <w:highlight w:val="none"/>
              </w:rPr>
            </w:pPr>
            <w:r>
              <w:rPr>
                <w:rFonts w:hint="eastAsia"/>
                <w:color w:val="auto"/>
                <w:highlight w:val="none"/>
              </w:rPr>
              <w:t>/</w:t>
            </w:r>
          </w:p>
        </w:tc>
        <w:tc>
          <w:tcPr>
            <w:tcW w:w="616" w:type="pct"/>
            <w:vAlign w:val="center"/>
          </w:tcPr>
          <w:p w14:paraId="1D05CE27">
            <w:pPr>
              <w:pStyle w:val="13"/>
              <w:bidi w:val="0"/>
              <w:rPr>
                <w:rFonts w:hint="eastAsia"/>
                <w:color w:val="auto"/>
                <w:highlight w:val="none"/>
              </w:rPr>
            </w:pPr>
            <w:r>
              <w:rPr>
                <w:rFonts w:hint="eastAsia"/>
                <w:color w:val="auto"/>
                <w:highlight w:val="none"/>
                <w:lang w:val="en-US" w:eastAsia="zh-CN"/>
              </w:rPr>
              <w:t>0.051</w:t>
            </w:r>
          </w:p>
        </w:tc>
        <w:tc>
          <w:tcPr>
            <w:tcW w:w="651" w:type="pct"/>
            <w:vAlign w:val="center"/>
          </w:tcPr>
          <w:p w14:paraId="7ED07F93">
            <w:pPr>
              <w:pStyle w:val="13"/>
              <w:ind w:firstLine="0" w:firstLineChars="0"/>
              <w:rPr>
                <w:rFonts w:hint="eastAsia"/>
                <w:color w:val="auto"/>
                <w:highlight w:val="none"/>
              </w:rPr>
            </w:pPr>
            <w:r>
              <w:rPr>
                <w:rFonts w:hint="eastAsia"/>
                <w:color w:val="auto"/>
                <w:highlight w:val="none"/>
              </w:rPr>
              <w:t>/</w:t>
            </w:r>
          </w:p>
        </w:tc>
        <w:tc>
          <w:tcPr>
            <w:tcW w:w="809" w:type="pct"/>
            <w:shd w:val="clear" w:color="auto" w:fill="auto"/>
            <w:vAlign w:val="center"/>
          </w:tcPr>
          <w:p w14:paraId="3288F1FF">
            <w:pPr>
              <w:pStyle w:val="13"/>
              <w:bidi w:val="0"/>
              <w:ind w:firstLine="0" w:firstLineChars="0"/>
              <w:rPr>
                <w:rFonts w:hint="eastAsia" w:ascii="Times New Roman" w:hAnsi="Times New Roman" w:eastAsia="宋体" w:cstheme="minorBidi"/>
                <w:color w:val="auto"/>
                <w:kern w:val="2"/>
                <w:sz w:val="21"/>
                <w:szCs w:val="21"/>
                <w:highlight w:val="none"/>
                <w:lang w:val="en-US" w:eastAsia="zh-CN" w:bidi="ar-SA"/>
              </w:rPr>
            </w:pPr>
            <w:r>
              <w:rPr>
                <w:rFonts w:hint="eastAsia"/>
                <w:color w:val="auto"/>
                <w:highlight w:val="none"/>
                <w:lang w:val="en-US" w:eastAsia="zh-CN"/>
              </w:rPr>
              <w:t>0.051</w:t>
            </w:r>
          </w:p>
        </w:tc>
        <w:tc>
          <w:tcPr>
            <w:tcW w:w="382" w:type="pct"/>
            <w:shd w:val="clear" w:color="auto" w:fill="auto"/>
            <w:vAlign w:val="center"/>
          </w:tcPr>
          <w:p w14:paraId="36795673">
            <w:pPr>
              <w:pStyle w:val="13"/>
              <w:bidi w:val="0"/>
              <w:ind w:firstLine="0" w:firstLineChars="0"/>
              <w:rPr>
                <w:rFonts w:hint="eastAsia" w:ascii="Times New Roman" w:hAnsi="Times New Roman" w:eastAsia="宋体" w:cstheme="minorBidi"/>
                <w:color w:val="auto"/>
                <w:kern w:val="2"/>
                <w:sz w:val="21"/>
                <w:szCs w:val="21"/>
                <w:highlight w:val="none"/>
                <w:lang w:val="en-US" w:eastAsia="zh-CN" w:bidi="ar-SA"/>
              </w:rPr>
            </w:pPr>
            <w:r>
              <w:rPr>
                <w:rFonts w:hint="eastAsia"/>
                <w:color w:val="auto"/>
                <w:highlight w:val="none"/>
                <w:lang w:val="en-US" w:eastAsia="zh-CN"/>
              </w:rPr>
              <w:t>+0.051</w:t>
            </w:r>
          </w:p>
        </w:tc>
      </w:tr>
      <w:tr w14:paraId="47FF6A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51" w:type="pct"/>
            <w:vMerge w:val="continue"/>
            <w:vAlign w:val="center"/>
          </w:tcPr>
          <w:p w14:paraId="1E93425C">
            <w:pPr>
              <w:pStyle w:val="13"/>
              <w:rPr>
                <w:color w:val="auto"/>
                <w:highlight w:val="none"/>
              </w:rPr>
            </w:pPr>
          </w:p>
        </w:tc>
        <w:tc>
          <w:tcPr>
            <w:tcW w:w="535" w:type="pct"/>
            <w:vAlign w:val="center"/>
          </w:tcPr>
          <w:p w14:paraId="795F6B66">
            <w:pPr>
              <w:pStyle w:val="13"/>
              <w:rPr>
                <w:rFonts w:hint="eastAsia" w:eastAsia="宋体"/>
                <w:color w:val="auto"/>
                <w:highlight w:val="none"/>
                <w:lang w:val="en-US" w:eastAsia="zh-CN"/>
              </w:rPr>
            </w:pPr>
            <w:r>
              <w:rPr>
                <w:rFonts w:hint="eastAsia"/>
                <w:color w:val="auto"/>
                <w:highlight w:val="none"/>
                <w:lang w:val="en-US" w:eastAsia="zh-CN"/>
              </w:rPr>
              <w:t>氮氧化物</w:t>
            </w:r>
          </w:p>
        </w:tc>
        <w:tc>
          <w:tcPr>
            <w:tcW w:w="672" w:type="pct"/>
            <w:vAlign w:val="center"/>
          </w:tcPr>
          <w:p w14:paraId="5ECF094C">
            <w:pPr>
              <w:pStyle w:val="13"/>
              <w:ind w:firstLine="0" w:firstLineChars="0"/>
              <w:rPr>
                <w:rFonts w:hint="eastAsia"/>
                <w:color w:val="auto"/>
                <w:highlight w:val="none"/>
              </w:rPr>
            </w:pPr>
            <w:r>
              <w:rPr>
                <w:rFonts w:hint="eastAsia"/>
                <w:color w:val="auto"/>
                <w:highlight w:val="none"/>
              </w:rPr>
              <w:t>/</w:t>
            </w:r>
          </w:p>
        </w:tc>
        <w:tc>
          <w:tcPr>
            <w:tcW w:w="419" w:type="pct"/>
            <w:vAlign w:val="center"/>
          </w:tcPr>
          <w:p w14:paraId="2C2FA294">
            <w:pPr>
              <w:pStyle w:val="13"/>
              <w:ind w:firstLine="0" w:firstLineChars="0"/>
              <w:rPr>
                <w:rFonts w:hint="eastAsia"/>
                <w:color w:val="auto"/>
                <w:highlight w:val="none"/>
              </w:rPr>
            </w:pPr>
            <w:r>
              <w:rPr>
                <w:rFonts w:hint="eastAsia"/>
                <w:color w:val="auto"/>
                <w:highlight w:val="none"/>
              </w:rPr>
              <w:t>/</w:t>
            </w:r>
          </w:p>
        </w:tc>
        <w:tc>
          <w:tcPr>
            <w:tcW w:w="661" w:type="pct"/>
            <w:vAlign w:val="center"/>
          </w:tcPr>
          <w:p w14:paraId="04B7ADCE">
            <w:pPr>
              <w:pStyle w:val="13"/>
              <w:ind w:firstLine="0" w:firstLineChars="0"/>
              <w:rPr>
                <w:rFonts w:hint="eastAsia"/>
                <w:color w:val="auto"/>
                <w:highlight w:val="none"/>
              </w:rPr>
            </w:pPr>
            <w:r>
              <w:rPr>
                <w:rFonts w:hint="eastAsia"/>
                <w:color w:val="auto"/>
                <w:highlight w:val="none"/>
              </w:rPr>
              <w:t>/</w:t>
            </w:r>
          </w:p>
        </w:tc>
        <w:tc>
          <w:tcPr>
            <w:tcW w:w="616" w:type="pct"/>
            <w:vAlign w:val="center"/>
          </w:tcPr>
          <w:p w14:paraId="4798CB1A">
            <w:pPr>
              <w:pStyle w:val="13"/>
              <w:bidi w:val="0"/>
              <w:rPr>
                <w:rFonts w:hint="eastAsia"/>
                <w:color w:val="auto"/>
                <w:highlight w:val="none"/>
              </w:rPr>
            </w:pPr>
            <w:r>
              <w:rPr>
                <w:rFonts w:hint="eastAsia"/>
                <w:color w:val="auto"/>
                <w:highlight w:val="none"/>
                <w:lang w:val="en-US" w:eastAsia="zh-CN"/>
              </w:rPr>
              <w:t>0.0765</w:t>
            </w:r>
          </w:p>
        </w:tc>
        <w:tc>
          <w:tcPr>
            <w:tcW w:w="651" w:type="pct"/>
            <w:vAlign w:val="center"/>
          </w:tcPr>
          <w:p w14:paraId="40A946DA">
            <w:pPr>
              <w:pStyle w:val="13"/>
              <w:ind w:firstLine="0" w:firstLineChars="0"/>
              <w:rPr>
                <w:rFonts w:hint="eastAsia"/>
                <w:color w:val="auto"/>
                <w:highlight w:val="none"/>
              </w:rPr>
            </w:pPr>
            <w:r>
              <w:rPr>
                <w:rFonts w:hint="eastAsia"/>
                <w:color w:val="auto"/>
                <w:highlight w:val="none"/>
              </w:rPr>
              <w:t>/</w:t>
            </w:r>
          </w:p>
        </w:tc>
        <w:tc>
          <w:tcPr>
            <w:tcW w:w="809" w:type="pct"/>
            <w:shd w:val="clear" w:color="auto" w:fill="auto"/>
            <w:vAlign w:val="center"/>
          </w:tcPr>
          <w:p w14:paraId="2D070753">
            <w:pPr>
              <w:pStyle w:val="13"/>
              <w:bidi w:val="0"/>
              <w:ind w:firstLine="0" w:firstLineChars="0"/>
              <w:rPr>
                <w:rFonts w:hint="eastAsia" w:ascii="Times New Roman" w:hAnsi="Times New Roman" w:eastAsia="宋体" w:cstheme="minorBidi"/>
                <w:color w:val="auto"/>
                <w:kern w:val="2"/>
                <w:sz w:val="21"/>
                <w:szCs w:val="21"/>
                <w:highlight w:val="none"/>
                <w:lang w:val="en-US" w:eastAsia="zh-CN" w:bidi="ar-SA"/>
              </w:rPr>
            </w:pPr>
            <w:r>
              <w:rPr>
                <w:rFonts w:hint="eastAsia"/>
                <w:color w:val="auto"/>
                <w:highlight w:val="none"/>
                <w:lang w:val="en-US" w:eastAsia="zh-CN"/>
              </w:rPr>
              <w:t>0.0765</w:t>
            </w:r>
          </w:p>
        </w:tc>
        <w:tc>
          <w:tcPr>
            <w:tcW w:w="382" w:type="pct"/>
            <w:shd w:val="clear" w:color="auto" w:fill="auto"/>
            <w:vAlign w:val="center"/>
          </w:tcPr>
          <w:p w14:paraId="34C3616C">
            <w:pPr>
              <w:pStyle w:val="13"/>
              <w:bidi w:val="0"/>
              <w:ind w:firstLine="0" w:firstLineChars="0"/>
              <w:rPr>
                <w:rFonts w:hint="eastAsia" w:ascii="Times New Roman" w:hAnsi="Times New Roman" w:eastAsia="宋体" w:cstheme="minorBidi"/>
                <w:color w:val="auto"/>
                <w:kern w:val="2"/>
                <w:sz w:val="21"/>
                <w:szCs w:val="21"/>
                <w:highlight w:val="none"/>
                <w:lang w:val="en-US" w:eastAsia="zh-CN" w:bidi="ar-SA"/>
              </w:rPr>
            </w:pPr>
            <w:r>
              <w:rPr>
                <w:rFonts w:hint="eastAsia"/>
                <w:color w:val="auto"/>
                <w:highlight w:val="none"/>
                <w:lang w:val="en-US" w:eastAsia="zh-CN"/>
              </w:rPr>
              <w:t>+0.0765</w:t>
            </w:r>
          </w:p>
        </w:tc>
      </w:tr>
      <w:tr w14:paraId="3669D2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51" w:type="pct"/>
            <w:vMerge w:val="restart"/>
            <w:vAlign w:val="center"/>
          </w:tcPr>
          <w:p w14:paraId="5B21CEA6">
            <w:pPr>
              <w:pStyle w:val="13"/>
              <w:rPr>
                <w:color w:val="auto"/>
                <w:highlight w:val="none"/>
              </w:rPr>
            </w:pPr>
            <w:r>
              <w:rPr>
                <w:rFonts w:hint="eastAsia"/>
                <w:color w:val="auto"/>
                <w:highlight w:val="none"/>
              </w:rPr>
              <w:t>废水</w:t>
            </w:r>
          </w:p>
        </w:tc>
        <w:tc>
          <w:tcPr>
            <w:tcW w:w="535" w:type="pct"/>
            <w:vAlign w:val="center"/>
          </w:tcPr>
          <w:p w14:paraId="3B0190BE">
            <w:pPr>
              <w:pStyle w:val="13"/>
              <w:rPr>
                <w:color w:val="auto"/>
                <w:highlight w:val="none"/>
              </w:rPr>
            </w:pPr>
            <w:r>
              <w:rPr>
                <w:color w:val="auto"/>
                <w:highlight w:val="none"/>
              </w:rPr>
              <w:t>COD</w:t>
            </w:r>
          </w:p>
        </w:tc>
        <w:tc>
          <w:tcPr>
            <w:tcW w:w="672" w:type="pct"/>
            <w:vAlign w:val="center"/>
          </w:tcPr>
          <w:p w14:paraId="461AAC14">
            <w:pPr>
              <w:pStyle w:val="13"/>
              <w:rPr>
                <w:color w:val="auto"/>
                <w:highlight w:val="none"/>
              </w:rPr>
            </w:pPr>
            <w:r>
              <w:rPr>
                <w:rFonts w:hint="eastAsia"/>
                <w:color w:val="auto"/>
                <w:highlight w:val="none"/>
              </w:rPr>
              <w:t>/</w:t>
            </w:r>
          </w:p>
        </w:tc>
        <w:tc>
          <w:tcPr>
            <w:tcW w:w="419" w:type="pct"/>
            <w:vAlign w:val="center"/>
          </w:tcPr>
          <w:p w14:paraId="08485A0E">
            <w:pPr>
              <w:pStyle w:val="13"/>
              <w:rPr>
                <w:color w:val="auto"/>
                <w:highlight w:val="none"/>
              </w:rPr>
            </w:pPr>
            <w:r>
              <w:rPr>
                <w:rFonts w:hint="eastAsia"/>
                <w:color w:val="auto"/>
                <w:highlight w:val="none"/>
              </w:rPr>
              <w:t>/</w:t>
            </w:r>
          </w:p>
        </w:tc>
        <w:tc>
          <w:tcPr>
            <w:tcW w:w="661" w:type="pct"/>
            <w:vAlign w:val="center"/>
          </w:tcPr>
          <w:p w14:paraId="5AB375F2">
            <w:pPr>
              <w:pStyle w:val="13"/>
              <w:rPr>
                <w:color w:val="auto"/>
                <w:highlight w:val="none"/>
              </w:rPr>
            </w:pPr>
            <w:r>
              <w:rPr>
                <w:rFonts w:hint="eastAsia"/>
                <w:color w:val="auto"/>
                <w:highlight w:val="none"/>
              </w:rPr>
              <w:t>/</w:t>
            </w:r>
          </w:p>
        </w:tc>
        <w:tc>
          <w:tcPr>
            <w:tcW w:w="616" w:type="pct"/>
            <w:vAlign w:val="center"/>
          </w:tcPr>
          <w:p w14:paraId="31C09ADC">
            <w:pPr>
              <w:pStyle w:val="13"/>
              <w:rPr>
                <w:rFonts w:hint="default" w:eastAsia="宋体"/>
                <w:color w:val="auto"/>
                <w:highlight w:val="none"/>
                <w:lang w:val="en-US" w:eastAsia="zh-CN"/>
              </w:rPr>
            </w:pPr>
            <w:r>
              <w:rPr>
                <w:rFonts w:hint="eastAsia"/>
                <w:color w:val="auto"/>
                <w:highlight w:val="none"/>
              </w:rPr>
              <w:t>0.</w:t>
            </w:r>
            <w:r>
              <w:rPr>
                <w:rFonts w:hint="eastAsia"/>
                <w:color w:val="auto"/>
                <w:highlight w:val="none"/>
                <w:lang w:val="en-US" w:eastAsia="zh-CN"/>
              </w:rPr>
              <w:t>1364</w:t>
            </w:r>
          </w:p>
        </w:tc>
        <w:tc>
          <w:tcPr>
            <w:tcW w:w="651" w:type="pct"/>
            <w:vAlign w:val="center"/>
          </w:tcPr>
          <w:p w14:paraId="4501AA83">
            <w:pPr>
              <w:pStyle w:val="13"/>
              <w:ind w:firstLine="0" w:firstLineChars="0"/>
              <w:rPr>
                <w:color w:val="auto"/>
                <w:highlight w:val="none"/>
              </w:rPr>
            </w:pPr>
            <w:r>
              <w:rPr>
                <w:rFonts w:hint="eastAsia"/>
                <w:color w:val="auto"/>
                <w:highlight w:val="none"/>
              </w:rPr>
              <w:t>/</w:t>
            </w:r>
          </w:p>
        </w:tc>
        <w:tc>
          <w:tcPr>
            <w:tcW w:w="809" w:type="pct"/>
            <w:vAlign w:val="center"/>
          </w:tcPr>
          <w:p w14:paraId="6BF72D18">
            <w:pPr>
              <w:pStyle w:val="13"/>
              <w:rPr>
                <w:color w:val="auto"/>
                <w:highlight w:val="none"/>
              </w:rPr>
            </w:pPr>
            <w:r>
              <w:rPr>
                <w:rFonts w:hint="eastAsia"/>
                <w:color w:val="auto"/>
                <w:highlight w:val="none"/>
              </w:rPr>
              <w:t>0.</w:t>
            </w:r>
            <w:r>
              <w:rPr>
                <w:rFonts w:hint="eastAsia"/>
                <w:color w:val="auto"/>
                <w:highlight w:val="none"/>
                <w:lang w:val="en-US" w:eastAsia="zh-CN"/>
              </w:rPr>
              <w:t>1364</w:t>
            </w:r>
          </w:p>
        </w:tc>
        <w:tc>
          <w:tcPr>
            <w:tcW w:w="382" w:type="pct"/>
            <w:vAlign w:val="center"/>
          </w:tcPr>
          <w:p w14:paraId="0489D2D4">
            <w:pPr>
              <w:pStyle w:val="13"/>
              <w:rPr>
                <w:color w:val="auto"/>
                <w:highlight w:val="none"/>
              </w:rPr>
            </w:pPr>
            <w:r>
              <w:rPr>
                <w:rFonts w:hint="eastAsia"/>
                <w:color w:val="auto"/>
                <w:highlight w:val="none"/>
              </w:rPr>
              <w:t>+0.</w:t>
            </w:r>
            <w:r>
              <w:rPr>
                <w:rFonts w:hint="eastAsia"/>
                <w:color w:val="auto"/>
                <w:highlight w:val="none"/>
                <w:lang w:val="en-US" w:eastAsia="zh-CN"/>
              </w:rPr>
              <w:t>1364</w:t>
            </w:r>
          </w:p>
        </w:tc>
      </w:tr>
      <w:tr w14:paraId="7B764B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51" w:type="pct"/>
            <w:vMerge w:val="continue"/>
            <w:vAlign w:val="center"/>
          </w:tcPr>
          <w:p w14:paraId="14AD128C">
            <w:pPr>
              <w:pStyle w:val="13"/>
              <w:rPr>
                <w:color w:val="auto"/>
                <w:highlight w:val="none"/>
              </w:rPr>
            </w:pPr>
          </w:p>
        </w:tc>
        <w:tc>
          <w:tcPr>
            <w:tcW w:w="535" w:type="pct"/>
            <w:vAlign w:val="center"/>
          </w:tcPr>
          <w:p w14:paraId="4EAD5110">
            <w:pPr>
              <w:pStyle w:val="13"/>
              <w:rPr>
                <w:color w:val="auto"/>
                <w:highlight w:val="none"/>
              </w:rPr>
            </w:pPr>
            <w:r>
              <w:rPr>
                <w:color w:val="auto"/>
                <w:highlight w:val="none"/>
              </w:rPr>
              <w:t>氨氮</w:t>
            </w:r>
          </w:p>
        </w:tc>
        <w:tc>
          <w:tcPr>
            <w:tcW w:w="672" w:type="pct"/>
            <w:vAlign w:val="center"/>
          </w:tcPr>
          <w:p w14:paraId="6A0BA23C">
            <w:pPr>
              <w:pStyle w:val="13"/>
              <w:rPr>
                <w:color w:val="auto"/>
                <w:highlight w:val="none"/>
              </w:rPr>
            </w:pPr>
            <w:r>
              <w:rPr>
                <w:rFonts w:hint="eastAsia"/>
                <w:color w:val="auto"/>
                <w:highlight w:val="none"/>
              </w:rPr>
              <w:t>/</w:t>
            </w:r>
          </w:p>
        </w:tc>
        <w:tc>
          <w:tcPr>
            <w:tcW w:w="419" w:type="pct"/>
            <w:vAlign w:val="center"/>
          </w:tcPr>
          <w:p w14:paraId="5B5BC651">
            <w:pPr>
              <w:pStyle w:val="13"/>
              <w:rPr>
                <w:color w:val="auto"/>
                <w:highlight w:val="none"/>
              </w:rPr>
            </w:pPr>
            <w:r>
              <w:rPr>
                <w:rFonts w:hint="eastAsia"/>
                <w:color w:val="auto"/>
                <w:highlight w:val="none"/>
              </w:rPr>
              <w:t>/</w:t>
            </w:r>
          </w:p>
        </w:tc>
        <w:tc>
          <w:tcPr>
            <w:tcW w:w="661" w:type="pct"/>
            <w:vAlign w:val="center"/>
          </w:tcPr>
          <w:p w14:paraId="6AD3E831">
            <w:pPr>
              <w:pStyle w:val="13"/>
              <w:rPr>
                <w:color w:val="auto"/>
                <w:highlight w:val="none"/>
              </w:rPr>
            </w:pPr>
            <w:r>
              <w:rPr>
                <w:rFonts w:hint="eastAsia"/>
                <w:color w:val="auto"/>
                <w:highlight w:val="none"/>
              </w:rPr>
              <w:t>/</w:t>
            </w:r>
          </w:p>
        </w:tc>
        <w:tc>
          <w:tcPr>
            <w:tcW w:w="616" w:type="pct"/>
            <w:vAlign w:val="center"/>
          </w:tcPr>
          <w:p w14:paraId="5E7F86AD">
            <w:pPr>
              <w:pStyle w:val="13"/>
              <w:rPr>
                <w:rFonts w:hint="default" w:eastAsia="宋体"/>
                <w:color w:val="auto"/>
                <w:highlight w:val="none"/>
                <w:lang w:val="en-US" w:eastAsia="zh-CN"/>
              </w:rPr>
            </w:pPr>
            <w:r>
              <w:rPr>
                <w:rFonts w:hint="eastAsia"/>
                <w:color w:val="auto"/>
                <w:highlight w:val="none"/>
              </w:rPr>
              <w:t>0.01</w:t>
            </w:r>
            <w:r>
              <w:rPr>
                <w:rFonts w:hint="eastAsia"/>
                <w:color w:val="auto"/>
                <w:highlight w:val="none"/>
                <w:lang w:val="en-US" w:eastAsia="zh-CN"/>
              </w:rPr>
              <w:t>09</w:t>
            </w:r>
          </w:p>
        </w:tc>
        <w:tc>
          <w:tcPr>
            <w:tcW w:w="651" w:type="pct"/>
            <w:vAlign w:val="center"/>
          </w:tcPr>
          <w:p w14:paraId="5D5E83D2">
            <w:pPr>
              <w:pStyle w:val="13"/>
              <w:ind w:firstLine="0" w:firstLineChars="0"/>
              <w:rPr>
                <w:color w:val="auto"/>
                <w:highlight w:val="none"/>
              </w:rPr>
            </w:pPr>
            <w:r>
              <w:rPr>
                <w:rFonts w:hint="eastAsia"/>
                <w:color w:val="auto"/>
                <w:highlight w:val="none"/>
              </w:rPr>
              <w:t>/</w:t>
            </w:r>
          </w:p>
        </w:tc>
        <w:tc>
          <w:tcPr>
            <w:tcW w:w="809" w:type="pct"/>
            <w:vAlign w:val="center"/>
          </w:tcPr>
          <w:p w14:paraId="0DF3FB7D">
            <w:pPr>
              <w:pStyle w:val="13"/>
              <w:rPr>
                <w:color w:val="auto"/>
                <w:highlight w:val="none"/>
              </w:rPr>
            </w:pPr>
            <w:r>
              <w:rPr>
                <w:rFonts w:hint="eastAsia"/>
                <w:color w:val="auto"/>
                <w:highlight w:val="none"/>
              </w:rPr>
              <w:t>0.01</w:t>
            </w:r>
            <w:r>
              <w:rPr>
                <w:rFonts w:hint="eastAsia"/>
                <w:color w:val="auto"/>
                <w:highlight w:val="none"/>
                <w:lang w:val="en-US" w:eastAsia="zh-CN"/>
              </w:rPr>
              <w:t>09</w:t>
            </w:r>
          </w:p>
        </w:tc>
        <w:tc>
          <w:tcPr>
            <w:tcW w:w="382" w:type="pct"/>
            <w:vAlign w:val="center"/>
          </w:tcPr>
          <w:p w14:paraId="6403A8F9">
            <w:pPr>
              <w:pStyle w:val="13"/>
              <w:rPr>
                <w:color w:val="auto"/>
                <w:highlight w:val="none"/>
              </w:rPr>
            </w:pPr>
            <w:r>
              <w:rPr>
                <w:rFonts w:hint="eastAsia"/>
                <w:color w:val="auto"/>
                <w:highlight w:val="none"/>
              </w:rPr>
              <w:t>+0.01</w:t>
            </w:r>
            <w:r>
              <w:rPr>
                <w:rFonts w:hint="eastAsia"/>
                <w:color w:val="auto"/>
                <w:highlight w:val="none"/>
                <w:lang w:val="en-US" w:eastAsia="zh-CN"/>
              </w:rPr>
              <w:t>09</w:t>
            </w:r>
          </w:p>
        </w:tc>
      </w:tr>
      <w:tr w14:paraId="047187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51" w:type="pct"/>
            <w:vMerge w:val="restart"/>
            <w:vAlign w:val="center"/>
          </w:tcPr>
          <w:p w14:paraId="044E52ED">
            <w:pPr>
              <w:pStyle w:val="13"/>
              <w:rPr>
                <w:color w:val="auto"/>
                <w:highlight w:val="none"/>
              </w:rPr>
            </w:pPr>
            <w:r>
              <w:rPr>
                <w:color w:val="auto"/>
                <w:highlight w:val="none"/>
              </w:rPr>
              <w:t>一般工业固体废物</w:t>
            </w:r>
          </w:p>
        </w:tc>
        <w:tc>
          <w:tcPr>
            <w:tcW w:w="535" w:type="pct"/>
            <w:vAlign w:val="center"/>
          </w:tcPr>
          <w:p w14:paraId="4BD0071E">
            <w:pPr>
              <w:pStyle w:val="13"/>
              <w:rPr>
                <w:color w:val="auto"/>
                <w:highlight w:val="none"/>
              </w:rPr>
            </w:pPr>
            <w:r>
              <w:rPr>
                <w:rFonts w:hint="eastAsia" w:cs="Times New Roman"/>
                <w:color w:val="auto"/>
                <w:highlight w:val="none"/>
              </w:rPr>
              <w:t>筛分杂质</w:t>
            </w:r>
          </w:p>
        </w:tc>
        <w:tc>
          <w:tcPr>
            <w:tcW w:w="672" w:type="pct"/>
            <w:vAlign w:val="center"/>
          </w:tcPr>
          <w:p w14:paraId="06ADEC82">
            <w:pPr>
              <w:pStyle w:val="13"/>
              <w:rPr>
                <w:color w:val="auto"/>
                <w:highlight w:val="none"/>
              </w:rPr>
            </w:pPr>
            <w:r>
              <w:rPr>
                <w:rFonts w:hint="eastAsia"/>
                <w:color w:val="auto"/>
                <w:highlight w:val="none"/>
              </w:rPr>
              <w:t>/</w:t>
            </w:r>
          </w:p>
        </w:tc>
        <w:tc>
          <w:tcPr>
            <w:tcW w:w="419" w:type="pct"/>
            <w:vAlign w:val="center"/>
          </w:tcPr>
          <w:p w14:paraId="5956EC33">
            <w:pPr>
              <w:pStyle w:val="13"/>
              <w:rPr>
                <w:color w:val="auto"/>
                <w:highlight w:val="none"/>
              </w:rPr>
            </w:pPr>
            <w:r>
              <w:rPr>
                <w:rFonts w:hint="eastAsia"/>
                <w:color w:val="auto"/>
                <w:highlight w:val="none"/>
              </w:rPr>
              <w:t>/</w:t>
            </w:r>
          </w:p>
        </w:tc>
        <w:tc>
          <w:tcPr>
            <w:tcW w:w="661" w:type="pct"/>
            <w:vAlign w:val="center"/>
          </w:tcPr>
          <w:p w14:paraId="76B04A79">
            <w:pPr>
              <w:pStyle w:val="13"/>
              <w:rPr>
                <w:color w:val="auto"/>
                <w:highlight w:val="none"/>
              </w:rPr>
            </w:pPr>
            <w:r>
              <w:rPr>
                <w:rFonts w:hint="eastAsia"/>
                <w:color w:val="auto"/>
                <w:highlight w:val="none"/>
              </w:rPr>
              <w:t>/</w:t>
            </w:r>
          </w:p>
        </w:tc>
        <w:tc>
          <w:tcPr>
            <w:tcW w:w="616" w:type="pct"/>
            <w:vAlign w:val="center"/>
          </w:tcPr>
          <w:p w14:paraId="6425FE03">
            <w:pPr>
              <w:pStyle w:val="13"/>
              <w:rPr>
                <w:color w:val="auto"/>
                <w:highlight w:val="none"/>
              </w:rPr>
            </w:pPr>
            <w:r>
              <w:rPr>
                <w:rFonts w:hint="eastAsia"/>
                <w:color w:val="auto"/>
                <w:highlight w:val="none"/>
              </w:rPr>
              <w:t>10</w:t>
            </w:r>
          </w:p>
        </w:tc>
        <w:tc>
          <w:tcPr>
            <w:tcW w:w="651" w:type="pct"/>
            <w:vAlign w:val="center"/>
          </w:tcPr>
          <w:p w14:paraId="208EB540">
            <w:pPr>
              <w:pStyle w:val="13"/>
              <w:ind w:firstLine="0" w:firstLineChars="0"/>
              <w:rPr>
                <w:color w:val="auto"/>
                <w:highlight w:val="none"/>
              </w:rPr>
            </w:pPr>
            <w:r>
              <w:rPr>
                <w:rFonts w:hint="eastAsia"/>
                <w:color w:val="auto"/>
                <w:highlight w:val="none"/>
              </w:rPr>
              <w:t>/</w:t>
            </w:r>
          </w:p>
        </w:tc>
        <w:tc>
          <w:tcPr>
            <w:tcW w:w="809" w:type="pct"/>
            <w:vAlign w:val="center"/>
          </w:tcPr>
          <w:p w14:paraId="1DCC0AE7">
            <w:pPr>
              <w:pStyle w:val="13"/>
              <w:rPr>
                <w:color w:val="auto"/>
                <w:highlight w:val="none"/>
              </w:rPr>
            </w:pPr>
            <w:r>
              <w:rPr>
                <w:rFonts w:hint="eastAsia"/>
                <w:color w:val="auto"/>
                <w:highlight w:val="none"/>
              </w:rPr>
              <w:t>10</w:t>
            </w:r>
          </w:p>
        </w:tc>
        <w:tc>
          <w:tcPr>
            <w:tcW w:w="382" w:type="pct"/>
            <w:vAlign w:val="center"/>
          </w:tcPr>
          <w:p w14:paraId="37CB11AA">
            <w:pPr>
              <w:pStyle w:val="13"/>
              <w:rPr>
                <w:color w:val="auto"/>
                <w:highlight w:val="none"/>
              </w:rPr>
            </w:pPr>
            <w:r>
              <w:rPr>
                <w:rFonts w:hint="eastAsia"/>
                <w:color w:val="auto"/>
                <w:highlight w:val="none"/>
              </w:rPr>
              <w:t>+10</w:t>
            </w:r>
          </w:p>
        </w:tc>
      </w:tr>
      <w:tr w14:paraId="788D84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51" w:type="pct"/>
            <w:vMerge w:val="continue"/>
            <w:vAlign w:val="center"/>
          </w:tcPr>
          <w:p w14:paraId="12595401">
            <w:pPr>
              <w:pStyle w:val="13"/>
              <w:rPr>
                <w:color w:val="auto"/>
                <w:highlight w:val="none"/>
              </w:rPr>
            </w:pPr>
          </w:p>
        </w:tc>
        <w:tc>
          <w:tcPr>
            <w:tcW w:w="535" w:type="pct"/>
            <w:vAlign w:val="center"/>
          </w:tcPr>
          <w:p w14:paraId="07F8767F">
            <w:pPr>
              <w:pStyle w:val="13"/>
              <w:rPr>
                <w:color w:val="auto"/>
                <w:highlight w:val="none"/>
              </w:rPr>
            </w:pPr>
            <w:r>
              <w:rPr>
                <w:rFonts w:hint="eastAsia" w:cs="Times New Roman"/>
                <w:color w:val="auto"/>
                <w:highlight w:val="none"/>
              </w:rPr>
              <w:t>磁选杂质</w:t>
            </w:r>
          </w:p>
        </w:tc>
        <w:tc>
          <w:tcPr>
            <w:tcW w:w="672" w:type="pct"/>
            <w:vAlign w:val="center"/>
          </w:tcPr>
          <w:p w14:paraId="61E6883A">
            <w:pPr>
              <w:pStyle w:val="13"/>
              <w:rPr>
                <w:color w:val="auto"/>
                <w:highlight w:val="none"/>
              </w:rPr>
            </w:pPr>
            <w:r>
              <w:rPr>
                <w:rFonts w:hint="eastAsia"/>
                <w:color w:val="auto"/>
                <w:highlight w:val="none"/>
              </w:rPr>
              <w:t>/</w:t>
            </w:r>
          </w:p>
        </w:tc>
        <w:tc>
          <w:tcPr>
            <w:tcW w:w="419" w:type="pct"/>
            <w:vAlign w:val="center"/>
          </w:tcPr>
          <w:p w14:paraId="64050BB5">
            <w:pPr>
              <w:pStyle w:val="13"/>
              <w:rPr>
                <w:color w:val="auto"/>
                <w:highlight w:val="none"/>
              </w:rPr>
            </w:pPr>
            <w:r>
              <w:rPr>
                <w:rFonts w:hint="eastAsia"/>
                <w:color w:val="auto"/>
                <w:highlight w:val="none"/>
              </w:rPr>
              <w:t>/</w:t>
            </w:r>
          </w:p>
        </w:tc>
        <w:tc>
          <w:tcPr>
            <w:tcW w:w="661" w:type="pct"/>
            <w:vAlign w:val="center"/>
          </w:tcPr>
          <w:p w14:paraId="309F1B83">
            <w:pPr>
              <w:pStyle w:val="13"/>
              <w:rPr>
                <w:color w:val="auto"/>
                <w:highlight w:val="none"/>
              </w:rPr>
            </w:pPr>
            <w:r>
              <w:rPr>
                <w:rFonts w:hint="eastAsia"/>
                <w:color w:val="auto"/>
                <w:highlight w:val="none"/>
              </w:rPr>
              <w:t>/</w:t>
            </w:r>
          </w:p>
        </w:tc>
        <w:tc>
          <w:tcPr>
            <w:tcW w:w="616" w:type="pct"/>
            <w:vAlign w:val="center"/>
          </w:tcPr>
          <w:p w14:paraId="62EF349F">
            <w:pPr>
              <w:pStyle w:val="13"/>
              <w:rPr>
                <w:color w:val="auto"/>
                <w:highlight w:val="none"/>
              </w:rPr>
            </w:pPr>
            <w:r>
              <w:rPr>
                <w:rFonts w:hint="eastAsia"/>
                <w:color w:val="auto"/>
                <w:highlight w:val="none"/>
              </w:rPr>
              <w:t>1</w:t>
            </w:r>
          </w:p>
        </w:tc>
        <w:tc>
          <w:tcPr>
            <w:tcW w:w="651" w:type="pct"/>
            <w:vAlign w:val="center"/>
          </w:tcPr>
          <w:p w14:paraId="0DC2B545">
            <w:pPr>
              <w:pStyle w:val="13"/>
              <w:ind w:firstLine="0" w:firstLineChars="0"/>
              <w:rPr>
                <w:color w:val="auto"/>
                <w:highlight w:val="none"/>
              </w:rPr>
            </w:pPr>
            <w:r>
              <w:rPr>
                <w:rFonts w:hint="eastAsia"/>
                <w:color w:val="auto"/>
                <w:highlight w:val="none"/>
              </w:rPr>
              <w:t>/</w:t>
            </w:r>
          </w:p>
        </w:tc>
        <w:tc>
          <w:tcPr>
            <w:tcW w:w="809" w:type="pct"/>
            <w:vAlign w:val="center"/>
          </w:tcPr>
          <w:p w14:paraId="01B0D510">
            <w:pPr>
              <w:pStyle w:val="13"/>
              <w:rPr>
                <w:color w:val="auto"/>
                <w:highlight w:val="none"/>
              </w:rPr>
            </w:pPr>
            <w:r>
              <w:rPr>
                <w:rFonts w:hint="eastAsia"/>
                <w:color w:val="auto"/>
                <w:highlight w:val="none"/>
              </w:rPr>
              <w:t>1</w:t>
            </w:r>
          </w:p>
        </w:tc>
        <w:tc>
          <w:tcPr>
            <w:tcW w:w="382" w:type="pct"/>
            <w:vAlign w:val="center"/>
          </w:tcPr>
          <w:p w14:paraId="77EA74BE">
            <w:pPr>
              <w:pStyle w:val="13"/>
              <w:rPr>
                <w:color w:val="auto"/>
                <w:highlight w:val="none"/>
              </w:rPr>
            </w:pPr>
            <w:r>
              <w:rPr>
                <w:rFonts w:hint="eastAsia"/>
                <w:color w:val="auto"/>
                <w:highlight w:val="none"/>
              </w:rPr>
              <w:t>+1</w:t>
            </w:r>
          </w:p>
        </w:tc>
      </w:tr>
      <w:tr w14:paraId="4B0B5F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51" w:type="pct"/>
            <w:vMerge w:val="continue"/>
            <w:vAlign w:val="center"/>
          </w:tcPr>
          <w:p w14:paraId="6812AE24">
            <w:pPr>
              <w:pStyle w:val="13"/>
              <w:rPr>
                <w:color w:val="auto"/>
                <w:highlight w:val="none"/>
              </w:rPr>
            </w:pPr>
          </w:p>
        </w:tc>
        <w:tc>
          <w:tcPr>
            <w:tcW w:w="535" w:type="pct"/>
            <w:vAlign w:val="center"/>
          </w:tcPr>
          <w:p w14:paraId="2FAF9849">
            <w:pPr>
              <w:pStyle w:val="13"/>
              <w:rPr>
                <w:color w:val="auto"/>
                <w:highlight w:val="none"/>
              </w:rPr>
            </w:pPr>
            <w:r>
              <w:rPr>
                <w:rFonts w:hint="eastAsia" w:cs="Times New Roman"/>
                <w:color w:val="auto"/>
                <w:highlight w:val="none"/>
              </w:rPr>
              <w:t>废包装材料</w:t>
            </w:r>
          </w:p>
        </w:tc>
        <w:tc>
          <w:tcPr>
            <w:tcW w:w="672" w:type="pct"/>
            <w:vAlign w:val="center"/>
          </w:tcPr>
          <w:p w14:paraId="7E71EFFF">
            <w:pPr>
              <w:pStyle w:val="13"/>
              <w:rPr>
                <w:color w:val="auto"/>
                <w:highlight w:val="none"/>
              </w:rPr>
            </w:pPr>
            <w:r>
              <w:rPr>
                <w:rFonts w:hint="eastAsia"/>
                <w:color w:val="auto"/>
                <w:highlight w:val="none"/>
              </w:rPr>
              <w:t>/</w:t>
            </w:r>
          </w:p>
        </w:tc>
        <w:tc>
          <w:tcPr>
            <w:tcW w:w="419" w:type="pct"/>
            <w:vAlign w:val="center"/>
          </w:tcPr>
          <w:p w14:paraId="741114C7">
            <w:pPr>
              <w:pStyle w:val="13"/>
              <w:rPr>
                <w:color w:val="auto"/>
                <w:highlight w:val="none"/>
              </w:rPr>
            </w:pPr>
            <w:r>
              <w:rPr>
                <w:rFonts w:hint="eastAsia"/>
                <w:color w:val="auto"/>
                <w:highlight w:val="none"/>
              </w:rPr>
              <w:t>/</w:t>
            </w:r>
          </w:p>
        </w:tc>
        <w:tc>
          <w:tcPr>
            <w:tcW w:w="661" w:type="pct"/>
            <w:vAlign w:val="center"/>
          </w:tcPr>
          <w:p w14:paraId="4E56FBF8">
            <w:pPr>
              <w:pStyle w:val="13"/>
              <w:rPr>
                <w:color w:val="auto"/>
                <w:highlight w:val="none"/>
              </w:rPr>
            </w:pPr>
            <w:r>
              <w:rPr>
                <w:rFonts w:hint="eastAsia"/>
                <w:color w:val="auto"/>
                <w:highlight w:val="none"/>
              </w:rPr>
              <w:t>/</w:t>
            </w:r>
          </w:p>
        </w:tc>
        <w:tc>
          <w:tcPr>
            <w:tcW w:w="616" w:type="pct"/>
            <w:vAlign w:val="center"/>
          </w:tcPr>
          <w:p w14:paraId="7A0D45A9">
            <w:pPr>
              <w:pStyle w:val="13"/>
              <w:rPr>
                <w:color w:val="auto"/>
                <w:highlight w:val="none"/>
              </w:rPr>
            </w:pPr>
            <w:r>
              <w:rPr>
                <w:rFonts w:hint="eastAsia"/>
                <w:color w:val="auto"/>
                <w:highlight w:val="none"/>
              </w:rPr>
              <w:t>0.5</w:t>
            </w:r>
          </w:p>
        </w:tc>
        <w:tc>
          <w:tcPr>
            <w:tcW w:w="651" w:type="pct"/>
            <w:vAlign w:val="center"/>
          </w:tcPr>
          <w:p w14:paraId="6A366C2A">
            <w:pPr>
              <w:pStyle w:val="13"/>
              <w:ind w:firstLine="0" w:firstLineChars="0"/>
              <w:rPr>
                <w:color w:val="auto"/>
                <w:highlight w:val="none"/>
              </w:rPr>
            </w:pPr>
            <w:r>
              <w:rPr>
                <w:rFonts w:hint="eastAsia"/>
                <w:color w:val="auto"/>
                <w:highlight w:val="none"/>
              </w:rPr>
              <w:t>/</w:t>
            </w:r>
          </w:p>
        </w:tc>
        <w:tc>
          <w:tcPr>
            <w:tcW w:w="809" w:type="pct"/>
            <w:vAlign w:val="center"/>
          </w:tcPr>
          <w:p w14:paraId="44E06631">
            <w:pPr>
              <w:pStyle w:val="13"/>
              <w:rPr>
                <w:color w:val="auto"/>
                <w:highlight w:val="none"/>
              </w:rPr>
            </w:pPr>
            <w:r>
              <w:rPr>
                <w:rFonts w:hint="eastAsia"/>
                <w:color w:val="auto"/>
                <w:highlight w:val="none"/>
              </w:rPr>
              <w:t>0.5</w:t>
            </w:r>
          </w:p>
        </w:tc>
        <w:tc>
          <w:tcPr>
            <w:tcW w:w="382" w:type="pct"/>
            <w:vAlign w:val="center"/>
          </w:tcPr>
          <w:p w14:paraId="6FBD44F5">
            <w:pPr>
              <w:pStyle w:val="13"/>
              <w:rPr>
                <w:color w:val="auto"/>
                <w:highlight w:val="none"/>
              </w:rPr>
            </w:pPr>
            <w:r>
              <w:rPr>
                <w:rFonts w:hint="eastAsia"/>
                <w:color w:val="auto"/>
                <w:highlight w:val="none"/>
              </w:rPr>
              <w:t>+0.5</w:t>
            </w:r>
          </w:p>
        </w:tc>
      </w:tr>
      <w:tr w14:paraId="55FFCC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51" w:type="pct"/>
            <w:vMerge w:val="continue"/>
            <w:vAlign w:val="center"/>
          </w:tcPr>
          <w:p w14:paraId="0E4AF6F4">
            <w:pPr>
              <w:pStyle w:val="13"/>
              <w:rPr>
                <w:color w:val="auto"/>
                <w:highlight w:val="none"/>
              </w:rPr>
            </w:pPr>
          </w:p>
        </w:tc>
        <w:tc>
          <w:tcPr>
            <w:tcW w:w="535" w:type="pct"/>
            <w:vAlign w:val="center"/>
          </w:tcPr>
          <w:p w14:paraId="6CF0B811">
            <w:pPr>
              <w:pStyle w:val="13"/>
              <w:rPr>
                <w:color w:val="auto"/>
                <w:highlight w:val="none"/>
              </w:rPr>
            </w:pPr>
            <w:r>
              <w:rPr>
                <w:rFonts w:hint="eastAsia" w:cs="Times New Roman"/>
                <w:color w:val="auto"/>
                <w:highlight w:val="none"/>
              </w:rPr>
              <w:t>炉渣</w:t>
            </w:r>
          </w:p>
        </w:tc>
        <w:tc>
          <w:tcPr>
            <w:tcW w:w="672" w:type="pct"/>
            <w:vAlign w:val="center"/>
          </w:tcPr>
          <w:p w14:paraId="69D264AD">
            <w:pPr>
              <w:pStyle w:val="13"/>
              <w:ind w:firstLine="0" w:firstLineChars="0"/>
              <w:rPr>
                <w:color w:val="auto"/>
                <w:highlight w:val="none"/>
              </w:rPr>
            </w:pPr>
            <w:r>
              <w:rPr>
                <w:rFonts w:hint="eastAsia"/>
                <w:color w:val="auto"/>
                <w:highlight w:val="none"/>
              </w:rPr>
              <w:t>/</w:t>
            </w:r>
          </w:p>
        </w:tc>
        <w:tc>
          <w:tcPr>
            <w:tcW w:w="419" w:type="pct"/>
            <w:vAlign w:val="center"/>
          </w:tcPr>
          <w:p w14:paraId="476D2E78">
            <w:pPr>
              <w:pStyle w:val="13"/>
              <w:ind w:firstLine="0" w:firstLineChars="0"/>
              <w:rPr>
                <w:color w:val="auto"/>
                <w:highlight w:val="none"/>
              </w:rPr>
            </w:pPr>
            <w:r>
              <w:rPr>
                <w:rFonts w:hint="eastAsia"/>
                <w:color w:val="auto"/>
                <w:highlight w:val="none"/>
              </w:rPr>
              <w:t>/</w:t>
            </w:r>
          </w:p>
        </w:tc>
        <w:tc>
          <w:tcPr>
            <w:tcW w:w="661" w:type="pct"/>
            <w:vAlign w:val="center"/>
          </w:tcPr>
          <w:p w14:paraId="429C8178">
            <w:pPr>
              <w:pStyle w:val="13"/>
              <w:ind w:firstLine="0" w:firstLineChars="0"/>
              <w:rPr>
                <w:color w:val="auto"/>
                <w:highlight w:val="none"/>
              </w:rPr>
            </w:pPr>
            <w:r>
              <w:rPr>
                <w:rFonts w:hint="eastAsia"/>
                <w:color w:val="auto"/>
                <w:highlight w:val="none"/>
              </w:rPr>
              <w:t>/</w:t>
            </w:r>
          </w:p>
        </w:tc>
        <w:tc>
          <w:tcPr>
            <w:tcW w:w="616" w:type="pct"/>
            <w:vAlign w:val="center"/>
          </w:tcPr>
          <w:p w14:paraId="091FA433">
            <w:pPr>
              <w:pStyle w:val="13"/>
              <w:rPr>
                <w:rFonts w:hint="default" w:eastAsia="宋体"/>
                <w:color w:val="auto"/>
                <w:highlight w:val="none"/>
                <w:lang w:val="en-US" w:eastAsia="zh-CN"/>
              </w:rPr>
            </w:pPr>
            <w:r>
              <w:rPr>
                <w:rFonts w:hint="eastAsia"/>
                <w:color w:val="auto"/>
                <w:highlight w:val="none"/>
              </w:rPr>
              <w:t>1</w:t>
            </w:r>
            <w:r>
              <w:rPr>
                <w:rFonts w:hint="eastAsia"/>
                <w:color w:val="auto"/>
                <w:highlight w:val="none"/>
                <w:lang w:val="en-US" w:eastAsia="zh-CN"/>
              </w:rPr>
              <w:t>.0371</w:t>
            </w:r>
          </w:p>
        </w:tc>
        <w:tc>
          <w:tcPr>
            <w:tcW w:w="651" w:type="pct"/>
            <w:vAlign w:val="center"/>
          </w:tcPr>
          <w:p w14:paraId="1DEAF692">
            <w:pPr>
              <w:pStyle w:val="13"/>
              <w:ind w:firstLine="0" w:firstLineChars="0"/>
              <w:rPr>
                <w:color w:val="auto"/>
                <w:highlight w:val="none"/>
              </w:rPr>
            </w:pPr>
            <w:r>
              <w:rPr>
                <w:rFonts w:hint="eastAsia"/>
                <w:color w:val="auto"/>
                <w:highlight w:val="none"/>
              </w:rPr>
              <w:t>/</w:t>
            </w:r>
          </w:p>
        </w:tc>
        <w:tc>
          <w:tcPr>
            <w:tcW w:w="809" w:type="pct"/>
            <w:vAlign w:val="center"/>
          </w:tcPr>
          <w:p w14:paraId="5A0201CD">
            <w:pPr>
              <w:pStyle w:val="13"/>
              <w:rPr>
                <w:rFonts w:hint="default" w:eastAsia="宋体"/>
                <w:color w:val="auto"/>
                <w:highlight w:val="none"/>
                <w:lang w:val="en-US" w:eastAsia="zh-CN"/>
              </w:rPr>
            </w:pPr>
            <w:r>
              <w:rPr>
                <w:rFonts w:hint="eastAsia"/>
                <w:color w:val="auto"/>
                <w:highlight w:val="none"/>
              </w:rPr>
              <w:t>1</w:t>
            </w:r>
            <w:r>
              <w:rPr>
                <w:rFonts w:hint="eastAsia"/>
                <w:color w:val="auto"/>
                <w:highlight w:val="none"/>
                <w:lang w:val="en-US" w:eastAsia="zh-CN"/>
              </w:rPr>
              <w:t>.0371</w:t>
            </w:r>
          </w:p>
        </w:tc>
        <w:tc>
          <w:tcPr>
            <w:tcW w:w="382" w:type="pct"/>
            <w:vAlign w:val="center"/>
          </w:tcPr>
          <w:p w14:paraId="1A0BE93F">
            <w:pPr>
              <w:pStyle w:val="13"/>
              <w:rPr>
                <w:rFonts w:hint="default" w:eastAsia="宋体"/>
                <w:color w:val="auto"/>
                <w:highlight w:val="none"/>
                <w:lang w:val="en-US" w:eastAsia="zh-CN"/>
              </w:rPr>
            </w:pPr>
            <w:r>
              <w:rPr>
                <w:rFonts w:hint="eastAsia"/>
                <w:color w:val="auto"/>
                <w:highlight w:val="none"/>
              </w:rPr>
              <w:t>+1</w:t>
            </w:r>
            <w:r>
              <w:rPr>
                <w:rFonts w:hint="eastAsia"/>
                <w:color w:val="auto"/>
                <w:highlight w:val="none"/>
                <w:lang w:val="en-US" w:eastAsia="zh-CN"/>
              </w:rPr>
              <w:t>.0371</w:t>
            </w:r>
          </w:p>
        </w:tc>
      </w:tr>
      <w:tr w14:paraId="4A875F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51" w:type="pct"/>
            <w:vMerge w:val="continue"/>
            <w:vAlign w:val="center"/>
          </w:tcPr>
          <w:p w14:paraId="514A018B">
            <w:pPr>
              <w:pStyle w:val="13"/>
              <w:rPr>
                <w:color w:val="auto"/>
                <w:highlight w:val="none"/>
              </w:rPr>
            </w:pPr>
          </w:p>
        </w:tc>
        <w:tc>
          <w:tcPr>
            <w:tcW w:w="535" w:type="pct"/>
            <w:vAlign w:val="center"/>
          </w:tcPr>
          <w:p w14:paraId="1F2A07BE">
            <w:pPr>
              <w:pStyle w:val="13"/>
              <w:rPr>
                <w:color w:val="auto"/>
                <w:highlight w:val="none"/>
              </w:rPr>
            </w:pPr>
            <w:r>
              <w:rPr>
                <w:rFonts w:hint="eastAsia" w:cs="Times New Roman"/>
                <w:color w:val="auto"/>
                <w:highlight w:val="none"/>
              </w:rPr>
              <w:t>除尘粉尘</w:t>
            </w:r>
          </w:p>
        </w:tc>
        <w:tc>
          <w:tcPr>
            <w:tcW w:w="672" w:type="pct"/>
            <w:vAlign w:val="center"/>
          </w:tcPr>
          <w:p w14:paraId="2A77BA20">
            <w:pPr>
              <w:pStyle w:val="13"/>
              <w:ind w:firstLine="0" w:firstLineChars="0"/>
              <w:rPr>
                <w:color w:val="auto"/>
                <w:highlight w:val="none"/>
              </w:rPr>
            </w:pPr>
            <w:r>
              <w:rPr>
                <w:rFonts w:hint="eastAsia"/>
                <w:color w:val="auto"/>
                <w:highlight w:val="none"/>
              </w:rPr>
              <w:t>/</w:t>
            </w:r>
          </w:p>
        </w:tc>
        <w:tc>
          <w:tcPr>
            <w:tcW w:w="419" w:type="pct"/>
            <w:vAlign w:val="center"/>
          </w:tcPr>
          <w:p w14:paraId="4E2C16A5">
            <w:pPr>
              <w:pStyle w:val="13"/>
              <w:ind w:firstLine="0" w:firstLineChars="0"/>
              <w:rPr>
                <w:color w:val="auto"/>
                <w:highlight w:val="none"/>
              </w:rPr>
            </w:pPr>
            <w:r>
              <w:rPr>
                <w:rFonts w:hint="eastAsia"/>
                <w:color w:val="auto"/>
                <w:highlight w:val="none"/>
              </w:rPr>
              <w:t>/</w:t>
            </w:r>
          </w:p>
        </w:tc>
        <w:tc>
          <w:tcPr>
            <w:tcW w:w="661" w:type="pct"/>
            <w:vAlign w:val="center"/>
          </w:tcPr>
          <w:p w14:paraId="0C6D9A8D">
            <w:pPr>
              <w:pStyle w:val="13"/>
              <w:ind w:firstLine="0" w:firstLineChars="0"/>
              <w:rPr>
                <w:color w:val="auto"/>
                <w:highlight w:val="none"/>
              </w:rPr>
            </w:pPr>
            <w:r>
              <w:rPr>
                <w:rFonts w:hint="eastAsia"/>
                <w:color w:val="auto"/>
                <w:highlight w:val="none"/>
              </w:rPr>
              <w:t>/</w:t>
            </w:r>
          </w:p>
        </w:tc>
        <w:tc>
          <w:tcPr>
            <w:tcW w:w="616" w:type="pct"/>
            <w:vAlign w:val="center"/>
          </w:tcPr>
          <w:p w14:paraId="63CEC832">
            <w:pPr>
              <w:pStyle w:val="13"/>
              <w:rPr>
                <w:rFonts w:hint="default" w:eastAsia="宋体"/>
                <w:color w:val="auto"/>
                <w:highlight w:val="none"/>
                <w:lang w:val="en-US" w:eastAsia="zh-CN"/>
              </w:rPr>
            </w:pPr>
            <w:r>
              <w:rPr>
                <w:rFonts w:hint="eastAsia"/>
                <w:color w:val="auto"/>
                <w:highlight w:val="none"/>
              </w:rPr>
              <w:t>86.</w:t>
            </w:r>
            <w:r>
              <w:rPr>
                <w:rFonts w:hint="eastAsia"/>
                <w:color w:val="auto"/>
                <w:highlight w:val="none"/>
                <w:lang w:val="en-US" w:eastAsia="zh-CN"/>
              </w:rPr>
              <w:t>3181</w:t>
            </w:r>
          </w:p>
        </w:tc>
        <w:tc>
          <w:tcPr>
            <w:tcW w:w="651" w:type="pct"/>
            <w:vAlign w:val="center"/>
          </w:tcPr>
          <w:p w14:paraId="0EE3101E">
            <w:pPr>
              <w:pStyle w:val="13"/>
              <w:ind w:firstLine="0" w:firstLineChars="0"/>
              <w:rPr>
                <w:color w:val="auto"/>
                <w:highlight w:val="none"/>
              </w:rPr>
            </w:pPr>
            <w:r>
              <w:rPr>
                <w:rFonts w:hint="eastAsia"/>
                <w:color w:val="auto"/>
                <w:highlight w:val="none"/>
              </w:rPr>
              <w:t>/</w:t>
            </w:r>
          </w:p>
        </w:tc>
        <w:tc>
          <w:tcPr>
            <w:tcW w:w="809" w:type="pct"/>
            <w:vAlign w:val="center"/>
          </w:tcPr>
          <w:p w14:paraId="37EDFC3B">
            <w:pPr>
              <w:pStyle w:val="13"/>
              <w:rPr>
                <w:rFonts w:hint="default" w:eastAsia="宋体"/>
                <w:color w:val="auto"/>
                <w:highlight w:val="none"/>
                <w:lang w:val="en-US" w:eastAsia="zh-CN"/>
              </w:rPr>
            </w:pPr>
            <w:r>
              <w:rPr>
                <w:rFonts w:hint="eastAsia"/>
                <w:color w:val="auto"/>
                <w:highlight w:val="none"/>
              </w:rPr>
              <w:t>86.</w:t>
            </w:r>
            <w:r>
              <w:rPr>
                <w:rFonts w:hint="eastAsia"/>
                <w:color w:val="auto"/>
                <w:highlight w:val="none"/>
                <w:lang w:val="en-US" w:eastAsia="zh-CN"/>
              </w:rPr>
              <w:t>3181</w:t>
            </w:r>
          </w:p>
        </w:tc>
        <w:tc>
          <w:tcPr>
            <w:tcW w:w="382" w:type="pct"/>
            <w:vAlign w:val="center"/>
          </w:tcPr>
          <w:p w14:paraId="3FF23927">
            <w:pPr>
              <w:pStyle w:val="13"/>
              <w:rPr>
                <w:color w:val="auto"/>
                <w:highlight w:val="none"/>
              </w:rPr>
            </w:pPr>
            <w:r>
              <w:rPr>
                <w:rFonts w:hint="eastAsia"/>
                <w:color w:val="auto"/>
                <w:highlight w:val="none"/>
              </w:rPr>
              <w:t>+86.</w:t>
            </w:r>
            <w:r>
              <w:rPr>
                <w:rFonts w:hint="eastAsia"/>
                <w:color w:val="auto"/>
                <w:highlight w:val="none"/>
                <w:lang w:val="en-US" w:eastAsia="zh-CN"/>
              </w:rPr>
              <w:t>3181</w:t>
            </w:r>
          </w:p>
        </w:tc>
      </w:tr>
      <w:tr w14:paraId="1F47480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51" w:type="pct"/>
            <w:vAlign w:val="center"/>
          </w:tcPr>
          <w:p w14:paraId="465C96D9">
            <w:pPr>
              <w:pStyle w:val="13"/>
              <w:rPr>
                <w:color w:val="auto"/>
                <w:highlight w:val="none"/>
              </w:rPr>
            </w:pPr>
            <w:r>
              <w:rPr>
                <w:color w:val="auto"/>
                <w:highlight w:val="none"/>
              </w:rPr>
              <w:t>危险废物</w:t>
            </w:r>
          </w:p>
        </w:tc>
        <w:tc>
          <w:tcPr>
            <w:tcW w:w="535" w:type="pct"/>
            <w:vAlign w:val="center"/>
          </w:tcPr>
          <w:p w14:paraId="6913E2D0">
            <w:pPr>
              <w:pStyle w:val="13"/>
              <w:rPr>
                <w:color w:val="auto"/>
                <w:highlight w:val="none"/>
              </w:rPr>
            </w:pPr>
            <w:r>
              <w:rPr>
                <w:rFonts w:hint="eastAsia" w:cs="Times New Roman"/>
                <w:color w:val="auto"/>
                <w:highlight w:val="none"/>
              </w:rPr>
              <w:t>废矿物油</w:t>
            </w:r>
          </w:p>
        </w:tc>
        <w:tc>
          <w:tcPr>
            <w:tcW w:w="672" w:type="pct"/>
            <w:vAlign w:val="center"/>
          </w:tcPr>
          <w:p w14:paraId="3AF1398D">
            <w:pPr>
              <w:pStyle w:val="13"/>
              <w:ind w:firstLine="0" w:firstLineChars="0"/>
              <w:rPr>
                <w:color w:val="auto"/>
                <w:highlight w:val="none"/>
              </w:rPr>
            </w:pPr>
            <w:r>
              <w:rPr>
                <w:rFonts w:hint="eastAsia"/>
                <w:color w:val="auto"/>
                <w:highlight w:val="none"/>
              </w:rPr>
              <w:t>/</w:t>
            </w:r>
          </w:p>
        </w:tc>
        <w:tc>
          <w:tcPr>
            <w:tcW w:w="419" w:type="pct"/>
            <w:vAlign w:val="center"/>
          </w:tcPr>
          <w:p w14:paraId="5339B6F4">
            <w:pPr>
              <w:pStyle w:val="13"/>
              <w:ind w:firstLine="0" w:firstLineChars="0"/>
              <w:rPr>
                <w:color w:val="auto"/>
                <w:highlight w:val="none"/>
              </w:rPr>
            </w:pPr>
            <w:r>
              <w:rPr>
                <w:rFonts w:hint="eastAsia"/>
                <w:color w:val="auto"/>
                <w:highlight w:val="none"/>
              </w:rPr>
              <w:t>/</w:t>
            </w:r>
          </w:p>
        </w:tc>
        <w:tc>
          <w:tcPr>
            <w:tcW w:w="661" w:type="pct"/>
            <w:vAlign w:val="center"/>
          </w:tcPr>
          <w:p w14:paraId="682C9B96">
            <w:pPr>
              <w:pStyle w:val="13"/>
              <w:ind w:firstLine="0" w:firstLineChars="0"/>
              <w:rPr>
                <w:color w:val="auto"/>
                <w:highlight w:val="none"/>
              </w:rPr>
            </w:pPr>
            <w:r>
              <w:rPr>
                <w:rFonts w:hint="eastAsia"/>
                <w:color w:val="auto"/>
                <w:highlight w:val="none"/>
              </w:rPr>
              <w:t>/</w:t>
            </w:r>
          </w:p>
        </w:tc>
        <w:tc>
          <w:tcPr>
            <w:tcW w:w="616" w:type="pct"/>
            <w:vAlign w:val="center"/>
          </w:tcPr>
          <w:p w14:paraId="1259A761">
            <w:pPr>
              <w:pStyle w:val="13"/>
              <w:rPr>
                <w:color w:val="auto"/>
                <w:highlight w:val="none"/>
              </w:rPr>
            </w:pPr>
            <w:r>
              <w:rPr>
                <w:rFonts w:hint="eastAsia"/>
                <w:color w:val="auto"/>
                <w:highlight w:val="none"/>
              </w:rPr>
              <w:t>1.05</w:t>
            </w:r>
          </w:p>
        </w:tc>
        <w:tc>
          <w:tcPr>
            <w:tcW w:w="651" w:type="pct"/>
            <w:vAlign w:val="center"/>
          </w:tcPr>
          <w:p w14:paraId="1476FE92">
            <w:pPr>
              <w:pStyle w:val="13"/>
              <w:ind w:firstLine="0" w:firstLineChars="0"/>
              <w:rPr>
                <w:color w:val="auto"/>
                <w:highlight w:val="none"/>
              </w:rPr>
            </w:pPr>
            <w:r>
              <w:rPr>
                <w:rFonts w:hint="eastAsia"/>
                <w:color w:val="auto"/>
                <w:highlight w:val="none"/>
              </w:rPr>
              <w:t>/</w:t>
            </w:r>
          </w:p>
        </w:tc>
        <w:tc>
          <w:tcPr>
            <w:tcW w:w="809" w:type="pct"/>
            <w:vAlign w:val="center"/>
          </w:tcPr>
          <w:p w14:paraId="3410E1B5">
            <w:pPr>
              <w:pStyle w:val="13"/>
              <w:rPr>
                <w:color w:val="auto"/>
                <w:highlight w:val="none"/>
              </w:rPr>
            </w:pPr>
            <w:r>
              <w:rPr>
                <w:rFonts w:hint="eastAsia"/>
                <w:color w:val="auto"/>
                <w:highlight w:val="none"/>
              </w:rPr>
              <w:t>1.05</w:t>
            </w:r>
          </w:p>
        </w:tc>
        <w:tc>
          <w:tcPr>
            <w:tcW w:w="382" w:type="pct"/>
            <w:vAlign w:val="center"/>
          </w:tcPr>
          <w:p w14:paraId="06AFBF37">
            <w:pPr>
              <w:pStyle w:val="13"/>
              <w:rPr>
                <w:color w:val="auto"/>
                <w:highlight w:val="none"/>
              </w:rPr>
            </w:pPr>
            <w:r>
              <w:rPr>
                <w:rFonts w:hint="eastAsia"/>
                <w:color w:val="auto"/>
                <w:highlight w:val="none"/>
              </w:rPr>
              <w:t>+1.05</w:t>
            </w:r>
          </w:p>
        </w:tc>
      </w:tr>
      <w:tr w14:paraId="1FC91A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51" w:type="pct"/>
            <w:vAlign w:val="center"/>
          </w:tcPr>
          <w:p w14:paraId="0CA2B3A6">
            <w:pPr>
              <w:pStyle w:val="13"/>
              <w:rPr>
                <w:color w:val="auto"/>
                <w:highlight w:val="none"/>
              </w:rPr>
            </w:pPr>
            <w:r>
              <w:rPr>
                <w:color w:val="auto"/>
                <w:highlight w:val="none"/>
              </w:rPr>
              <w:t>生活垃圾</w:t>
            </w:r>
          </w:p>
        </w:tc>
        <w:tc>
          <w:tcPr>
            <w:tcW w:w="535" w:type="pct"/>
            <w:vAlign w:val="center"/>
          </w:tcPr>
          <w:p w14:paraId="58D293E3">
            <w:pPr>
              <w:pStyle w:val="13"/>
              <w:rPr>
                <w:color w:val="auto"/>
                <w:highlight w:val="none"/>
              </w:rPr>
            </w:pPr>
            <w:r>
              <w:rPr>
                <w:rFonts w:cs="Times New Roman"/>
                <w:color w:val="auto"/>
                <w:highlight w:val="none"/>
              </w:rPr>
              <w:t>生活垃圾</w:t>
            </w:r>
          </w:p>
        </w:tc>
        <w:tc>
          <w:tcPr>
            <w:tcW w:w="672" w:type="pct"/>
            <w:vAlign w:val="center"/>
          </w:tcPr>
          <w:p w14:paraId="2180483A">
            <w:pPr>
              <w:pStyle w:val="13"/>
              <w:ind w:firstLine="0" w:firstLineChars="0"/>
              <w:rPr>
                <w:color w:val="auto"/>
                <w:highlight w:val="none"/>
              </w:rPr>
            </w:pPr>
            <w:r>
              <w:rPr>
                <w:rFonts w:hint="eastAsia"/>
                <w:color w:val="auto"/>
                <w:highlight w:val="none"/>
              </w:rPr>
              <w:t>/</w:t>
            </w:r>
          </w:p>
        </w:tc>
        <w:tc>
          <w:tcPr>
            <w:tcW w:w="419" w:type="pct"/>
            <w:vAlign w:val="center"/>
          </w:tcPr>
          <w:p w14:paraId="515FADF7">
            <w:pPr>
              <w:pStyle w:val="13"/>
              <w:ind w:firstLine="0" w:firstLineChars="0"/>
              <w:rPr>
                <w:color w:val="auto"/>
                <w:highlight w:val="none"/>
              </w:rPr>
            </w:pPr>
            <w:r>
              <w:rPr>
                <w:rFonts w:hint="eastAsia"/>
                <w:color w:val="auto"/>
                <w:highlight w:val="none"/>
              </w:rPr>
              <w:t>/</w:t>
            </w:r>
          </w:p>
        </w:tc>
        <w:tc>
          <w:tcPr>
            <w:tcW w:w="661" w:type="pct"/>
            <w:vAlign w:val="center"/>
          </w:tcPr>
          <w:p w14:paraId="5EA1AEDA">
            <w:pPr>
              <w:pStyle w:val="13"/>
              <w:ind w:firstLine="0" w:firstLineChars="0"/>
              <w:rPr>
                <w:color w:val="auto"/>
                <w:highlight w:val="none"/>
              </w:rPr>
            </w:pPr>
            <w:r>
              <w:rPr>
                <w:rFonts w:hint="eastAsia"/>
                <w:color w:val="auto"/>
                <w:highlight w:val="none"/>
              </w:rPr>
              <w:t>/</w:t>
            </w:r>
          </w:p>
        </w:tc>
        <w:tc>
          <w:tcPr>
            <w:tcW w:w="616" w:type="pct"/>
            <w:vAlign w:val="center"/>
          </w:tcPr>
          <w:p w14:paraId="7BBDBE07">
            <w:pPr>
              <w:pStyle w:val="13"/>
              <w:rPr>
                <w:color w:val="auto"/>
                <w:highlight w:val="none"/>
              </w:rPr>
            </w:pPr>
            <w:r>
              <w:rPr>
                <w:rFonts w:hint="eastAsia"/>
                <w:color w:val="auto"/>
                <w:highlight w:val="none"/>
              </w:rPr>
              <w:t>3</w:t>
            </w:r>
          </w:p>
        </w:tc>
        <w:tc>
          <w:tcPr>
            <w:tcW w:w="651" w:type="pct"/>
            <w:vAlign w:val="center"/>
          </w:tcPr>
          <w:p w14:paraId="393014C5">
            <w:pPr>
              <w:pStyle w:val="13"/>
              <w:ind w:firstLine="0" w:firstLineChars="0"/>
              <w:rPr>
                <w:color w:val="auto"/>
                <w:highlight w:val="none"/>
              </w:rPr>
            </w:pPr>
            <w:r>
              <w:rPr>
                <w:rFonts w:hint="eastAsia"/>
                <w:color w:val="auto"/>
                <w:highlight w:val="none"/>
              </w:rPr>
              <w:t>/</w:t>
            </w:r>
          </w:p>
        </w:tc>
        <w:tc>
          <w:tcPr>
            <w:tcW w:w="809" w:type="pct"/>
            <w:vAlign w:val="center"/>
          </w:tcPr>
          <w:p w14:paraId="049997B8">
            <w:pPr>
              <w:pStyle w:val="13"/>
              <w:rPr>
                <w:color w:val="auto"/>
                <w:highlight w:val="none"/>
              </w:rPr>
            </w:pPr>
            <w:r>
              <w:rPr>
                <w:rFonts w:hint="eastAsia"/>
                <w:color w:val="auto"/>
                <w:highlight w:val="none"/>
              </w:rPr>
              <w:t>3</w:t>
            </w:r>
          </w:p>
        </w:tc>
        <w:tc>
          <w:tcPr>
            <w:tcW w:w="382" w:type="pct"/>
            <w:vAlign w:val="center"/>
          </w:tcPr>
          <w:p w14:paraId="135E32A2">
            <w:pPr>
              <w:pStyle w:val="13"/>
              <w:rPr>
                <w:color w:val="auto"/>
                <w:highlight w:val="none"/>
              </w:rPr>
            </w:pPr>
            <w:r>
              <w:rPr>
                <w:rFonts w:hint="eastAsia"/>
                <w:color w:val="auto"/>
                <w:highlight w:val="none"/>
              </w:rPr>
              <w:t>+3</w:t>
            </w:r>
          </w:p>
        </w:tc>
      </w:tr>
    </w:tbl>
    <w:p w14:paraId="010DCD01">
      <w:pPr>
        <w:rPr>
          <w:color w:val="auto"/>
          <w:sz w:val="21"/>
          <w:szCs w:val="18"/>
          <w:highlight w:val="none"/>
        </w:rPr>
      </w:pPr>
      <w:r>
        <w:rPr>
          <w:color w:val="auto"/>
          <w:sz w:val="21"/>
          <w:szCs w:val="18"/>
          <w:highlight w:val="none"/>
        </w:rPr>
        <w:t>注：⑥=①+③+④-⑤；⑦=⑥-①</w:t>
      </w:r>
    </w:p>
    <w:bookmarkEnd w:id="4"/>
    <w:sectPr>
      <w:pgSz w:w="16838" w:h="11906" w:orient="landscape"/>
      <w:pgMar w:top="1247" w:right="1247" w:bottom="1134" w:left="1134" w:header="851" w:footer="850" w:gutter="0"/>
      <w:cols w:space="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0000000000000000000"/>
    <w:charset w:val="86"/>
    <w:family w:val="script"/>
    <w:pitch w:val="default"/>
    <w:sig w:usb0="00000000" w:usb1="00000000" w:usb2="00000000" w:usb3="00000000" w:csb0="00040000" w:csb1="00000000"/>
    <w:embedRegular r:id="rId1" w:fontKey="{31EF8F95-3523-4C0C-9D69-3A0658B89944}"/>
  </w:font>
  <w:font w:name="微软雅黑">
    <w:panose1 w:val="020B0503020204020204"/>
    <w:charset w:val="86"/>
    <w:family w:val="swiss"/>
    <w:pitch w:val="default"/>
    <w:sig w:usb0="80000287" w:usb1="2ACF3C50" w:usb2="00000016" w:usb3="00000000" w:csb0="0004001F" w:csb1="00000000"/>
    <w:embedRegular r:id="rId2" w:fontKey="{72C357C3-016B-4D6C-9851-F1799CFD6082}"/>
  </w:font>
  <w:font w:name="楷体_GB2312">
    <w:panose1 w:val="02010609030101010101"/>
    <w:charset w:val="86"/>
    <w:family w:val="modern"/>
    <w:pitch w:val="default"/>
    <w:sig w:usb0="00000001" w:usb1="080E0000" w:usb2="00000000" w:usb3="00000000" w:csb0="00040000" w:csb1="00000000"/>
    <w:embedRegular r:id="rId3" w:fontKey="{AA93E9EA-1EB8-4040-A458-4DA6F85CBBB2}"/>
  </w:font>
  <w:font w:name="仿宋_GB2312">
    <w:panose1 w:val="02010609030101010101"/>
    <w:charset w:val="86"/>
    <w:family w:val="modern"/>
    <w:pitch w:val="default"/>
    <w:sig w:usb0="00000001" w:usb1="080E0000" w:usb2="00000000" w:usb3="00000000" w:csb0="00040000" w:csb1="00000000"/>
    <w:embedRegular r:id="rId4" w:fontKey="{E29FBC2F-911C-44B0-9A81-865AC44AD07C}"/>
  </w:font>
  <w:font w:name="WPSEMBED1">
    <w:panose1 w:val="02010609030101010101"/>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FC532">
    <w:pPr>
      <w:pStyle w:val="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0D8C0">
    <w:pPr>
      <w:pStyle w:val="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12C1F">
    <w:pPr>
      <w:pStyle w:val="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35BC5">
    <w:pPr>
      <w:pStyle w:val="6"/>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A83A25">
                          <w:pPr>
                            <w:pStyle w:val="6"/>
                            <w:ind w:firstLine="36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CA83A25">
                    <w:pPr>
                      <w:pStyle w:val="6"/>
                      <w:ind w:firstLine="36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EE3F2">
    <w:pPr>
      <w:pStyle w:val="7"/>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29BDE">
    <w:pPr>
      <w:pStyle w:val="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E3451">
    <w:pPr>
      <w:pStyle w:val="7"/>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0A1D53"/>
    <w:rsid w:val="00007E71"/>
    <w:rsid w:val="000268EE"/>
    <w:rsid w:val="000971DC"/>
    <w:rsid w:val="000A646B"/>
    <w:rsid w:val="000E276A"/>
    <w:rsid w:val="000E48D5"/>
    <w:rsid w:val="000E6D2E"/>
    <w:rsid w:val="000F795A"/>
    <w:rsid w:val="001008EE"/>
    <w:rsid w:val="0011266F"/>
    <w:rsid w:val="0011610B"/>
    <w:rsid w:val="00127A17"/>
    <w:rsid w:val="00166A56"/>
    <w:rsid w:val="00173645"/>
    <w:rsid w:val="00180E4E"/>
    <w:rsid w:val="00186DEF"/>
    <w:rsid w:val="001A13C2"/>
    <w:rsid w:val="001A4D86"/>
    <w:rsid w:val="001B7149"/>
    <w:rsid w:val="001F4E95"/>
    <w:rsid w:val="00223EA1"/>
    <w:rsid w:val="002252DF"/>
    <w:rsid w:val="0023179D"/>
    <w:rsid w:val="00251EC9"/>
    <w:rsid w:val="00253D72"/>
    <w:rsid w:val="002A4E10"/>
    <w:rsid w:val="002B35AB"/>
    <w:rsid w:val="002D08D0"/>
    <w:rsid w:val="002F2A3F"/>
    <w:rsid w:val="002F33F5"/>
    <w:rsid w:val="00303F01"/>
    <w:rsid w:val="00310F08"/>
    <w:rsid w:val="0034002A"/>
    <w:rsid w:val="003750E1"/>
    <w:rsid w:val="00387DD7"/>
    <w:rsid w:val="0039591E"/>
    <w:rsid w:val="00396C54"/>
    <w:rsid w:val="003A466D"/>
    <w:rsid w:val="003A5E43"/>
    <w:rsid w:val="00401F11"/>
    <w:rsid w:val="00405EBD"/>
    <w:rsid w:val="00415F6D"/>
    <w:rsid w:val="00423C20"/>
    <w:rsid w:val="00465838"/>
    <w:rsid w:val="00484C14"/>
    <w:rsid w:val="00486D52"/>
    <w:rsid w:val="004D1D70"/>
    <w:rsid w:val="004D2179"/>
    <w:rsid w:val="004F2187"/>
    <w:rsid w:val="005030F4"/>
    <w:rsid w:val="00532FFB"/>
    <w:rsid w:val="00552DE6"/>
    <w:rsid w:val="0055680C"/>
    <w:rsid w:val="00570FD0"/>
    <w:rsid w:val="005732BF"/>
    <w:rsid w:val="00581A93"/>
    <w:rsid w:val="0058757D"/>
    <w:rsid w:val="006408B0"/>
    <w:rsid w:val="00652152"/>
    <w:rsid w:val="00652439"/>
    <w:rsid w:val="00672826"/>
    <w:rsid w:val="006E0828"/>
    <w:rsid w:val="00726537"/>
    <w:rsid w:val="00737477"/>
    <w:rsid w:val="00742338"/>
    <w:rsid w:val="00751426"/>
    <w:rsid w:val="00751DB3"/>
    <w:rsid w:val="00755C9E"/>
    <w:rsid w:val="00763A11"/>
    <w:rsid w:val="00764D01"/>
    <w:rsid w:val="00783525"/>
    <w:rsid w:val="00803614"/>
    <w:rsid w:val="008160B8"/>
    <w:rsid w:val="00835BAA"/>
    <w:rsid w:val="00855701"/>
    <w:rsid w:val="00890C1F"/>
    <w:rsid w:val="008D7418"/>
    <w:rsid w:val="009172DA"/>
    <w:rsid w:val="009451D9"/>
    <w:rsid w:val="0096534A"/>
    <w:rsid w:val="009D7D89"/>
    <w:rsid w:val="009F62E1"/>
    <w:rsid w:val="00A03FC4"/>
    <w:rsid w:val="00A111C9"/>
    <w:rsid w:val="00A1410F"/>
    <w:rsid w:val="00A32E25"/>
    <w:rsid w:val="00A64988"/>
    <w:rsid w:val="00A8322B"/>
    <w:rsid w:val="00AC210A"/>
    <w:rsid w:val="00B00ECC"/>
    <w:rsid w:val="00B663C0"/>
    <w:rsid w:val="00B76035"/>
    <w:rsid w:val="00B94267"/>
    <w:rsid w:val="00BA0CEE"/>
    <w:rsid w:val="00BA179C"/>
    <w:rsid w:val="00BC0DCB"/>
    <w:rsid w:val="00C2589C"/>
    <w:rsid w:val="00C4663F"/>
    <w:rsid w:val="00C74914"/>
    <w:rsid w:val="00C77153"/>
    <w:rsid w:val="00C95965"/>
    <w:rsid w:val="00CA48D4"/>
    <w:rsid w:val="00CE3895"/>
    <w:rsid w:val="00CE7F57"/>
    <w:rsid w:val="00CF7317"/>
    <w:rsid w:val="00CF7A16"/>
    <w:rsid w:val="00D94C97"/>
    <w:rsid w:val="00DB51A2"/>
    <w:rsid w:val="00DE2DAB"/>
    <w:rsid w:val="00E36413"/>
    <w:rsid w:val="00E83453"/>
    <w:rsid w:val="00E91B16"/>
    <w:rsid w:val="00F13A51"/>
    <w:rsid w:val="00F15409"/>
    <w:rsid w:val="00F3619F"/>
    <w:rsid w:val="00F564D2"/>
    <w:rsid w:val="00F80C27"/>
    <w:rsid w:val="00F97EE0"/>
    <w:rsid w:val="00FD28D3"/>
    <w:rsid w:val="00FD57FF"/>
    <w:rsid w:val="00FD5BE3"/>
    <w:rsid w:val="01385C68"/>
    <w:rsid w:val="01CD7CED"/>
    <w:rsid w:val="02091409"/>
    <w:rsid w:val="022E29DA"/>
    <w:rsid w:val="026B41D5"/>
    <w:rsid w:val="02E82A80"/>
    <w:rsid w:val="035156E1"/>
    <w:rsid w:val="03AC1C0D"/>
    <w:rsid w:val="046D5E36"/>
    <w:rsid w:val="04996C53"/>
    <w:rsid w:val="04EF6BC4"/>
    <w:rsid w:val="05DE2A1D"/>
    <w:rsid w:val="06D44CBF"/>
    <w:rsid w:val="0747790A"/>
    <w:rsid w:val="07EB4D38"/>
    <w:rsid w:val="0A037C69"/>
    <w:rsid w:val="0AB72C0E"/>
    <w:rsid w:val="0B5864FB"/>
    <w:rsid w:val="0B924954"/>
    <w:rsid w:val="0BA32C3E"/>
    <w:rsid w:val="0CA65994"/>
    <w:rsid w:val="0CD94C70"/>
    <w:rsid w:val="0D0D5EED"/>
    <w:rsid w:val="0E01546E"/>
    <w:rsid w:val="10576C5D"/>
    <w:rsid w:val="11502538"/>
    <w:rsid w:val="11A85B2D"/>
    <w:rsid w:val="11FA6693"/>
    <w:rsid w:val="127F7523"/>
    <w:rsid w:val="12A460C1"/>
    <w:rsid w:val="12E2777C"/>
    <w:rsid w:val="14441493"/>
    <w:rsid w:val="14571737"/>
    <w:rsid w:val="14B910DB"/>
    <w:rsid w:val="14DD5F1E"/>
    <w:rsid w:val="15212E1C"/>
    <w:rsid w:val="1542310B"/>
    <w:rsid w:val="158931F4"/>
    <w:rsid w:val="16C90E9F"/>
    <w:rsid w:val="18835F02"/>
    <w:rsid w:val="1A574945"/>
    <w:rsid w:val="1BF555CE"/>
    <w:rsid w:val="1CA51CA5"/>
    <w:rsid w:val="1D6706D4"/>
    <w:rsid w:val="1D8F01D6"/>
    <w:rsid w:val="1DD202FB"/>
    <w:rsid w:val="1E3260C9"/>
    <w:rsid w:val="1EE03CCA"/>
    <w:rsid w:val="1F420EB3"/>
    <w:rsid w:val="1F725871"/>
    <w:rsid w:val="204E2C1F"/>
    <w:rsid w:val="20F238BC"/>
    <w:rsid w:val="22663413"/>
    <w:rsid w:val="22CF6EFA"/>
    <w:rsid w:val="22F116E7"/>
    <w:rsid w:val="23113A90"/>
    <w:rsid w:val="24294678"/>
    <w:rsid w:val="24457153"/>
    <w:rsid w:val="24B46DE6"/>
    <w:rsid w:val="24DC1D0A"/>
    <w:rsid w:val="259F2E44"/>
    <w:rsid w:val="25B606E4"/>
    <w:rsid w:val="2640666E"/>
    <w:rsid w:val="26F247C4"/>
    <w:rsid w:val="28254137"/>
    <w:rsid w:val="2886022A"/>
    <w:rsid w:val="289D7695"/>
    <w:rsid w:val="29AF3F5E"/>
    <w:rsid w:val="2A447882"/>
    <w:rsid w:val="2AF77AAD"/>
    <w:rsid w:val="2B212C17"/>
    <w:rsid w:val="2B676133"/>
    <w:rsid w:val="2B927A73"/>
    <w:rsid w:val="2BFC3285"/>
    <w:rsid w:val="2C4D29BC"/>
    <w:rsid w:val="2DB54A32"/>
    <w:rsid w:val="2E395806"/>
    <w:rsid w:val="2E5552F9"/>
    <w:rsid w:val="2E8730D0"/>
    <w:rsid w:val="2EB1284C"/>
    <w:rsid w:val="2EC670A3"/>
    <w:rsid w:val="2F5F03E8"/>
    <w:rsid w:val="2FBD48E2"/>
    <w:rsid w:val="309B5F4F"/>
    <w:rsid w:val="314B289F"/>
    <w:rsid w:val="31794C4E"/>
    <w:rsid w:val="327A64EA"/>
    <w:rsid w:val="328442C7"/>
    <w:rsid w:val="340A1D53"/>
    <w:rsid w:val="34511868"/>
    <w:rsid w:val="3490349D"/>
    <w:rsid w:val="35676D07"/>
    <w:rsid w:val="35890B78"/>
    <w:rsid w:val="36731343"/>
    <w:rsid w:val="37124F46"/>
    <w:rsid w:val="374B1E15"/>
    <w:rsid w:val="397442BA"/>
    <w:rsid w:val="3B3B6DD2"/>
    <w:rsid w:val="3BA4355E"/>
    <w:rsid w:val="3CE542B1"/>
    <w:rsid w:val="3ECF3CBC"/>
    <w:rsid w:val="3EED2627"/>
    <w:rsid w:val="3EF07B16"/>
    <w:rsid w:val="3F1634B7"/>
    <w:rsid w:val="3FA54DF8"/>
    <w:rsid w:val="3FB5625B"/>
    <w:rsid w:val="40C41156"/>
    <w:rsid w:val="41397843"/>
    <w:rsid w:val="41492D79"/>
    <w:rsid w:val="416966D0"/>
    <w:rsid w:val="41BC1F64"/>
    <w:rsid w:val="431F6D58"/>
    <w:rsid w:val="4360339E"/>
    <w:rsid w:val="43A04E81"/>
    <w:rsid w:val="447C04B7"/>
    <w:rsid w:val="44892650"/>
    <w:rsid w:val="44C3212F"/>
    <w:rsid w:val="45A85418"/>
    <w:rsid w:val="46075C77"/>
    <w:rsid w:val="46087088"/>
    <w:rsid w:val="462A2F37"/>
    <w:rsid w:val="463F3496"/>
    <w:rsid w:val="46764DB7"/>
    <w:rsid w:val="479E089C"/>
    <w:rsid w:val="47DF6B2B"/>
    <w:rsid w:val="48174A12"/>
    <w:rsid w:val="48BB76E5"/>
    <w:rsid w:val="4A685086"/>
    <w:rsid w:val="4A791A90"/>
    <w:rsid w:val="4B94097F"/>
    <w:rsid w:val="4BAF7FD4"/>
    <w:rsid w:val="4C43309E"/>
    <w:rsid w:val="4CE17D82"/>
    <w:rsid w:val="4CF31E3E"/>
    <w:rsid w:val="4D0951B7"/>
    <w:rsid w:val="4E0D41F6"/>
    <w:rsid w:val="4E736DB7"/>
    <w:rsid w:val="4F0B5ECF"/>
    <w:rsid w:val="4F500C99"/>
    <w:rsid w:val="4F5B2768"/>
    <w:rsid w:val="4FE912AB"/>
    <w:rsid w:val="50245B70"/>
    <w:rsid w:val="5025554F"/>
    <w:rsid w:val="5028126D"/>
    <w:rsid w:val="50403E88"/>
    <w:rsid w:val="50424951"/>
    <w:rsid w:val="50F308E4"/>
    <w:rsid w:val="51542485"/>
    <w:rsid w:val="530E7EC2"/>
    <w:rsid w:val="53AA2BCF"/>
    <w:rsid w:val="54A176AA"/>
    <w:rsid w:val="54DB3599"/>
    <w:rsid w:val="556F740E"/>
    <w:rsid w:val="55920EAA"/>
    <w:rsid w:val="55D55E82"/>
    <w:rsid w:val="55FA7A9F"/>
    <w:rsid w:val="564D4072"/>
    <w:rsid w:val="566337F8"/>
    <w:rsid w:val="568B5430"/>
    <w:rsid w:val="57390967"/>
    <w:rsid w:val="58295818"/>
    <w:rsid w:val="593D630B"/>
    <w:rsid w:val="598D1791"/>
    <w:rsid w:val="5B0B31AE"/>
    <w:rsid w:val="5CB3064D"/>
    <w:rsid w:val="5CB66160"/>
    <w:rsid w:val="5D244C2F"/>
    <w:rsid w:val="5F54079F"/>
    <w:rsid w:val="5F564929"/>
    <w:rsid w:val="60E03D35"/>
    <w:rsid w:val="61DE7F4C"/>
    <w:rsid w:val="61E71A22"/>
    <w:rsid w:val="61F95E77"/>
    <w:rsid w:val="621B5E21"/>
    <w:rsid w:val="62F03745"/>
    <w:rsid w:val="62F37FC8"/>
    <w:rsid w:val="638551A9"/>
    <w:rsid w:val="63B309D8"/>
    <w:rsid w:val="66AC45B3"/>
    <w:rsid w:val="66C46796"/>
    <w:rsid w:val="673947A2"/>
    <w:rsid w:val="67711F35"/>
    <w:rsid w:val="67D10680"/>
    <w:rsid w:val="68115669"/>
    <w:rsid w:val="68407D8C"/>
    <w:rsid w:val="695B7088"/>
    <w:rsid w:val="698A3F0E"/>
    <w:rsid w:val="6A9B75A0"/>
    <w:rsid w:val="6AF13A20"/>
    <w:rsid w:val="6B523D40"/>
    <w:rsid w:val="6C171126"/>
    <w:rsid w:val="6CE1262C"/>
    <w:rsid w:val="6DB91AA5"/>
    <w:rsid w:val="6EBF4F8A"/>
    <w:rsid w:val="6FF45107"/>
    <w:rsid w:val="71846504"/>
    <w:rsid w:val="71C737EF"/>
    <w:rsid w:val="728F1F2B"/>
    <w:rsid w:val="72A87D34"/>
    <w:rsid w:val="7322152F"/>
    <w:rsid w:val="73297A73"/>
    <w:rsid w:val="73D1182D"/>
    <w:rsid w:val="747D4837"/>
    <w:rsid w:val="761D4623"/>
    <w:rsid w:val="76711D6F"/>
    <w:rsid w:val="7867107F"/>
    <w:rsid w:val="78F7341F"/>
    <w:rsid w:val="7B0C2754"/>
    <w:rsid w:val="7B3910A6"/>
    <w:rsid w:val="7BCB343C"/>
    <w:rsid w:val="7BDF6399"/>
    <w:rsid w:val="7C1B10C8"/>
    <w:rsid w:val="7C9A31DF"/>
    <w:rsid w:val="7D0B384A"/>
    <w:rsid w:val="7DA56A1C"/>
    <w:rsid w:val="7F270087"/>
    <w:rsid w:val="7F304A6C"/>
    <w:rsid w:val="7F5D3A18"/>
  </w:rsids>
  <m:mathPr>
    <m:mathFont m:val="Cambria Math"/>
    <m:brkBin m:val="before"/>
    <m:brkBinSub m:val="--"/>
    <m:smallFrac m:val="0"/>
    <m:dispDef/>
    <m:lMargin m:val="0"/>
    <m:rMargin m:val="0"/>
    <m:defJc m:val="centerGroup"/>
    <m:wrapIndent m:val="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420" w:firstLineChars="200"/>
      <w:jc w:val="both"/>
    </w:pPr>
    <w:rPr>
      <w:rFonts w:ascii="Times New Roman" w:hAnsi="Times New Roman" w:eastAsia="宋体" w:cstheme="minorBidi"/>
      <w:kern w:val="2"/>
      <w:sz w:val="24"/>
      <w:szCs w:val="21"/>
      <w:lang w:val="en-US" w:eastAsia="zh-CN" w:bidi="ar-SA"/>
    </w:rPr>
  </w:style>
  <w:style w:type="paragraph" w:styleId="2">
    <w:name w:val="heading 1"/>
    <w:basedOn w:val="1"/>
    <w:next w:val="1"/>
    <w:link w:val="22"/>
    <w:qFormat/>
    <w:uiPriority w:val="0"/>
    <w:pPr>
      <w:keepNext/>
      <w:keepLines/>
      <w:outlineLvl w:val="0"/>
    </w:pPr>
    <w:rPr>
      <w:b/>
      <w:bCs/>
      <w:kern w:val="44"/>
      <w:szCs w:val="24"/>
    </w:rPr>
  </w:style>
  <w:style w:type="paragraph" w:styleId="3">
    <w:name w:val="heading 2"/>
    <w:basedOn w:val="1"/>
    <w:next w:val="1"/>
    <w:unhideWhenUsed/>
    <w:qFormat/>
    <w:uiPriority w:val="0"/>
    <w:pPr>
      <w:keepNext/>
      <w:keepLines/>
      <w:outlineLvl w:val="1"/>
    </w:pPr>
    <w:rPr>
      <w:b/>
      <w:bCs/>
      <w:szCs w:val="24"/>
    </w:rPr>
  </w:style>
  <w:style w:type="paragraph" w:styleId="4">
    <w:name w:val="heading 3"/>
    <w:basedOn w:val="1"/>
    <w:next w:val="1"/>
    <w:link w:val="18"/>
    <w:unhideWhenUsed/>
    <w:qFormat/>
    <w:uiPriority w:val="0"/>
    <w:pPr>
      <w:keepNext/>
      <w:keepLines/>
      <w:outlineLvl w:val="2"/>
    </w:pPr>
    <w:rPr>
      <w:b/>
      <w:bCs/>
      <w:szCs w:val="24"/>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3"/>
    <w:qFormat/>
    <w:uiPriority w:val="0"/>
    <w:pPr>
      <w:jc w:val="left"/>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8">
    <w:name w:val="annotation subject"/>
    <w:basedOn w:val="5"/>
    <w:next w:val="5"/>
    <w:link w:val="24"/>
    <w:qFormat/>
    <w:uiPriority w:val="0"/>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basedOn w:val="11"/>
    <w:qFormat/>
    <w:uiPriority w:val="0"/>
    <w:rPr>
      <w:sz w:val="21"/>
      <w:szCs w:val="21"/>
    </w:rPr>
  </w:style>
  <w:style w:type="paragraph" w:customStyle="1" w:styleId="13">
    <w:name w:val="HP图表"/>
    <w:basedOn w:val="1"/>
    <w:qFormat/>
    <w:uiPriority w:val="0"/>
    <w:pPr>
      <w:spacing w:line="240" w:lineRule="auto"/>
      <w:ind w:firstLine="0" w:firstLineChars="0"/>
      <w:jc w:val="center"/>
    </w:pPr>
    <w:rPr>
      <w:sz w:val="21"/>
    </w:rPr>
  </w:style>
  <w:style w:type="paragraph" w:customStyle="1" w:styleId="14">
    <w:name w:val="HP表头"/>
    <w:basedOn w:val="1"/>
    <w:next w:val="1"/>
    <w:link w:val="20"/>
    <w:qFormat/>
    <w:uiPriority w:val="0"/>
    <w:pPr>
      <w:spacing w:before="50" w:beforeLines="50" w:line="240" w:lineRule="auto"/>
      <w:ind w:firstLine="0" w:firstLineChars="0"/>
      <w:jc w:val="center"/>
    </w:pPr>
    <w:rPr>
      <w:b/>
    </w:rPr>
  </w:style>
  <w:style w:type="paragraph" w:customStyle="1" w:styleId="15">
    <w:name w:val="HP图尾"/>
    <w:basedOn w:val="1"/>
    <w:next w:val="1"/>
    <w:qFormat/>
    <w:uiPriority w:val="0"/>
    <w:pPr>
      <w:spacing w:after="50" w:afterLines="50" w:line="240" w:lineRule="auto"/>
      <w:ind w:firstLine="0" w:firstLineChars="0"/>
      <w:jc w:val="center"/>
    </w:pPr>
    <w:rPr>
      <w:b/>
    </w:rPr>
  </w:style>
  <w:style w:type="paragraph" w:customStyle="1" w:styleId="16">
    <w:name w:val="HP大标题"/>
    <w:basedOn w:val="1"/>
    <w:next w:val="1"/>
    <w:qFormat/>
    <w:uiPriority w:val="0"/>
    <w:pPr>
      <w:spacing w:before="50" w:beforeLines="50" w:after="50" w:afterLines="50" w:line="240" w:lineRule="auto"/>
      <w:ind w:firstLine="0" w:firstLineChars="0"/>
      <w:jc w:val="center"/>
    </w:pPr>
    <w:rPr>
      <w:rFonts w:eastAsia="黑体"/>
      <w:bCs/>
      <w:sz w:val="30"/>
      <w:szCs w:val="30"/>
    </w:rPr>
  </w:style>
  <w:style w:type="paragraph" w:customStyle="1" w:styleId="17">
    <w:name w:val="HP表题"/>
    <w:basedOn w:val="1"/>
    <w:next w:val="1"/>
    <w:qFormat/>
    <w:uiPriority w:val="0"/>
    <w:pPr>
      <w:keepNext/>
      <w:keepLines/>
      <w:spacing w:line="240" w:lineRule="auto"/>
      <w:ind w:firstLine="0" w:firstLineChars="0"/>
      <w:jc w:val="center"/>
      <w:outlineLvl w:val="0"/>
    </w:pPr>
    <w:rPr>
      <w:rFonts w:hint="eastAsia" w:ascii="黑体" w:hAnsi="黑体" w:eastAsia="黑体" w:cs="黑体"/>
      <w:kern w:val="44"/>
      <w:sz w:val="30"/>
      <w:szCs w:val="30"/>
    </w:rPr>
  </w:style>
  <w:style w:type="character" w:customStyle="1" w:styleId="18">
    <w:name w:val="标题 3 字符"/>
    <w:link w:val="4"/>
    <w:qFormat/>
    <w:uiPriority w:val="0"/>
    <w:rPr>
      <w:rFonts w:ascii="Times New Roman" w:hAnsi="Times New Roman" w:eastAsia="宋体"/>
      <w:b/>
      <w:bCs/>
      <w:sz w:val="24"/>
      <w:szCs w:val="24"/>
    </w:rPr>
  </w:style>
  <w:style w:type="table" w:customStyle="1" w:styleId="19">
    <w:name w:val="Table Normal"/>
    <w:semiHidden/>
    <w:unhideWhenUsed/>
    <w:qFormat/>
    <w:uiPriority w:val="0"/>
    <w:tblPr>
      <w:tblCellMar>
        <w:top w:w="0" w:type="dxa"/>
        <w:left w:w="0" w:type="dxa"/>
        <w:bottom w:w="0" w:type="dxa"/>
        <w:right w:w="0" w:type="dxa"/>
      </w:tblCellMar>
    </w:tblPr>
  </w:style>
  <w:style w:type="character" w:customStyle="1" w:styleId="20">
    <w:name w:val="HP表头 Char"/>
    <w:link w:val="14"/>
    <w:qFormat/>
    <w:uiPriority w:val="0"/>
    <w:rPr>
      <w:b/>
    </w:rPr>
  </w:style>
  <w:style w:type="paragraph" w:customStyle="1" w:styleId="21">
    <w:name w:val="大标题"/>
    <w:next w:val="1"/>
    <w:qFormat/>
    <w:uiPriority w:val="0"/>
    <w:pPr>
      <w:spacing w:before="50" w:beforeLines="50" w:after="50" w:afterLines="50"/>
      <w:jc w:val="center"/>
      <w:outlineLvl w:val="0"/>
    </w:pPr>
    <w:rPr>
      <w:rFonts w:hint="eastAsia" w:ascii="Times New Roman" w:hAnsi="Times New Roman" w:eastAsia="黑体" w:cs="Times New Roman"/>
      <w:sz w:val="30"/>
      <w:szCs w:val="30"/>
      <w:lang w:val="en-US" w:eastAsia="zh-CN" w:bidi="ar-SA"/>
    </w:rPr>
  </w:style>
  <w:style w:type="character" w:customStyle="1" w:styleId="22">
    <w:name w:val="标题 1 字符"/>
    <w:link w:val="2"/>
    <w:qFormat/>
    <w:uiPriority w:val="0"/>
    <w:rPr>
      <w:rFonts w:ascii="Times New Roman" w:hAnsi="Times New Roman" w:eastAsia="宋体"/>
      <w:b/>
      <w:bCs/>
      <w:kern w:val="44"/>
      <w:szCs w:val="24"/>
    </w:rPr>
  </w:style>
  <w:style w:type="character" w:customStyle="1" w:styleId="23">
    <w:name w:val="批注文字 字符"/>
    <w:basedOn w:val="11"/>
    <w:link w:val="5"/>
    <w:qFormat/>
    <w:uiPriority w:val="0"/>
    <w:rPr>
      <w:rFonts w:cstheme="minorBidi"/>
      <w:kern w:val="2"/>
      <w:sz w:val="24"/>
      <w:szCs w:val="21"/>
    </w:rPr>
  </w:style>
  <w:style w:type="character" w:customStyle="1" w:styleId="24">
    <w:name w:val="批注主题 字符"/>
    <w:basedOn w:val="23"/>
    <w:link w:val="8"/>
    <w:qFormat/>
    <w:uiPriority w:val="0"/>
    <w:rPr>
      <w:rFonts w:cstheme="minorBidi"/>
      <w:b/>
      <w:bCs/>
      <w:kern w:val="2"/>
      <w:sz w:val="24"/>
      <w:szCs w:val="21"/>
    </w:rPr>
  </w:style>
  <w:style w:type="character" w:customStyle="1" w:styleId="25">
    <w:name w:val="font21"/>
    <w:basedOn w:val="11"/>
    <w:qFormat/>
    <w:uiPriority w:val="0"/>
    <w:rPr>
      <w:rFonts w:hint="default" w:ascii="Times New Roman" w:hAnsi="Times New Roman" w:cs="Times New Roman"/>
      <w:color w:val="000000"/>
      <w:sz w:val="20"/>
      <w:szCs w:val="20"/>
      <w:u w:val="none"/>
    </w:rPr>
  </w:style>
  <w:style w:type="character" w:customStyle="1" w:styleId="26">
    <w:name w:val="font31"/>
    <w:basedOn w:val="1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2" Type="http://schemas.openxmlformats.org/officeDocument/2006/relationships/fontTable" Target="fontTable.xml"/><Relationship Id="rId51" Type="http://schemas.openxmlformats.org/officeDocument/2006/relationships/customXml" Target="../customXml/item3.xml"/><Relationship Id="rId50" Type="http://schemas.openxmlformats.org/officeDocument/2006/relationships/customXml" Target="../customXml/item2.xml"/><Relationship Id="rId5" Type="http://schemas.openxmlformats.org/officeDocument/2006/relationships/header" Target="header1.xml"/><Relationship Id="rId49" Type="http://schemas.openxmlformats.org/officeDocument/2006/relationships/customXml" Target="../customXml/item1.xml"/><Relationship Id="rId48" Type="http://schemas.openxmlformats.org/officeDocument/2006/relationships/image" Target="media/image36.png"/><Relationship Id="rId47" Type="http://schemas.openxmlformats.org/officeDocument/2006/relationships/image" Target="media/image35.png"/><Relationship Id="rId46" Type="http://schemas.openxmlformats.org/officeDocument/2006/relationships/image" Target="media/image34.png"/><Relationship Id="rId45" Type="http://schemas.openxmlformats.org/officeDocument/2006/relationships/image" Target="media/image33.png"/><Relationship Id="rId44" Type="http://schemas.openxmlformats.org/officeDocument/2006/relationships/image" Target="media/image32.png"/><Relationship Id="rId43" Type="http://schemas.openxmlformats.org/officeDocument/2006/relationships/image" Target="media/image31.png"/><Relationship Id="rId42" Type="http://schemas.openxmlformats.org/officeDocument/2006/relationships/image" Target="media/image30.png"/><Relationship Id="rId41" Type="http://schemas.openxmlformats.org/officeDocument/2006/relationships/image" Target="media/image29.png"/><Relationship Id="rId40" Type="http://schemas.openxmlformats.org/officeDocument/2006/relationships/image" Target="media/image28.png"/><Relationship Id="rId4" Type="http://schemas.openxmlformats.org/officeDocument/2006/relationships/endnotes" Target="endnotes.xml"/><Relationship Id="rId39" Type="http://schemas.openxmlformats.org/officeDocument/2006/relationships/image" Target="media/image27.jpeg"/><Relationship Id="rId38" Type="http://schemas.openxmlformats.org/officeDocument/2006/relationships/image" Target="media/image26.png"/><Relationship Id="rId37" Type="http://schemas.openxmlformats.org/officeDocument/2006/relationships/image" Target="media/image25.png"/><Relationship Id="rId36" Type="http://schemas.openxmlformats.org/officeDocument/2006/relationships/image" Target="media/image24.png"/><Relationship Id="rId35" Type="http://schemas.openxmlformats.org/officeDocument/2006/relationships/image" Target="media/image23.png"/><Relationship Id="rId34" Type="http://schemas.openxmlformats.org/officeDocument/2006/relationships/image" Target="media/image22.png"/><Relationship Id="rId33" Type="http://schemas.openxmlformats.org/officeDocument/2006/relationships/image" Target="media/image21.png"/><Relationship Id="rId32" Type="http://schemas.openxmlformats.org/officeDocument/2006/relationships/image" Target="media/image20.png"/><Relationship Id="rId31" Type="http://schemas.openxmlformats.org/officeDocument/2006/relationships/image" Target="media/image19.png"/><Relationship Id="rId30" Type="http://schemas.openxmlformats.org/officeDocument/2006/relationships/image" Target="media/image18.png"/><Relationship Id="rId3" Type="http://schemas.openxmlformats.org/officeDocument/2006/relationships/footnotes" Target="footnotes.xml"/><Relationship Id="rId29" Type="http://schemas.openxmlformats.org/officeDocument/2006/relationships/image" Target="media/image17.png"/><Relationship Id="rId28" Type="http://schemas.openxmlformats.org/officeDocument/2006/relationships/image" Target="media/image16.png"/><Relationship Id="rId27" Type="http://schemas.openxmlformats.org/officeDocument/2006/relationships/image" Target="media/image15.png"/><Relationship Id="rId26" Type="http://schemas.openxmlformats.org/officeDocument/2006/relationships/image" Target="media/image14.png"/><Relationship Id="rId25" Type="http://schemas.openxmlformats.org/officeDocument/2006/relationships/image" Target="media/image13.png"/><Relationship Id="rId24" Type="http://schemas.openxmlformats.org/officeDocument/2006/relationships/image" Target="media/image12.png"/><Relationship Id="rId23" Type="http://schemas.openxmlformats.org/officeDocument/2006/relationships/image" Target="media/image11.png"/><Relationship Id="rId22" Type="http://schemas.openxmlformats.org/officeDocument/2006/relationships/image" Target="media/image10.png"/><Relationship Id="rId21" Type="http://schemas.openxmlformats.org/officeDocument/2006/relationships/image" Target="media/image9.png"/><Relationship Id="rId20" Type="http://schemas.openxmlformats.org/officeDocument/2006/relationships/image" Target="media/image8.png"/><Relationship Id="rId2" Type="http://schemas.openxmlformats.org/officeDocument/2006/relationships/settings" Target="settings.xml"/><Relationship Id="rId19" Type="http://schemas.openxmlformats.org/officeDocument/2006/relationships/image" Target="media/image7.png"/><Relationship Id="rId18" Type="http://schemas.openxmlformats.org/officeDocument/2006/relationships/image" Target="media/image6.png"/><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hangjunjie\AppData\Roaming\kingsoft\office6\templates\wps\000huanping\000huanping.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f695eef9-c313-4565-b9d0-eb6775a04eea</errorID>
      <errorWord>达</errorWord>
      <group>L1_Word</group>
      <groupName>字词问题</groupName>
      <ability>L2_Typo</ability>
      <abilityName>字词错误</abilityName>
      <candidateList>
        <item>达到</item>
      </candidateList>
      <explain>〈动〉到（多指抽象事物或程度）：达得到｜达不到｜目的没有～｜～国际水平。</explain>
      <paraID>544264DA</paraID>
      <start>20</start>
      <end>21</end>
      <status>unmodified</status>
      <modifiedWord/>
      <trackRevisions>false</trackRevisions>
    </reviewItem>
    <reviewItem>
      <errorID>0655f132-08c3-457e-a42b-9b37df21d717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52B2318E</paraID>
      <start>22</start>
      <end>23</end>
      <status>unmodified</status>
      <modifiedWord/>
      <trackRevisions>false</trackRevisions>
    </reviewItem>
    <reviewItem>
      <errorID>db98bd07-b909-497f-b524-90e2b39548b1</errorID>
      <errorWord>：/。</errorWord>
      <group>L1_Punc</group>
      <groupName>标点问题</groupName>
      <ability>L2_Punc</ability>
      <abilityName>标点符号检查</abilityName>
      <candidateList>
        <item>：</item>
      </candidateList>
      <explain/>
      <paraID>164751B1</paraID>
      <start>7</start>
      <end>10</end>
      <status>unmodified</status>
      <modifiedWord/>
      <trackRevisions>false</trackRevisions>
    </reviewItem>
    <reviewItem>
      <errorID>9939e460-a1fc-49a7-aa73-458e05b2faa3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7B99026E</paraID>
      <start>0</start>
      <end>2</end>
      <status>unmodified</status>
      <modifiedWord/>
      <trackRevisions>false</trackRevisions>
    </reviewItem>
    <reviewItem>
      <errorID>f7da9b00-281a-417b-9860-2f283a84dc28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7B99026E</paraID>
      <start>20</start>
      <end>21</end>
      <status>unmodified</status>
      <modifiedWord/>
      <trackRevisions>false</trackRevisions>
    </reviewItem>
    <reviewItem>
      <errorID>7ac4d62e-d524-410b-bad9-f7bc2e02e4fc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5401A41C</paraID>
      <start>14</start>
      <end>15</end>
      <status>unmodified</status>
      <modifiedWord/>
      <trackRevisions>false</trackRevisions>
    </reviewItem>
    <reviewItem>
      <errorID>34128e76-e1f7-49be-b147-dfa01dc0afee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AA86A33</paraID>
      <start>0</start>
      <end>2</end>
      <status>unmodified</status>
      <modifiedWord/>
      <trackRevisions>false</trackRevisions>
    </reviewItem>
    <reviewItem>
      <errorID>7d58125f-979d-438e-b2bb-84b1e5c2ae4a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211526D7</paraID>
      <start>0</start>
      <end>2</end>
      <status>unmodified</status>
      <modifiedWord/>
      <trackRevisions>false</trackRevisions>
    </reviewItem>
    <reviewItem>
      <errorID>7f8787ec-b2ec-45b7-b767-f64eb98505b1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75AC51A1</paraID>
      <start>0</start>
      <end>2</end>
      <status>unmodified</status>
      <modifiedWord/>
      <trackRevisions>false</trackRevisions>
    </reviewItem>
    <reviewItem>
      <errorID>bbf5a728-cee1-42e0-ae07-2ae881713e95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2C439E48</paraID>
      <start>17</start>
      <end>20</end>
      <status>unmodified</status>
      <modifiedWord/>
      <trackRevisions>false</trackRevisions>
    </reviewItem>
    <reviewItem>
      <errorID>a5a02b6d-a2a9-4861-a10a-70847f2834b4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2C439E48</paraID>
      <start>64</start>
      <end>67</end>
      <status>unmodified</status>
      <modifiedWord/>
      <trackRevisions>false</trackRevisions>
    </reviewItem>
    <reviewItem>
      <errorID>d293d328-a7c2-49a3-a7c5-4b84ea8d9bce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2C439E48</paraID>
      <start>135</start>
      <end>138</end>
      <status>unmodified</status>
      <modifiedWord/>
      <trackRevisions>false</trackRevisions>
    </reviewItem>
    <reviewItem>
      <errorID>43ca19ee-0f9d-4b4a-b7e5-9c666532c562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7BE5ECE9</paraID>
      <start>16</start>
      <end>19</end>
      <status>unmodified</status>
      <modifiedWord/>
      <trackRevisions>false</trackRevisions>
    </reviewItem>
    <reviewItem>
      <errorID>9f845e74-3635-4def-944d-61bf9c256571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7BE5ECE9</paraID>
      <start>146</start>
      <end>149</end>
      <status>unmodified</status>
      <modifiedWord/>
      <trackRevisions>false</trackRevisions>
    </reviewItem>
    <reviewItem>
      <errorID>de09ec7b-d788-4999-9865-6f66254d7592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7BE5ECE9</paraID>
      <start>165</start>
      <end>168</end>
      <status>unmodified</status>
      <modifiedWord/>
      <trackRevisions>false</trackRevisions>
    </reviewItem>
    <reviewItem>
      <errorID>9df50c5e-6ffe-424a-992e-43b236781390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7BE5ECE9</paraID>
      <start>184</start>
      <end>187</end>
      <status>unmodified</status>
      <modifiedWord/>
      <trackRevisions>false</trackRevisions>
    </reviewItem>
    <reviewItem>
      <errorID>67b2e236-8151-4aa0-9191-2a7a339e3f7e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7BE5ECE9</paraID>
      <start>206</start>
      <end>209</end>
      <status>unmodified</status>
      <modifiedWord/>
      <trackRevisions>false</trackRevisions>
    </reviewItem>
    <reviewItem>
      <errorID>031ac8ed-33e3-4d9a-add0-c4133b17ea01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7BE5ECE9</paraID>
      <start>223</start>
      <end>226</end>
      <status>unmodified</status>
      <modifiedWord/>
      <trackRevisions>false</trackRevisions>
    </reviewItem>
    <reviewItem>
      <errorID>7906191a-77d5-4aef-aea2-38f898ed9754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17083FD3</paraID>
      <start>17</start>
      <end>20</end>
      <status>unmodified</status>
      <modifiedWord/>
      <trackRevisions>false</trackRevisions>
    </reviewItem>
    <reviewItem>
      <errorID>d8ff9e91-243d-4597-88f9-cb3413f89704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17083FD3</paraID>
      <start>28</start>
      <end>31</end>
      <status>unmodified</status>
      <modifiedWord/>
      <trackRevisions>false</trackRevisions>
    </reviewItem>
    <reviewItem>
      <errorID>7a23f844-b768-4e7e-bdb8-ff2f4771f004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17083FD3</paraID>
      <start>41</start>
      <end>44</end>
      <status>unmodified</status>
      <modifiedWord/>
      <trackRevisions>false</trackRevisions>
    </reviewItem>
    <reviewItem>
      <errorID>5b2854ef-8943-43bc-99a0-6d15eda886e2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17083FD3</paraID>
      <start>57</start>
      <end>60</end>
      <status>unmodified</status>
      <modifiedWord/>
      <trackRevisions>false</trackRevisions>
    </reviewItem>
    <reviewItem>
      <errorID>8a4ccd18-c772-4ddc-9d30-fc3029ecc895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17083FD3</paraID>
      <start>85</start>
      <end>88</end>
      <status>unmodified</status>
      <modifiedWord/>
      <trackRevisions>false</trackRevisions>
    </reviewItem>
    <reviewItem>
      <errorID>1b7cb99f-b57f-44ef-9a57-486f896ae518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17083FD3</paraID>
      <start>106</start>
      <end>109</end>
      <status>unmodified</status>
      <modifiedWord/>
      <trackRevisions>false</trackRevisions>
    </reviewItem>
    <reviewItem>
      <errorID>96e8806e-2ceb-4515-ab09-a16dcc5ca688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528AF9D7</paraID>
      <start>413</start>
      <end>416</end>
      <status>unmodified</status>
      <modifiedWord/>
      <trackRevisions>false</trackRevisions>
    </reviewItem>
    <reviewItem>
      <errorID>75ce9940-20b6-4c3a-9b7f-71e7b0216406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528AF9D7</paraID>
      <start>430</start>
      <end>433</end>
      <status>unmodified</status>
      <modifiedWord/>
      <trackRevisions>false</trackRevisions>
    </reviewItem>
    <reviewItem>
      <errorID>4df99a02-93a5-4a63-867b-5238de8225d8</errorID>
      <errorWord>双碳</errorWord>
      <group>L1_Political</group>
      <groupName>政治性问题</groupName>
      <ability>L2_Keyword</ability>
      <abilityName>固定表述</abilityName>
      <candidateList>
        <item>“双碳”</item>
      </candidateList>
      <explain>注意检查当前固定表述标点是否使用规范。</explain>
      <paraID>528AF9D7</paraID>
      <start>481</start>
      <end>483</end>
      <status>unmodified</status>
      <modifiedWord/>
      <trackRevisions>false</trackRevisions>
    </reviewItem>
    <reviewItem>
      <errorID>96a1c08d-9c9d-4e97-b084-f16509d93569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6CB452AC</paraID>
      <start>26</start>
      <end>29</end>
      <status>unmodified</status>
      <modifiedWord/>
      <trackRevisions>false</trackRevisions>
    </reviewItem>
    <reviewItem>
      <errorID>160be319-a000-4ce2-ab18-f5abf072baac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6CB452AC</paraID>
      <start>43</start>
      <end>46</end>
      <status>unmodified</status>
      <modifiedWord/>
      <trackRevisions>false</trackRevisions>
    </reviewItem>
    <reviewItem>
      <errorID>6c96ea62-b747-477e-afff-cedbfc469b5f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6CB452AC</paraID>
      <start>60</start>
      <end>63</end>
      <status>unmodified</status>
      <modifiedWord/>
      <trackRevisions>false</trackRevisions>
    </reviewItem>
    <reviewItem>
      <errorID>ec7612d5-a453-427f-8f0f-5b3e36a82a25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61CC373B</paraID>
      <start>20</start>
      <end>21</end>
      <status>unmodified</status>
      <modifiedWord/>
      <trackRevisions>false</trackRevisions>
    </reviewItem>
    <reviewItem>
      <errorID>e6a22f4d-02a8-4a83-be9d-2fbdca0b831c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6EC7BECD</paraID>
      <start>29</start>
      <end>32</end>
      <status>unmodified</status>
      <modifiedWord/>
      <trackRevisions>false</trackRevisions>
    </reviewItem>
    <reviewItem>
      <errorID>225445f1-577a-46f3-be93-226468ce4418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84EB889</paraID>
      <start>0</start>
      <end>2</end>
      <status>unmodified</status>
      <modifiedWord/>
      <trackRevisions>false</trackRevisions>
    </reviewItem>
    <reviewItem>
      <errorID>2f0eb7cd-d13e-4e14-8832-bcb523871050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4F0A0E39</paraID>
      <start>0</start>
      <end>2</end>
      <status>unmodified</status>
      <modifiedWord/>
      <trackRevisions>false</trackRevisions>
    </reviewItem>
    <reviewItem>
      <errorID>4102d63b-212e-4fb7-8b67-7e782b569ad4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4FD09239</paraID>
      <start>0</start>
      <end>2</end>
      <status>unmodified</status>
      <modifiedWord/>
      <trackRevisions>false</trackRevisions>
    </reviewItem>
    <reviewItem>
      <errorID>6e572592-7803-40bc-84d0-a98fdb55b0b3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F8675AB</paraID>
      <start>0</start>
      <end>2</end>
      <status>unmodified</status>
      <modifiedWord/>
      <trackRevisions>false</trackRevisions>
    </reviewItem>
    <reviewItem>
      <errorID>ebee54f8-9dfc-4de1-a485-04a1c1af4506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345CD63F</paraID>
      <start>0</start>
      <end>2</end>
      <status>unmodified</status>
      <modifiedWord/>
      <trackRevisions>false</trackRevisions>
    </reviewItem>
    <reviewItem>
      <errorID>667ee794-ed4a-427e-ac56-bf0e072b6b09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68940068</paraID>
      <start>0</start>
      <end>2</end>
      <status>unmodified</status>
      <modifiedWord/>
      <trackRevisions>false</trackRevisions>
    </reviewItem>
    <reviewItem>
      <errorID>267ae6be-ee20-4365-ae25-e5a02c76b870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10E0879A</paraID>
      <start>0</start>
      <end>2</end>
      <status>unmodified</status>
      <modifiedWord/>
      <trackRevisions>false</trackRevisions>
    </reviewItem>
    <reviewItem>
      <errorID>c9b7e8b5-3f3c-448e-969a-e13fd86c10b2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10BECF0D</paraID>
      <start>0</start>
      <end>2</end>
      <status>unmodified</status>
      <modifiedWord/>
      <trackRevisions>false</trackRevisions>
    </reviewItem>
    <reviewItem>
      <errorID>3ace4005-cf23-4dc4-ac62-f3ae55e5eaec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319F0BB</paraID>
      <start>0</start>
      <end>2</end>
      <status>unmodified</status>
      <modifiedWord/>
      <trackRevisions>false</trackRevisions>
    </reviewItem>
    <reviewItem>
      <errorID>be6b4ae7-17eb-4d0b-b431-cf5412b907db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1B081B48</paraID>
      <start>0</start>
      <end>3</end>
      <status>unmodified</status>
      <modifiedWord/>
      <trackRevisions>false</trackRevisions>
    </reviewItem>
    <reviewItem>
      <errorID>40ec219d-b5ac-4efb-8d6b-942871f46b66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72F758B5</paraID>
      <start>0</start>
      <end>3</end>
      <status>unmodified</status>
      <modifiedWord/>
      <trackRevisions>false</trackRevisions>
    </reviewItem>
    <reviewItem>
      <errorID>c6feca10-357f-43ea-a4d8-3d9ed7819349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C291315</paraID>
      <start>0</start>
      <end>3</end>
      <status>unmodified</status>
      <modifiedWord/>
      <trackRevisions>false</trackRevisions>
    </reviewItem>
    <reviewItem>
      <errorID>9ae19103-f376-421c-972d-061824a86a3e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1534E298</paraID>
      <start>0</start>
      <end>2</end>
      <status>unmodified</status>
      <modifiedWord/>
      <trackRevisions>false</trackRevisions>
    </reviewItem>
    <reviewItem>
      <errorID>db452a52-08bd-4e1b-8d6e-e15cebce672a</errorID>
      <errorWord>《产业结构调整指导目录》（2024年本）</errorWord>
      <group>L1_Knowledge</group>
      <groupName>知识性问题</groupName>
      <ability>L2_Knowledge</ability>
      <abilityName>其他知识</abilityName>
      <candidateList>
        <item>《产业结构调整指导目录（2024年本）》</item>
      </candidateList>
      <explain>疑似政策文件、法律法规名称等书写不规范，请注意检查。</explain>
      <paraID>1534E298</paraID>
      <start>37</start>
      <end>57</end>
      <status>unmodified</status>
      <modifiedWord/>
      <trackRevisions>false</trackRevisions>
    </reviewItem>
    <reviewItem>
      <errorID>3e29a38d-60e0-4b01-b04e-cf6e201f4882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28E59E97</paraID>
      <start>0</start>
      <end>2</end>
      <status>unmodified</status>
      <modifiedWord/>
      <trackRevisions>false</trackRevisions>
    </reviewItem>
    <reviewItem>
      <errorID>3a002a89-1f1e-4197-9113-bb3a7b4b463e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C01C845</paraID>
      <start>0</start>
      <end>2</end>
      <status>unmodified</status>
      <modifiedWord/>
      <trackRevisions>false</trackRevisions>
    </reviewItem>
    <reviewItem>
      <errorID>2f0dfb01-b54d-4a39-9688-577b9a80118b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3B6CC87F</paraID>
      <start>0</start>
      <end>2</end>
      <status>unmodified</status>
      <modifiedWord/>
      <trackRevisions>false</trackRevisions>
    </reviewItem>
    <reviewItem>
      <errorID>aed9706f-69be-4d81-a281-10931465321f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57548A46</paraID>
      <start>0</start>
      <end>2</end>
      <status>unmodified</status>
      <modifiedWord/>
      <trackRevisions>false</trackRevisions>
    </reviewItem>
    <reviewItem>
      <errorID>deb00bc0-36d8-46b3-af3f-24f161229d3c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61498CF9</paraID>
      <start>0</start>
      <end>2</end>
      <status>unmodified</status>
      <modifiedWord/>
      <trackRevisions>false</trackRevisions>
    </reviewItem>
    <reviewItem>
      <errorID>1475fbb6-3dbd-4f64-8d66-6c3f50d185be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5DB21BB9</paraID>
      <start>0</start>
      <end>2</end>
      <status>unmodified</status>
      <modifiedWord/>
      <trackRevisions>false</trackRevisions>
    </reviewItem>
    <reviewItem>
      <errorID>f1c27d23-f691-40e3-8186-6125199808cc</errorID>
      <errorWord>行业资源</errorWord>
      <group>L1_Knowledge</group>
      <groupName>知识性问题</groupName>
      <ability>L2_Term</ability>
      <abilityName>专业术语</abilityName>
      <candidateList>
        <item>渔业资源</item>
      </candidateList>
      <explain/>
      <paraID>5DB21BB9</paraID>
      <start>34</start>
      <end>38</end>
      <status>unmodified</status>
      <modifiedWord/>
      <trackRevisions>false</trackRevisions>
    </reviewItem>
    <reviewItem>
      <errorID>a596d1b5-d5b9-4218-a393-7810f1a3af1e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14DE7E4C</paraID>
      <start>0</start>
      <end>2</end>
      <status>unmodified</status>
      <modifiedWord/>
      <trackRevisions>false</trackRevisions>
    </reviewItem>
    <reviewItem>
      <errorID>64e5824d-04f6-4719-8e18-4c4a35b7ae4c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369FE747</paraID>
      <start>0</start>
      <end>2</end>
      <status>unmodified</status>
      <modifiedWord/>
      <trackRevisions>false</trackRevisions>
    </reviewItem>
    <reviewItem>
      <errorID>0c38e2bf-4558-4ef8-9136-d65390bb76d1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1EF1354</paraID>
      <start>0</start>
      <end>3</end>
      <status>unmodified</status>
      <modifiedWord/>
      <trackRevisions>false</trackRevisions>
    </reviewItem>
    <reviewItem>
      <errorID>983a0dbc-c3f5-4de2-bd8e-eab8b002f859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38942BFE</paraID>
      <start>0</start>
      <end>3</end>
      <status>unmodified</status>
      <modifiedWord/>
      <trackRevisions>false</trackRevisions>
    </reviewItem>
    <reviewItem>
      <errorID>5d04301c-84d1-4c31-8a9d-6eab7ed1fed3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344FACDD</paraID>
      <start>0</start>
      <end>3</end>
      <status>unmodified</status>
      <modifiedWord/>
      <trackRevisions>false</trackRevisions>
    </reviewItem>
    <reviewItem>
      <errorID>c4d349a1-909b-499d-9e5b-2700761b102f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2C859467</paraID>
      <start>0</start>
      <end>2</end>
      <status>unmodified</status>
      <modifiedWord/>
      <trackRevisions>false</trackRevisions>
    </reviewItem>
    <reviewItem>
      <errorID>7a0efa28-c092-43c2-a3e6-c6ffb939b4f5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231F73C4</paraID>
      <start>0</start>
      <end>2</end>
      <status>unmodified</status>
      <modifiedWord/>
      <trackRevisions>false</trackRevisions>
    </reviewItem>
    <reviewItem>
      <errorID>eb092ad5-3bcd-4d2d-927f-ee619249719a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8A8F914</paraID>
      <start>0</start>
      <end>2</end>
      <status>unmodified</status>
      <modifiedWord/>
      <trackRevisions>false</trackRevisions>
    </reviewItem>
    <reviewItem>
      <errorID>6413f25f-0c13-409d-927a-8ebc151c49fd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556823B2</paraID>
      <start>0</start>
      <end>2</end>
      <status>unmodified</status>
      <modifiedWord/>
      <trackRevisions>false</trackRevisions>
    </reviewItem>
    <reviewItem>
      <errorID>18fb78fe-5dee-49cf-bbce-037650713718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15FD4E5D</paraID>
      <start>0</start>
      <end>2</end>
      <status>unmodified</status>
      <modifiedWord/>
      <trackRevisions>false</trackRevisions>
    </reviewItem>
    <reviewItem>
      <errorID>c2499451-dce6-4e46-b313-39046df500c0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77F97FC</paraID>
      <start>0</start>
      <end>2</end>
      <status>unmodified</status>
      <modifiedWord/>
      <trackRevisions>false</trackRevisions>
    </reviewItem>
    <reviewItem>
      <errorID>8db5d91a-88f7-488a-996b-738b19348538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56E40B</paraID>
      <start>0</start>
      <end>2</end>
      <status>unmodified</status>
      <modifiedWord/>
      <trackRevisions>false</trackRevisions>
    </reviewItem>
    <reviewItem>
      <errorID>f61ea139-ac52-4dfe-949c-9499b2e84df7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7AB18CE8</paraID>
      <start>0</start>
      <end>2</end>
      <status>unmodified</status>
      <modifiedWord/>
      <trackRevisions>false</trackRevisions>
    </reviewItem>
    <reviewItem>
      <errorID>35665e12-722a-4cf5-8418-562dd0981f90</errorID>
      <errorWord>外逸</errorWord>
      <group>L1_Word</group>
      <groupName>字词问题</groupName>
      <ability>L2_Typo</ability>
      <abilityName>字词错误</abilityName>
      <candidateList>
        <item>外溢</item>
      </candidateList>
      <explain/>
      <paraID>7AB18CE8</paraID>
      <start>80</start>
      <end>82</end>
      <status>unmodified</status>
      <modifiedWord/>
      <trackRevisions>false</trackRevisions>
    </reviewItem>
    <reviewItem>
      <errorID>52aefdd9-13b2-4b4e-b33b-c51abf34fc2d</errorID>
      <errorWord>散状</errorWord>
      <group>L1_Word</group>
      <groupName>字词问题</groupName>
      <ability>L2_Typo</ability>
      <abilityName>字词错误</abilityName>
      <candidateList>
        <item>散装</item>
      </candidateList>
      <explain/>
      <paraID>7AB18CE8</paraID>
      <start>153</start>
      <end>155</end>
      <status>unmodified</status>
      <modifiedWord/>
      <trackRevisions>false</trackRevisions>
    </reviewItem>
    <reviewItem>
      <errorID>51942a5e-1936-4151-8026-bde5236780f8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172E3CAF</paraID>
      <start>0</start>
      <end>2</end>
      <status>unmodified</status>
      <modifiedWord/>
      <trackRevisions>false</trackRevisions>
    </reviewItem>
    <reviewItem>
      <errorID>57504e09-4e11-4813-a8d3-d45727602e3d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57C3875C</paraID>
      <start>0</start>
      <end>2</end>
      <status>unmodified</status>
      <modifiedWord/>
      <trackRevisions>false</trackRevisions>
    </reviewItem>
    <reviewItem>
      <errorID>e52a6d8f-34cc-4422-921b-1ab48d2f0f00</errorID>
      <errorWord>达</errorWord>
      <group>L1_Word</group>
      <groupName>字词问题</groupName>
      <ability>L2_Typo</ability>
      <abilityName>字词错误</abilityName>
      <candidateList>
        <item>达到</item>
      </candidateList>
      <explain>〈动〉到（多指抽象事物或程度）：达得到｜达不到｜目的没有～｜～国际水平。</explain>
      <paraID>57C3875C</paraID>
      <start>16</start>
      <end>17</end>
      <status>unmodified</status>
      <modifiedWord/>
      <trackRevisions>false</trackRevisions>
    </reviewItem>
    <reviewItem>
      <errorID>23571e11-2395-4661-9cb0-510c9d7b220f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32CC4E5</paraID>
      <start>0</start>
      <end>2</end>
      <status>unmodified</status>
      <modifiedWord/>
      <trackRevisions>false</trackRevisions>
    </reviewItem>
    <reviewItem>
      <errorID>a9b16a24-0176-40df-9796-5f258b7ff404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678A2AF4</paraID>
      <start>0</start>
      <end>2</end>
      <status>unmodified</status>
      <modifiedWord/>
      <trackRevisions>false</trackRevisions>
    </reviewItem>
    <reviewItem>
      <errorID>016aa28c-5a56-4a4d-88be-17c8e833bc79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23B8E318</paraID>
      <start>0</start>
      <end>2</end>
      <status>unmodified</status>
      <modifiedWord/>
      <trackRevisions>false</trackRevisions>
    </reviewItem>
    <reviewItem>
      <errorID>98c19fcf-1ac4-4368-aa3d-38f0f317f478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71DAD873</paraID>
      <start>0</start>
      <end>2</end>
      <status>unmodified</status>
      <modifiedWord/>
      <trackRevisions>false</trackRevisions>
    </reviewItem>
    <reviewItem>
      <errorID>573a5623-1ab7-4521-b86e-79224dc4b970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1EE9F598</paraID>
      <start>0</start>
      <end>2</end>
      <status>unmodified</status>
      <modifiedWord/>
      <trackRevisions>false</trackRevisions>
    </reviewItem>
    <reviewItem>
      <errorID>df64d13e-128a-44a2-bc24-581b949ea30e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4F011CE</paraID>
      <start>0</start>
      <end>2</end>
      <status>unmodified</status>
      <modifiedWord/>
      <trackRevisions>false</trackRevisions>
    </reviewItem>
    <reviewItem>
      <errorID>743a1518-2a37-42bc-a700-cc9066fae5b4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5C028A1C</paraID>
      <start>0</start>
      <end>2</end>
      <status>unmodified</status>
      <modifiedWord/>
      <trackRevisions>false</trackRevisions>
    </reviewItem>
    <reviewItem>
      <errorID>3c38a104-209d-440a-87e0-54cf42ab26d5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41BED5BC</paraID>
      <start>0</start>
      <end>2</end>
      <status>unmodified</status>
      <modifiedWord/>
      <trackRevisions>false</trackRevisions>
    </reviewItem>
    <reviewItem>
      <errorID>1846f663-03ac-48df-860d-160da0aa876e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72F6D866</paraID>
      <start>0</start>
      <end>2</end>
      <status>unmodified</status>
      <modifiedWord/>
      <trackRevisions>false</trackRevisions>
    </reviewItem>
    <reviewItem>
      <errorID>5708c492-e9b8-49b8-9855-53c554077da7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492CE0E4</paraID>
      <start>0</start>
      <end>2</end>
      <status>unmodified</status>
      <modifiedWord/>
      <trackRevisions>false</trackRevisions>
    </reviewItem>
    <reviewItem>
      <errorID>a1d3720a-9942-456d-8487-bf8fb34296f8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62B137C8</paraID>
      <start>0</start>
      <end>2</end>
      <status>unmodified</status>
      <modifiedWord/>
      <trackRevisions>false</trackRevisions>
    </reviewItem>
    <reviewItem>
      <errorID>2bca4ef4-fee2-4bcc-8537-03f8170a7976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43B5DA62</paraID>
      <start>0</start>
      <end>2</end>
      <status>unmodified</status>
      <modifiedWord/>
      <trackRevisions>false</trackRevisions>
    </reviewItem>
    <reviewItem>
      <errorID>0e4536f9-f058-4758-ae66-b892912045fc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3287BC91</paraID>
      <start>0</start>
      <end>2</end>
      <status>unmodified</status>
      <modifiedWord/>
      <trackRevisions>false</trackRevisions>
    </reviewItem>
    <reviewItem>
      <errorID>48fe9cb5-95c9-45cc-9a2c-bd981e852f90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4E0C1A76</paraID>
      <start>0</start>
      <end>2</end>
      <status>unmodified</status>
      <modifiedWord/>
      <trackRevisions>false</trackRevisions>
    </reviewItem>
    <reviewItem>
      <errorID>36f1d1db-fdad-448b-992c-498313a81e71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656E43AA</paraID>
      <start>0</start>
      <end>2</end>
      <status>unmodified</status>
      <modifiedWord/>
      <trackRevisions>false</trackRevisions>
    </reviewItem>
    <reviewItem>
      <errorID>8d984c3f-4d1c-4d9f-8fc7-25925de8d20e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6B74B735</paraID>
      <start>0</start>
      <end>2</end>
      <status>unmodified</status>
      <modifiedWord/>
      <trackRevisions>false</trackRevisions>
    </reviewItem>
    <reviewItem>
      <errorID>7acbaae3-db4e-4706-8a3d-2cf9ec9d837c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58DFDFD9</paraID>
      <start>0</start>
      <end>2</end>
      <status>unmodified</status>
      <modifiedWord/>
      <trackRevisions>false</trackRevisions>
    </reviewItem>
    <reviewItem>
      <errorID>68107648-a4cf-4d30-ba8e-b4c41148d4d0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1F9B6B7D</paraID>
      <start>0</start>
      <end>2</end>
      <status>unmodified</status>
      <modifiedWord/>
      <trackRevisions>false</trackRevisions>
    </reviewItem>
    <reviewItem>
      <errorID>8e6593ea-eb21-49d2-8526-27449ef30525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28776437</paraID>
      <start>0</start>
      <end>2</end>
      <status>unmodified</status>
      <modifiedWord/>
      <trackRevisions>false</trackRevisions>
    </reviewItem>
    <reviewItem>
      <errorID>d37ee3c5-9bd7-4ca0-9a4d-e72606b77953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74C689A</paraID>
      <start>0</start>
      <end>2</end>
      <status>unmodified</status>
      <modifiedWord/>
      <trackRevisions>false</trackRevisions>
    </reviewItem>
    <reviewItem>
      <errorID>c54dae6f-e36b-4b76-b2a2-36403bce065a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7D91BA24</paraID>
      <start>0</start>
      <end>2</end>
      <status>unmodified</status>
      <modifiedWord/>
      <trackRevisions>false</trackRevisions>
    </reviewItem>
    <reviewItem>
      <errorID>1a598ad2-2a9d-4246-a311-12b849aa6bb9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79CFB36D</paraID>
      <start>0</start>
      <end>2</end>
      <status>unmodified</status>
      <modifiedWord/>
      <trackRevisions>false</trackRevisions>
    </reviewItem>
    <reviewItem>
      <errorID>1e193685-ee2f-4d1e-958f-41e395e82ab1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1A4DBCDB</paraID>
      <start>0</start>
      <end>2</end>
      <status>unmodified</status>
      <modifiedWord/>
      <trackRevisions>false</trackRevisions>
    </reviewItem>
    <reviewItem>
      <errorID>9dff87f6-fc0c-4615-9cb8-ce07ee9967a3</errorID>
      <errorWord>长江保护法</errorWord>
      <group>L1_Knowledge</group>
      <groupName>知识性问题</groupName>
      <ability>L2_Knowledge</ability>
      <abilityName>其他知识</abilityName>
      <candidateList>
        <item>中华人民共和国长江保护法</item>
      </candidateList>
      <explain>当前法律法规名称使用简称，请注意是否应当使用全称。</explain>
      <paraID>1A4DBCDB</paraID>
      <start>55</start>
      <end>60</end>
      <status>unmodified</status>
      <modifiedWord/>
      <trackRevisions>false</trackRevisions>
    </reviewItem>
    <reviewItem>
      <errorID>6faaa748-2c1e-4132-82db-19ce7cbb8ddd</errorID>
      <errorWord>长江保护法</errorWord>
      <group>L1_Knowledge</group>
      <groupName>知识性问题</groupName>
      <ability>L2_Knowledge</ability>
      <abilityName>其他知识</abilityName>
      <candidateList>
        <item>中华人民共和国长江保护法</item>
      </candidateList>
      <explain>当前法律法规名称使用简称，请注意是否应当使用全称。</explain>
      <paraID>3352DE73</paraID>
      <start>63</start>
      <end>68</end>
      <status>unmodified</status>
      <modifiedWord/>
      <trackRevisions>false</trackRevisions>
    </reviewItem>
    <reviewItem>
      <errorID>8c934655-e71f-43ab-abfe-f88b10194e7b</errorID>
      <errorWord>农村面源污染</errorWord>
      <group>L1_Political</group>
      <groupName>政治性问题</groupName>
      <ability>L2_Keyword</ability>
      <abilityName>固定表述</abilityName>
      <candidateList>
        <item>农业面源污染</item>
      </candidateList>
      <explain>词汇“农业面源污染”在特定场景下为固定表述形式，请确认此处的“农村面源污染”是否存在不当。</explain>
      <paraID>2D1720DC</paraID>
      <start>28</start>
      <end>34</end>
      <status>unmodified</status>
      <modifiedWord/>
      <trackRevisions>false</trackRevisions>
    </reviewItem>
    <reviewItem>
      <errorID>5bf8ecb6-6743-4644-9b4b-4c28854b1628</errorID>
      <errorWord>达</errorWord>
      <group>L1_Word</group>
      <groupName>字词问题</groupName>
      <ability>L2_Typo</ability>
      <abilityName>字词错误</abilityName>
      <candidateList>
        <item>达到</item>
      </candidateList>
      <explain>〈动〉到（多指抽象事物或程度）：达得到｜达不到｜目的没有～｜～国际水平。</explain>
      <paraID>6B546AF1</paraID>
      <start>40</start>
      <end>41</end>
      <status>unmodified</status>
      <modifiedWord/>
      <trackRevisions>false</trackRevisions>
    </reviewItem>
    <reviewItem>
      <errorID>c7d64cf3-849a-4e75-8e16-6ff0f46cd04f</errorID>
      <errorWord>达</errorWord>
      <group>L1_Word</group>
      <groupName>字词问题</groupName>
      <ability>L2_Typo</ability>
      <abilityName>字词错误</abilityName>
      <candidateList>
        <item>达到</item>
      </candidateList>
      <explain>〈动〉到（多指抽象事物或程度）：达得到｜达不到｜目的没有～｜～国际水平。</explain>
      <paraID> E2A4346</paraID>
      <start>14</start>
      <end>15</end>
      <status>unmodified</status>
      <modifiedWord/>
      <trackRevisions>false</trackRevisions>
    </reviewItem>
    <reviewItem>
      <errorID>12fb1d5e-bd9c-4dd7-861f-2d58f11886a1</errorID>
      <errorWord>长江保护法</errorWord>
      <group>L1_Knowledge</group>
      <groupName>知识性问题</groupName>
      <ability>L2_Knowledge</ability>
      <abilityName>其他知识</abilityName>
      <candidateList>
        <item>中华人民共和国长江保护法</item>
      </candidateList>
      <explain>当前法律法规名称使用简称，请注意是否应当使用全称。</explain>
      <paraID>3F5FECE2</paraID>
      <start>1</start>
      <end>6</end>
      <status>unmodified</status>
      <modifiedWord/>
      <trackRevisions>false</trackRevisions>
    </reviewItem>
    <reviewItem>
      <errorID>61acc8cd-cfa1-4e2a-a4b2-8bb495ac51df</errorID>
      <errorWord>达</errorWord>
      <group>L1_Word</group>
      <groupName>字词问题</groupName>
      <ability>L2_Typo</ability>
      <abilityName>字词错误</abilityName>
      <candidateList>
        <item>达到</item>
      </candidateList>
      <explain>〈动〉到（多指抽象事物或程度）：达得到｜达不到｜目的没有～｜～国际水平。</explain>
      <paraID>4C3F883F</paraID>
      <start>16</start>
      <end>17</end>
      <status>unmodified</status>
      <modifiedWord/>
      <trackRevisions>false</trackRevisions>
    </reviewItem>
    <reviewItem>
      <errorID>77a30f3d-b30d-4dc6-9a7b-387c2234e9f3</errorID>
      <errorWord>胜</errorWord>
      <group>L1_Word</group>
      <groupName>字词问题</groupName>
      <ability>L2_Typo</ability>
      <abilityName>字词错误</abilityName>
      <candidateList>
        <item>胜区</item>
      </candidateList>
      <explain/>
      <paraID>701C14B8</paraID>
      <start>67</start>
      <end>68</end>
      <status>unmodified</status>
      <modifiedWord/>
      <trackRevisions>false</trackRevisions>
    </reviewItem>
    <reviewItem>
      <errorID>80cc7d05-884c-45d2-aa62-7370babf15e2</errorID>
      <errorWord>河</errorWord>
      <group>L1_Word</group>
      <groupName>字词问题</groupName>
      <ability>L2_Typo</ability>
      <abilityName>字词错误</abilityName>
      <candidateList>
        <item>和</item>
      </candidateList>
      <explain>〈量〉用于洗东西换水的次数或一剂药煎的次数：衣裳已经洗了三～｜二～药。</explain>
      <paraID> 5E990D0</paraID>
      <start>51</start>
      <end>52</end>
      <status>unmodified</status>
      <modifiedWord/>
      <trackRevisions>false</trackRevisions>
    </reviewItem>
    <reviewItem>
      <errorID>2fa654f5-08f3-4a04-b5e2-2048b6e3d249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58065224</paraID>
      <start>0</start>
      <end>2</end>
      <status>unmodified</status>
      <modifiedWord/>
      <trackRevisions>false</trackRevisions>
    </reviewItem>
    <reviewItem>
      <errorID>3b17304d-2239-43e8-9cae-fe12d94c383d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58A1668</paraID>
      <start>0</start>
      <end>2</end>
      <status>unmodified</status>
      <modifiedWord/>
      <trackRevisions>false</trackRevisions>
    </reviewItem>
    <reviewItem>
      <errorID>96c54a16-de9c-4d7f-ae4d-7ce5751edced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1D8A59C4</paraID>
      <start>0</start>
      <end>2</end>
      <status>unmodified</status>
      <modifiedWord/>
      <trackRevisions>false</trackRevisions>
    </reviewItem>
    <reviewItem>
      <errorID>03de0de1-aa42-4dbe-a582-c07f11fcf27d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5FA280B4</paraID>
      <start>0</start>
      <end>2</end>
      <status>unmodified</status>
      <modifiedWord/>
      <trackRevisions>false</trackRevisions>
    </reviewItem>
    <reviewItem>
      <errorID>f66cce61-ca58-4e02-bd63-b60dd8a63d78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783064AF</paraID>
      <start>0</start>
      <end>2</end>
      <status>unmodified</status>
      <modifiedWord/>
      <trackRevisions>false</trackRevisions>
    </reviewItem>
    <reviewItem>
      <errorID>e590dbcd-c4ac-4559-b9fd-1f5bcc43a8d7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739391F8</paraID>
      <start>0</start>
      <end>2</end>
      <status>unmodified</status>
      <modifiedWord/>
      <trackRevisions>false</trackRevisions>
    </reviewItem>
    <reviewItem>
      <errorID>5e04991c-dbf6-42f7-b8c7-03b42c2aa864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7F53D5CB</paraID>
      <start>0</start>
      <end>2</end>
      <status>unmodified</status>
      <modifiedWord/>
      <trackRevisions>false</trackRevisions>
    </reviewItem>
    <reviewItem>
      <errorID>6a01e0ee-7a1a-4592-9268-7ce6559804e9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4E3DD2F1</paraID>
      <start>0</start>
      <end>2</end>
      <status>unmodified</status>
      <modifiedWord/>
      <trackRevisions>false</trackRevisions>
    </reviewItem>
    <reviewItem>
      <errorID>7d4a20eb-b458-48c1-a26c-4131bdce822a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34D24DAE</paraID>
      <start>0</start>
      <end>2</end>
      <status>unmodified</status>
      <modifiedWord/>
      <trackRevisions>false</trackRevisions>
    </reviewItem>
    <reviewItem>
      <errorID>b1d3d743-eb5a-4b24-ac94-8eceb5c32776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2FAD5CB</paraID>
      <start>0</start>
      <end>2</end>
      <status>unmodified</status>
      <modifiedWord/>
      <trackRevisions>false</trackRevisions>
    </reviewItem>
    <reviewItem>
      <errorID>2f7cbf07-aa55-4c60-9695-c7126307a6ad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66F82368</paraID>
      <start>0</start>
      <end>2</end>
      <status>unmodified</status>
      <modifiedWord/>
      <trackRevisions>false</trackRevisions>
    </reviewItem>
    <reviewItem>
      <errorID>a5fbe776-b9ed-4d9c-bb81-6309d68214e0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34FD56E5</paraID>
      <start>0</start>
      <end>2</end>
      <status>unmodified</status>
      <modifiedWord/>
      <trackRevisions>false</trackRevisions>
    </reviewItem>
    <reviewItem>
      <errorID>5089ca82-68ad-436a-8d36-f684158c6ac2</errorID>
      <errorWord>规</errorWord>
      <group>L1_Word</group>
      <groupName>字词问题</groupName>
      <ability>L2_Typo</ability>
      <abilityName>字词错误</abilityName>
      <candidateList>
        <item>规和</item>
      </candidateList>
      <explain/>
      <paraID>75FB70E5</paraID>
      <start>57</start>
      <end>58</end>
      <status>unmodified</status>
      <modifiedWord/>
      <trackRevisions>false</trackRevisions>
    </reviewItem>
    <reviewItem>
      <errorID>d63b8078-f298-4166-b024-1c59e79ec770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58EBD2CA</paraID>
      <start>0</start>
      <end>2</end>
      <status>unmodified</status>
      <modifiedWord/>
      <trackRevisions>false</trackRevisions>
    </reviewItem>
    <reviewItem>
      <errorID>b379105c-874d-4765-8455-68831e53e550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5F9EEA2F</paraID>
      <start>0</start>
      <end>2</end>
      <status>unmodified</status>
      <modifiedWord/>
      <trackRevisions>false</trackRevisions>
    </reviewItem>
    <reviewItem>
      <errorID>b2787761-cab3-48e2-b5e4-ce2394b46fc6</errorID>
      <errorWord>环保治理</errorWord>
      <group>L1_Word</group>
      <groupName>字词问题</groupName>
      <ability>L2_Typo</ability>
      <abilityName>字词错误</abilityName>
      <candidateList>
        <item>环境治理</item>
      </candidateList>
      <explain/>
      <paraID>5F9EEA2F</paraID>
      <start>4</start>
      <end>8</end>
      <status>unmodified</status>
      <modifiedWord/>
      <trackRevisions>false</trackRevisions>
    </reviewItem>
    <reviewItem>
      <errorID>43aae0db-2f21-4d6a-bd7c-7ee42e8654e1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754A7D1F</paraID>
      <start>0</start>
      <end>2</end>
      <status>unmodified</status>
      <modifiedWord/>
      <trackRevisions>false</trackRevisions>
    </reviewItem>
    <reviewItem>
      <errorID>ee89139a-8eda-46d0-9ba6-2137582b70e2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65BF9483</paraID>
      <start>0</start>
      <end>2</end>
      <status>unmodified</status>
      <modifiedWord/>
      <trackRevisions>false</trackRevisions>
    </reviewItem>
    <reviewItem>
      <errorID>e8d8b1ab-0ce1-4bd8-9f70-6aebe5e2761d</errorID>
      <errorWord>浇铸工序</errorWord>
      <group>L1_Word</group>
      <groupName>字词问题</groupName>
      <ability>L2_Typo</ability>
      <abilityName>字词错误</abilityName>
      <candidateList>
        <item>浇筑工序</item>
      </candidateList>
      <explain/>
      <paraID>65BF9483</paraID>
      <start>2</start>
      <end>6</end>
      <status>unmodified</status>
      <modifiedWord/>
      <trackRevisions>false</trackRevisions>
    </reviewItem>
    <reviewItem>
      <errorID>a016e770-5730-426b-9df4-da60c5dac081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BFFE0EA</paraID>
      <start>0</start>
      <end>2</end>
      <status>unmodified</status>
      <modifiedWord/>
      <trackRevisions>false</trackRevisions>
    </reviewItem>
    <reviewItem>
      <errorID>59485897-2066-455a-8d68-c3893f7bb05d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8DB1A91</paraID>
      <start>0</start>
      <end>2</end>
      <status>unmodified</status>
      <modifiedWord/>
      <trackRevisions>false</trackRevisions>
    </reviewItem>
    <reviewItem>
      <errorID>0004a6db-47d6-4a1e-9c28-f9ddf5a71ace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2FDFC14E</paraID>
      <start>0</start>
      <end>2</end>
      <status>unmodified</status>
      <modifiedWord/>
      <trackRevisions>false</trackRevisions>
    </reviewItem>
    <reviewItem>
      <errorID>740a03c2-fb3d-43a7-a2b1-e33329f882d7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5E0FC1BE</paraID>
      <start>0</start>
      <end>2</end>
      <status>unmodified</status>
      <modifiedWord/>
      <trackRevisions>false</trackRevisions>
    </reviewItem>
    <reviewItem>
      <errorID>7f7544d4-5b58-4563-9777-95616faa872c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7CAF323C</paraID>
      <start>0</start>
      <end>2</end>
      <status>unmodified</status>
      <modifiedWord/>
      <trackRevisions>false</trackRevisions>
    </reviewItem>
    <reviewItem>
      <errorID>71b9d287-4ec7-4894-8a03-61a6cd89ccae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682724ED</paraID>
      <start>0</start>
      <end>2</end>
      <status>unmodified</status>
      <modifiedWord/>
      <trackRevisions>false</trackRevisions>
    </reviewItem>
    <reviewItem>
      <errorID>7c08cf3e-da95-401a-a567-20e1f11ffa16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40C07F20</paraID>
      <start>0</start>
      <end>2</end>
      <status>unmodified</status>
      <modifiedWord/>
      <trackRevisions>false</trackRevisions>
    </reviewItem>
    <reviewItem>
      <errorID>4e02f9fe-0e04-431f-a8cf-6d0bbe4ed3a5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33D9BF19</paraID>
      <start>0</start>
      <end>2</end>
      <status>unmodified</status>
      <modifiedWord/>
      <trackRevisions>false</trackRevisions>
    </reviewItem>
    <reviewItem>
      <errorID>e01f7b05-6f97-415f-961e-de3441e6f2e5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2FDCF494</paraID>
      <start>0</start>
      <end>2</end>
      <status>unmodified</status>
      <modifiedWord/>
      <trackRevisions>false</trackRevisions>
    </reviewItem>
    <reviewItem>
      <errorID>5fec96c0-a184-4af6-8d80-906dffa003a9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4A9FAFBA</paraID>
      <start>33</start>
      <end>36</end>
      <status>unmodified</status>
      <modifiedWord/>
      <trackRevisions>false</trackRevisions>
    </reviewItem>
    <reviewItem>
      <errorID>2ce84b18-4c0c-4c1d-96da-a633e219eb66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4A9FAFBA</paraID>
      <start>68</start>
      <end>71</end>
      <status>unmodified</status>
      <modifiedWord/>
      <trackRevisions>false</trackRevisions>
    </reviewItem>
    <reviewItem>
      <errorID>e9d92c78-c1b0-45f0-b7e8-338b98b0d402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4A9FAFBA</paraID>
      <start>87</start>
      <end>90</end>
      <status>unmodified</status>
      <modifiedWord/>
      <trackRevisions>false</trackRevisions>
    </reviewItem>
    <reviewItem>
      <errorID>6f7a469a-c8c5-479e-834f-c5eb25f8e6a5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4A9FAFBA</paraID>
      <start>107</start>
      <end>110</end>
      <status>unmodified</status>
      <modifiedWord/>
      <trackRevisions>false</trackRevisions>
    </reviewItem>
    <reviewItem>
      <errorID>f9dae7b0-02f4-472c-a3df-4b29575ad9ce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4A9FAFBA</paraID>
      <start>125</start>
      <end>128</end>
      <status>unmodified</status>
      <modifiedWord/>
      <trackRevisions>false</trackRevisions>
    </reviewItem>
    <reviewItem>
      <errorID>de02b158-fdfa-4611-bcb9-cfd381f70010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2F1D9A7E</paraID>
      <start>0</start>
      <end>2</end>
      <status>unmodified</status>
      <modifiedWord/>
      <trackRevisions>false</trackRevisions>
    </reviewItem>
    <reviewItem>
      <errorID>03825361-90a0-48c1-a984-b6b03978c99b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1DBCB183</paraID>
      <start>0</start>
      <end>2</end>
      <status>unmodified</status>
      <modifiedWord/>
      <trackRevisions>false</trackRevisions>
    </reviewItem>
    <reviewItem>
      <errorID>f2d7e057-82a5-4322-9a37-4cf6fc616cd6</errorID>
      <errorWord>长江保护法</errorWord>
      <group>L1_Knowledge</group>
      <groupName>知识性问题</groupName>
      <ability>L2_Knowledge</ability>
      <abilityName>其他知识</abilityName>
      <candidateList>
        <item>中华人民共和国长江保护法</item>
      </candidateList>
      <explain>当前法律法规名称使用简称，请注意是否应当使用全称。</explain>
      <paraID>754CDC52</paraID>
      <start>31</start>
      <end>36</end>
      <status>unmodified</status>
      <modifiedWord/>
      <trackRevisions>false</trackRevisions>
    </reviewItem>
    <reviewItem>
      <errorID>45ef2aeb-9d75-4833-9de0-d3c5f6522068</errorID>
      <errorWord>长江保护法</errorWord>
      <group>L1_Knowledge</group>
      <groupName>知识性问题</groupName>
      <ability>L2_Knowledge</ability>
      <abilityName>其他知识</abilityName>
      <candidateList>
        <item>中华人民共和国长江保护法</item>
      </candidateList>
      <explain>当前法律法规名称使用简称，请注意是否应当使用全称。</explain>
      <paraID>20AD2E93</paraID>
      <start>57</start>
      <end>62</end>
      <status>unmodified</status>
      <modifiedWord/>
      <trackRevisions>false</trackRevisions>
    </reviewItem>
    <reviewItem>
      <errorID>5e20bba3-e183-4fce-9643-ac71fbdd2112</errorID>
      <errorWord>-</errorWord>
      <group>L1_Format</group>
      <groupName>格式问题</groupName>
      <ability>L2_HalfPunc</ability>
      <abilityName>全半角检查</abilityName>
      <candidateList>
        <item>－</item>
      </candidateList>
      <explain>文本全半角错误。</explain>
      <paraID>1FCADE88</paraID>
      <start>9</start>
      <end>10</end>
      <status>unmodified</status>
      <modifiedWord/>
      <trackRevisions>false</trackRevisions>
    </reviewItem>
    <reviewItem>
      <errorID>385ff38b-2195-43dc-84ca-d867b611d61d</errorID>
      <errorWord>-</errorWord>
      <group>L1_Format</group>
      <groupName>格式问题</groupName>
      <ability>L2_HalfPunc</ability>
      <abilityName>全半角检查</abilityName>
      <candidateList>
        <item>－</item>
      </candidateList>
      <explain>文本全半角错误。</explain>
      <paraID>1FCADE88</paraID>
      <start>14</start>
      <end>15</end>
      <status>unmodified</status>
      <modifiedWord/>
      <trackRevisions>false</trackRevisions>
    </reviewItem>
    <reviewItem>
      <errorID>94ad36b7-508f-443b-b9be-2b4668f6d2b7</errorID>
      <errorWord>15%-30%</errorWord>
      <group>L1_Knowledge</group>
      <groupName>知识性问题</groupName>
      <ability>L2_Knowledge</ability>
      <abilityName>其他知识</abilityName>
      <candidateList>
        <item>15%—30%</item>
      </candidateList>
      <explain>1. “15%-30%”中的单位“%”仅出现在后一个数字上，容易引起歧义；根据《现代汉语标点符号数字用法规范手册》，数字表示范围两边需要使用统一的格式。2. 根据标点国标 4.13 中的规则，数字、时间或地域连接符应使用（视觉上更长的）“—”或“～”。</explain>
      <paraID>44C7DBDA</paraID>
      <start>12</start>
      <end>19</end>
      <status>unmodified</status>
      <modifiedWord/>
      <trackRevisions>false</trackRevisions>
    </reviewItem>
    <reviewItem>
      <errorID>2ffc8fb2-2af2-4fb1-b9ac-9a8bdf96c485</errorID>
      <errorWord>5%-15%</errorWord>
      <group>L1_Knowledge</group>
      <groupName>知识性问题</groupName>
      <ability>L2_Knowledge</ability>
      <abilityName>其他知识</abilityName>
      <candidateList>
        <item>5%—15%</item>
      </candidateList>
      <explain>1. “5%-15%”中的单位“%”仅出现在后一个数字上，容易引起歧义；根据《现代汉语标点符号数字用法规范手册》，数字表示范围两边需要使用统一的格式。2. 根据标点国标 4.13 中的规则，数字、时间或地域连接符应使用（视觉上更长的）“—”或“～”。</explain>
      <paraID>44C7DBDA</paraID>
      <start>24</start>
      <end>30</end>
      <status>unmodified</status>
      <modifiedWord/>
      <trackRevisions>false</trackRevisions>
    </reviewItem>
    <reviewItem>
      <errorID>9f5bfe3c-440b-4663-ac93-56930a2a09bd</errorID>
      <errorWord>20%-40%</errorWord>
      <group>L1_Knowledge</group>
      <groupName>知识性问题</groupName>
      <ability>L2_Knowledge</ability>
      <abilityName>其他知识</abilityName>
      <candidateList>
        <item>20%—40%</item>
      </candidateList>
      <explain>1. “20%-40%”中的单位“%”仅出现在后一个数字上，容易引起歧义；根据《现代汉语标点符号数字用法规范手册》，数字表示范围两边需要使用统一的格式。2. 根据标点国标 4.13 中的规则，数字、时间或地域连接符应使用（视觉上更长的）“—”或“～”。</explain>
      <paraID>44C7DBDA</paraID>
      <start>34</start>
      <end>41</end>
      <status>unmodified</status>
      <modifiedWord/>
      <trackRevisions>false</trackRevisions>
    </reviewItem>
    <reviewItem>
      <errorID>52d32f5e-4871-4810-acea-84619fca172e</errorID>
      <errorWord>2%-10%</errorWord>
      <group>L1_Knowledge</group>
      <groupName>知识性问题</groupName>
      <ability>L2_Knowledge</ability>
      <abilityName>其他知识</abilityName>
      <candidateList>
        <item>2%—10%</item>
      </candidateList>
      <explain>1. “2%-10%”中的单位“%”仅出现在后一个数字上，容易引起歧义；根据《现代汉语标点符号数字用法规范手册》，数字表示范围两边需要使用统一的格式。2. 根据标点国标 4.13 中的规则，数字、时间或地域连接符应使用（视觉上更长的）“—”或“～”。</explain>
      <paraID>44C7DBDA</paraID>
      <start>44</start>
      <end>50</end>
      <status>unmodified</status>
      <modifiedWord/>
      <trackRevisions>false</trackRevisions>
    </reviewItem>
    <reviewItem>
      <errorID>ba751b14-ebd3-49e0-b911-ecd7d8235ae2</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44C7DBDA</paraID>
      <start>54</start>
      <end>59</end>
      <status>unmodified</status>
      <modifiedWord/>
      <trackRevisions>false</trackRevisions>
    </reviewItem>
    <reviewItem>
      <errorID>a100de45-e4e5-4809-bf79-aa7f4eae1773</errorID>
      <errorWord>30%-50%</errorWord>
      <group>L1_Knowledge</group>
      <groupName>知识性问题</groupName>
      <ability>L2_Knowledge</ability>
      <abilityName>其他知识</abilityName>
      <candidateList>
        <item>30%—50%</item>
      </candidateList>
      <explain>1. “30%-50%”中的单位“%”仅出现在后一个数字上，容易引起歧义；根据《现代汉语标点符号数字用法规范手册》，数字表示范围两边需要使用统一的格式。2. 根据标点国标 4.13 中的规则，数字、时间或地域连接符应使用（视觉上更长的）“—”或“～”。</explain>
      <paraID>44C7DBDA</paraID>
      <start>80</start>
      <end>87</end>
      <status>unmodified</status>
      <modifiedWord/>
      <trackRevisions>false</trackRevisions>
    </reviewItem>
    <reviewItem>
      <errorID>bd333976-6927-4083-8584-3a7a7c0a4079</errorID>
      <errorWord>-</errorWord>
      <group>L1_Format</group>
      <groupName>格式问题</groupName>
      <ability>L2_HalfPunc</ability>
      <abilityName>全半角检查</abilityName>
      <candidateList>
        <item>－</item>
      </candidateList>
      <explain>文本全半角错误。</explain>
      <paraID>44C7DBDA</paraID>
      <start>118</start>
      <end>119</end>
      <status>unmodified</status>
      <modifiedWord/>
      <trackRevisions>false</trackRevisions>
    </reviewItem>
    <reviewItem>
      <errorID>828509d7-1506-4011-b2ec-2f197f9ddb94</errorID>
      <errorWord>75-95%</errorWord>
      <group>L1_Knowledge</group>
      <groupName>知识性问题</groupName>
      <ability>L2_Knowledge</ability>
      <abilityName>其他知识</abilityName>
      <candidateList>
        <item>75%—95%</item>
      </candidateList>
      <explain>1. “75-95%”中的单位“%”仅出现在后一个数字上，容易引起歧义；根据《现代汉语标点符号数字用法规范手册》，数字表示范围两边需要使用统一的格式。2. 根据标点国标 4.13 中的规则，数字、时间或地域连接符应使用（视觉上更长的）“—”或“～”。</explain>
      <paraID>3581AF9F</paraID>
      <start>12</start>
      <end>18</end>
      <status>unmodified</status>
      <modifiedWord/>
      <trackRevisions>false</trackRevisions>
    </reviewItem>
    <reviewItem>
      <errorID>37ba9726-b663-40be-963e-a00145ba18ad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3581AF9F</paraID>
      <start>40</start>
      <end>41</end>
      <status>unmodified</status>
      <modifiedWord/>
      <trackRevisions>false</trackRevisions>
    </reviewItem>
    <reviewItem>
      <errorID>e7b572e1-1d89-44e6-9f6a-f3493a4202cb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3581AF9F</paraID>
      <start>102</start>
      <end>103</end>
      <status>unmodified</status>
      <modifiedWord/>
      <trackRevisions>false</trackRevisions>
    </reviewItem>
    <reviewItem>
      <errorID>c2193f55-24ff-4fe4-ae93-22804f7717d2</errorID>
      <errorWord>明</errorWord>
      <group>L1_Word</group>
      <groupName>字词问题</groupName>
      <ability>L2_Typo</ability>
      <abilityName>字词错误</abilityName>
      <candidateList>
        <item>明书</item>
      </candidateList>
      <explain/>
      <paraID> 546F991</paraID>
      <start>282</start>
      <end>283</end>
      <status>unmodified</status>
      <modifiedWord/>
      <trackRevisions>false</trackRevisions>
    </reviewItem>
    <reviewItem>
      <errorID>588bbc80-8e38-4718-b447-cb9660864008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1C441860</paraID>
      <start>0</start>
      <end>2</end>
      <status>unmodified</status>
      <modifiedWord/>
      <trackRevisions>false</trackRevisions>
    </reviewItem>
    <reviewItem>
      <errorID>a12570af-2bea-4a0d-b6c0-e8262a0bf17b</errorID>
      <errorWord>中类</errorWord>
      <group>L1_Word</group>
      <groupName>字词问题</groupName>
      <ability>L2_Typo</ability>
      <abilityName>字词错误</abilityName>
      <candidateList>
        <item>种类</item>
      </candidateList>
      <explain/>
      <paraID>223E7729</paraID>
      <start>0</start>
      <end>2</end>
      <status>unmodified</status>
      <modifiedWord/>
      <trackRevisions>false</trackRevisions>
    </reviewItem>
    <reviewItem>
      <errorID>768c9e4a-8cec-42ae-9e19-af1a66452d4b</errorID>
      <errorWord>为登记</errorWord>
      <group>L1_Word</group>
      <groupName>字词问题</groupName>
      <ability>L2_Typo</ability>
      <abilityName>字词错误</abilityName>
      <candidateList>
        <item>未登记</item>
      </candidateList>
      <explain/>
      <paraID>6FF8CCA6</paraID>
      <start>17</start>
      <end>20</end>
      <status>unmodified</status>
      <modifiedWord/>
      <trackRevisions>false</trackRevisions>
    </reviewItem>
    <reviewItem>
      <errorID>eff61277-71d0-47ae-b497-3dec1bccdcba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45B7E600</paraID>
      <start>0</start>
      <end>2</end>
      <status>unmodified</status>
      <modifiedWord/>
      <trackRevisions>false</trackRevisions>
    </reviewItem>
    <reviewItem>
      <errorID>31cc274c-8861-4475-be0a-2418855eb15f</errorID>
      <errorWord>达</errorWord>
      <group>L1_Word</group>
      <groupName>字词问题</groupName>
      <ability>L2_Typo</ability>
      <abilityName>字词错误</abilityName>
      <candidateList>
        <item>达到</item>
      </candidateList>
      <explain>〈动〉到（多指抽象事物或程度）：达得到｜达不到｜目的没有～｜～国际水平。</explain>
      <paraID>1E87DDB7</paraID>
      <start>40</start>
      <end>41</end>
      <status>unmodified</status>
      <modifiedWord/>
      <trackRevisions>false</trackRevisions>
    </reviewItem>
    <reviewItem>
      <errorID>946c64e7-3c15-48bd-b7e7-73e3c94a2686</errorID>
      <errorWord>达</errorWord>
      <group>L1_Word</group>
      <groupName>字词问题</groupName>
      <ability>L2_Typo</ability>
      <abilityName>字词错误</abilityName>
      <candidateList>
        <item>达到</item>
      </candidateList>
      <explain>〈动〉到（多指抽象事物或程度）：达得到｜达不到｜目的没有～｜～国际水平。</explain>
      <paraID>704657C2</paraID>
      <start>40</start>
      <end>41</end>
      <status>unmodified</status>
      <modifiedWord/>
      <trackRevisions>false</trackRevisions>
    </reviewItem>
    <reviewItem>
      <errorID>b2a6cc58-94e7-4920-a852-f71467f34b5e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B35E0DB</paraID>
      <start>0</start>
      <end>2</end>
      <status>unmodified</status>
      <modifiedWord/>
      <trackRevisions>false</trackRevisions>
    </reviewItem>
    <reviewItem>
      <errorID>42b52e0a-ed6b-4fbd-b16c-bb40047525e6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3D55F788</paraID>
      <start>3</start>
      <end>4</end>
      <status>unmodified</status>
      <modifiedWord/>
      <trackRevisions>false</trackRevisions>
    </reviewItem>
    <reviewItem>
      <errorID>4014e4fc-5fe6-4136-8eb2-f5320cc96088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10A30537</paraID>
      <start>2</start>
      <end>3</end>
      <status>unmodified</status>
      <modifiedWord/>
      <trackRevisions>false</trackRevisions>
    </reviewItem>
    <reviewItem>
      <errorID>d6d20533-e791-441f-80f6-233ce19ae6b4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78DD66E3</paraID>
      <start>0</start>
      <end>2</end>
      <status>unmodified</status>
      <modifiedWord/>
      <trackRevisions>false</trackRevisions>
    </reviewItem>
    <reviewItem>
      <errorID>ef3e7a51-5faf-4bd4-9ed4-e31b0ae8dc2f</errorID>
      <errorWord>-</errorWord>
      <group>L1_Format</group>
      <groupName>格式问题</groupName>
      <ability>L2_HalfPunc</ability>
      <abilityName>全半角检查</abilityName>
      <candidateList>
        <item>－</item>
      </candidateList>
      <explain>文本全半角错误。</explain>
      <paraID>57C5D51F</paraID>
      <start>2</start>
      <end>3</end>
      <status>unmodified</status>
      <modifiedWord/>
      <trackRevisions>false</trackRevisions>
    </reviewItem>
    <reviewItem>
      <errorID>49529417-0c15-464f-89cf-58f1252c4f40</errorID>
      <errorWord>-</errorWord>
      <group>L1_Format</group>
      <groupName>格式问题</groupName>
      <ability>L2_HalfPunc</ability>
      <abilityName>全半角检查</abilityName>
      <candidateList>
        <item>－</item>
      </candidateList>
      <explain>文本全半角错误。</explain>
      <paraID>7C8B2270</paraID>
      <start>2</start>
      <end>3</end>
      <status>unmodified</status>
      <modifiedWord/>
      <trackRevisions>false</trackRevisions>
    </reviewItem>
    <reviewItem>
      <errorID>b33e0424-3d98-4f03-af36-a755a0749471</errorID>
      <errorWord>-</errorWord>
      <group>L1_Format</group>
      <groupName>格式问题</groupName>
      <ability>L2_HalfPunc</ability>
      <abilityName>全半角检查</abilityName>
      <candidateList>
        <item>－</item>
      </candidateList>
      <explain>文本全半角错误。</explain>
      <paraID>6062D16A</paraID>
      <start>8</start>
      <end>9</end>
      <status>unmodified</status>
      <modifiedWord/>
      <trackRevisions>false</trackRevisions>
    </reviewItem>
    <reviewItem>
      <errorID>a21b9aa5-f41e-4f29-82aa-c24c052c0151</errorID>
      <errorWord>-</errorWord>
      <group>L1_Format</group>
      <groupName>格式问题</groupName>
      <ability>L2_HalfPunc</ability>
      <abilityName>全半角检查</abilityName>
      <candidateList>
        <item>－</item>
      </candidateList>
      <explain>文本全半角错误。</explain>
      <paraID>4724D63F</paraID>
      <start>8</start>
      <end>9</end>
      <status>unmodified</status>
      <modifiedWord/>
      <trackRevisions>false</trackRevisions>
    </reviewItem>
    <reviewItem>
      <errorID>036e65e5-761c-4caf-aa88-6ec4b7510901</errorID>
      <errorWord>-</errorWord>
      <group>L1_Format</group>
      <groupName>格式问题</groupName>
      <ability>L2_HalfPunc</ability>
      <abilityName>全半角检查</abilityName>
      <candidateList>
        <item>－</item>
      </candidateList>
      <explain>文本全半角错误。</explain>
      <paraID>7E8B9D51</paraID>
      <start>9</start>
      <end>10</end>
      <status>unmodified</status>
      <modifiedWord/>
      <trackRevisions>false</trackRevisions>
    </reviewItem>
    <reviewItem>
      <errorID>3476c260-e84e-4e93-929f-9a8e60db8d89</errorID>
      <errorWord>-</errorWord>
      <group>L1_Format</group>
      <groupName>格式问题</groupName>
      <ability>L2_HalfPunc</ability>
      <abilityName>全半角检查</abilityName>
      <candidateList>
        <item>－</item>
      </candidateList>
      <explain>文本全半角错误。</explain>
      <paraID>68D8E0FD</paraID>
      <start>8</start>
      <end>9</end>
      <status>unmodified</status>
      <modifiedWord/>
      <trackRevisions>false</trackRevisions>
    </reviewItem>
    <reviewItem>
      <errorID>4775fc70-70f5-4cbe-923b-be73fb44c8a0</errorID>
      <errorWord>-</errorWord>
      <group>L1_Format</group>
      <groupName>格式问题</groupName>
      <ability>L2_HalfPunc</ability>
      <abilityName>全半角检查</abilityName>
      <candidateList>
        <item>－</item>
      </candidateList>
      <explain>文本全半角错误。</explain>
      <paraID> 2FC6CC7</paraID>
      <start>8</start>
      <end>9</end>
      <status>unmodified</status>
      <modifiedWord/>
      <trackRevisions>false</trackRevisions>
    </reviewItem>
    <reviewItem>
      <errorID>427edce4-d972-4a24-a86d-83125c53db5e</errorID>
      <errorWord>-</errorWord>
      <group>L1_Format</group>
      <groupName>格式问题</groupName>
      <ability>L2_HalfPunc</ability>
      <abilityName>全半角检查</abilityName>
      <candidateList>
        <item>－</item>
      </candidateList>
      <explain>文本全半角错误。</explain>
      <paraID>6668B93A</paraID>
      <start>8</start>
      <end>9</end>
      <status>unmodified</status>
      <modifiedWord/>
      <trackRevisions>false</trackRevisions>
    </reviewItem>
    <reviewItem>
      <errorID>872fc76c-c9f1-4a41-b5cd-537e350891e7</errorID>
      <errorWord>-</errorWord>
      <group>L1_Format</group>
      <groupName>格式问题</groupName>
      <ability>L2_HalfPunc</ability>
      <abilityName>全半角检查</abilityName>
      <candidateList>
        <item>－</item>
      </candidateList>
      <explain>文本全半角错误。</explain>
      <paraID>6A2604AA</paraID>
      <start>2</start>
      <end>3</end>
      <status>unmodified</status>
      <modifiedWord/>
      <trackRevisions>false</trackRevisions>
    </reviewItem>
    <reviewItem>
      <errorID>f544ad73-b230-4665-a1a0-7c4571f1093c</errorID>
      <errorWord>95.8%-97.4%</errorWord>
      <group>L1_Knowledge</group>
      <groupName>知识性问题</groupName>
      <ability>L2_Knowledge</ability>
      <abilityName>其他知识</abilityName>
      <candidateList>
        <item>95.8%—97.4%</item>
      </candidateList>
      <explain>1. “95.8%-97.4%”中的单位“%”仅出现在后一个数字上，容易引起歧义；根据《现代汉语标点符号数字用法规范手册》，数字表示范围两边需要使用统一的格式。2. 根据标点国标 4.13 中的规则，数字、时间或地域连接符应使用（视觉上更长的）“—”或“～”。</explain>
      <paraID>5F488E89</paraID>
      <start>8</start>
      <end>19</end>
      <status>unmodified</status>
      <modifiedWord/>
      <trackRevisions>false</trackRevisions>
    </reviewItem>
    <reviewItem>
      <errorID>101c5035-eca8-4f84-956d-623e09f0c657</errorID>
      <errorWord>1.2%-1.8%</errorWord>
      <group>L1_Knowledge</group>
      <groupName>知识性问题</groupName>
      <ability>L2_Knowledge</ability>
      <abilityName>其他知识</abilityName>
      <candidateList>
        <item>1.2%—1.8%</item>
      </candidateList>
      <explain>1. “1.2%-1.8%”中的单位“%”仅出现在后一个数字上，容易引起歧义；根据《现代汉语标点符号数字用法规范手册》，数字表示范围两边需要使用统一的格式。2. 根据标点国标 4.13 中的规则，数字、时间或地域连接符应使用（视觉上更长的）“—”或“～”。</explain>
      <paraID>5F488E89</paraID>
      <start>24</start>
      <end>33</end>
      <status>unmodified</status>
      <modifiedWord/>
      <trackRevisions>false</trackRevisions>
    </reviewItem>
    <reviewItem>
      <errorID>11c8dc65-6c52-4de8-84a1-cfed8cbc5ca6</errorID>
      <errorWord>1.2%-1.8%</errorWord>
      <group>L1_Knowledge</group>
      <groupName>知识性问题</groupName>
      <ability>L2_Knowledge</ability>
      <abilityName>其他知识</abilityName>
      <candidateList>
        <item>1.2%—1.8%</item>
      </candidateList>
      <explain>1. “1.2%-1.8%”中的单位“%”仅出现在后一个数字上，容易引起歧义；根据《现代汉语标点符号数字用法规范手册》，数字表示范围两边需要使用统一的格式。2. 根据标点国标 4.13 中的规则，数字、时间或地域连接符应使用（视觉上更长的）“—”或“～”。</explain>
      <paraID>5F488E89</paraID>
      <start>38</start>
      <end>47</end>
      <status>unmodified</status>
      <modifiedWord/>
      <trackRevisions>false</trackRevisions>
    </reviewItem>
    <reviewItem>
      <errorID>5c70278e-a78d-45b3-af4b-d7b9781e1acf</errorID>
      <errorWord>0.2%-0.6%</errorWord>
      <group>L1_Knowledge</group>
      <groupName>知识性问题</groupName>
      <ability>L2_Knowledge</ability>
      <abilityName>其他知识</abilityName>
      <candidateList>
        <item>0.2%—0.6%</item>
      </candidateList>
      <explain>1. “0.2%-0.6%”中的单位“%”仅出现在后一个数字上，容易引起歧义；根据《现代汉语标点符号数字用法规范手册》，数字表示范围两边需要使用统一的格式。2. 根据标点国标 4.13 中的规则，数字、时间或地域连接符应使用（视觉上更长的）“—”或“～”。</explain>
      <paraID>5F488E89</paraID>
      <start>52</start>
      <end>61</end>
      <status>unmodified</status>
      <modifiedWord/>
      <trackRevisions>false</trackRevisions>
    </reviewItem>
    <reviewItem>
      <errorID>d87ffec3-09b3-4f6f-833b-4469f9e14a98</errorID>
      <errorWord>40%-60%</errorWord>
      <group>L1_Knowledge</group>
      <groupName>知识性问题</groupName>
      <ability>L2_Knowledge</ability>
      <abilityName>其他知识</abilityName>
      <candidateList>
        <item>40%—60%</item>
      </candidateList>
      <explain>1. “40%-60%”中的单位“%”仅出现在后一个数字上，容易引起歧义；根据《现代汉语标点符号数字用法规范手册》，数字表示范围两边需要使用统一的格式。2. 根据标点国标 4.13 中的规则，数字、时间或地域连接符应使用（视觉上更长的）“—”或“～”。</explain>
      <paraID> 15C2275</paraID>
      <start>15</start>
      <end>22</end>
      <status>unmodified</status>
      <modifiedWord/>
      <trackRevisions>false</trackRevisions>
    </reviewItem>
    <reviewItem>
      <errorID>4a1214e5-cf2a-4ef3-81d5-56fd04c22257</errorID>
      <errorWord>8%-20%</errorWord>
      <group>L1_Knowledge</group>
      <groupName>知识性问题</groupName>
      <ability>L2_Knowledge</ability>
      <abilityName>其他知识</abilityName>
      <candidateList>
        <item>8%—20%</item>
      </candidateList>
      <explain>1. “8%-20%”中的单位“%”仅出现在后一个数字上，容易引起歧义；根据《现代汉语标点符号数字用法规范手册》，数字表示范围两边需要使用统一的格式。2. 根据标点国标 4.13 中的规则，数字、时间或地域连接符应使用（视觉上更长的）“—”或“～”。</explain>
      <paraID> 15C2275</paraID>
      <start>43</start>
      <end>49</end>
      <status>unmodified</status>
      <modifiedWord/>
      <trackRevisions>false</trackRevisions>
    </reviewItem>
    <reviewItem>
      <errorID>906fbb0c-4436-4d21-93ce-8cdbd6ac2fc6</errorID>
      <errorWord>8%-36%</errorWord>
      <group>L1_Knowledge</group>
      <groupName>知识性问题</groupName>
      <ability>L2_Knowledge</ability>
      <abilityName>其他知识</abilityName>
      <candidateList>
        <item>8%—36%</item>
      </candidateList>
      <explain>1. “8%-36%”中的单位“%”仅出现在后一个数字上，容易引起歧义；根据《现代汉语标点符号数字用法规范手册》，数字表示范围两边需要使用统一的格式。2. 根据标点国标 4.13 中的规则，数字、时间或地域连接符应使用（视觉上更长的）“—”或“～”。</explain>
      <paraID> 15C2275</paraID>
      <start>88</start>
      <end>94</end>
      <status>unmodified</status>
      <modifiedWord/>
      <trackRevisions>false</trackRevisions>
    </reviewItem>
    <reviewItem>
      <errorID>7fdbcd2c-4d22-49d0-a4f6-9ba4b03c6388</errorID>
      <errorWord>0.2%-2%</errorWord>
      <group>L1_Knowledge</group>
      <groupName>知识性问题</groupName>
      <ability>L2_Knowledge</ability>
      <abilityName>其他知识</abilityName>
      <candidateList>
        <item>0.2%—2%</item>
      </candidateList>
      <explain>1. “0.2%-2%”中的单位“%”仅出现在后一个数字上，容易引起歧义；根据《现代汉语标点符号数字用法规范手册》，数字表示范围两边需要使用统一的格式。2. 根据标点国标 4.13 中的规则，数字、时间或地域连接符应使用（视觉上更长的）“—”或“～”。</explain>
      <paraID> 15C2275</paraID>
      <start>127</start>
      <end>134</end>
      <status>unmodified</status>
      <modifiedWord/>
      <trackRevisions>false</trackRevisions>
    </reviewItem>
    <reviewItem>
      <errorID>655b5d45-f378-466f-9801-d6b41325b289</errorID>
      <errorWord>0.1%-1%</errorWord>
      <group>L1_Knowledge</group>
      <groupName>知识性问题</groupName>
      <ability>L2_Knowledge</ability>
      <abilityName>其他知识</abilityName>
      <candidateList>
        <item>0.1%—1%</item>
      </candidateList>
      <explain>1. “0.1%-1%”中的单位“%”仅出现在后一个数字上，容易引起歧义；根据《现代汉语标点符号数字用法规范手册》，数字表示范围两边需要使用统一的格式。2. 根据标点国标 4.13 中的规则，数字、时间或地域连接符应使用（视觉上更长的）“—”或“～”。</explain>
      <paraID> 15C2275</paraID>
      <start>151</start>
      <end>158</end>
      <status>unmodified</status>
      <modifiedWord/>
      <trackRevisions>false</trackRevisions>
    </reviewItem>
    <reviewItem>
      <errorID>3bb10f7f-a617-48f8-8bc0-c7352bb295bf</errorID>
      <errorWord>粘度</errorWord>
      <group>L1_Word</group>
      <groupName>字词问题</groupName>
      <ability>L2_Alias</ability>
      <abilityName>也作/曾用词</abilityName>
      <candidateList>
        <item>黏度</item>
      </candidateList>
      <explain>词汇[粘度]为不规范表述或旧称，其规范书面表述为[黏度]。</explain>
      <paraID>46A29DFF</paraID>
      <start>45</start>
      <end>47</end>
      <status>unmodified</status>
      <modifiedWord/>
      <trackRevisions>false</trackRevisions>
    </reviewItem>
    <reviewItem>
      <errorID>dfb097ab-e64a-46c1-80ec-d24d43020c20</errorID>
      <errorWord>：</errorWord>
      <group>L1_Format</group>
      <groupName>格式问题</groupName>
      <ability>L2_HalfPunc</ability>
      <abilityName>全半角检查</abilityName>
      <candidateList>
        <item>:</item>
      </candidateList>
      <explain>文本全半角错误。</explain>
      <paraID>46A29DFF</paraID>
      <start>140</start>
      <end>141</end>
      <status>unmodified</status>
      <modifiedWord/>
      <trackRevisions>false</trackRevisions>
    </reviewItem>
    <reviewItem>
      <errorID>817dff4e-3d36-45eb-ba53-004f9c959998</errorID>
      <errorWord>：</errorWord>
      <group>L1_Format</group>
      <groupName>格式问题</groupName>
      <ability>L2_HalfPunc</ability>
      <abilityName>全半角检查</abilityName>
      <candidateList>
        <item>:</item>
      </candidateList>
      <explain>文本全半角错误。</explain>
      <paraID>46A29DFF</paraID>
      <start>168</start>
      <end>169</end>
      <status>unmodified</status>
      <modifiedWord/>
      <trackRevisions>false</trackRevisions>
    </reviewItem>
    <reviewItem>
      <errorID>c6287f90-b386-419b-ba99-454595fe4921</errorID>
      <errorWord>：</errorWord>
      <group>L1_Format</group>
      <groupName>格式问题</groupName>
      <ability>L2_HalfPunc</ability>
      <abilityName>全半角检查</abilityName>
      <candidateList>
        <item>:</item>
      </candidateList>
      <explain>文本全半角错误。</explain>
      <paraID>46A29DFF</paraID>
      <start>188</start>
      <end>189</end>
      <status>unmodified</status>
      <modifiedWord/>
      <trackRevisions>false</trackRevisions>
    </reviewItem>
    <reviewItem>
      <errorID>17941bf8-8614-47fa-9fa0-00a91530490a</errorID>
      <errorWord>：</errorWord>
      <group>L1_Format</group>
      <groupName>格式问题</groupName>
      <ability>L2_HalfPunc</ability>
      <abilityName>全半角检查</abilityName>
      <candidateList>
        <item>:</item>
      </candidateList>
      <explain>文本全半角错误。</explain>
      <paraID>46A29DFF</paraID>
      <start>210</start>
      <end>211</end>
      <status>unmodified</status>
      <modifiedWord/>
      <trackRevisions>false</trackRevisions>
    </reviewItem>
    <reviewItem>
      <errorID>d44b72eb-7596-4276-9408-6e31154e7274</errorID>
      <errorWord>70%-90%</errorWord>
      <group>L1_Knowledge</group>
      <groupName>知识性问题</groupName>
      <ability>L2_Knowledge</ability>
      <abilityName>其他知识</abilityName>
      <candidateList>
        <item>70%—90%</item>
      </candidateList>
      <explain>1. “70%-90%”中的单位“%”仅出现在后一个数字上，容易引起歧义；根据《现代汉语标点符号数字用法规范手册》，数字表示范围两边需要使用统一的格式。2. 根据标点国标 4.13 中的规则，数字、时间或地域连接符应使用（视觉上更长的）“—”或“～”。</explain>
      <paraID> 104936A</paraID>
      <start>14</start>
      <end>21</end>
      <status>unmodified</status>
      <modifiedWord/>
      <trackRevisions>false</trackRevisions>
    </reviewItem>
    <reviewItem>
      <errorID>2c792274-9c50-46cd-ab77-87b16d03e9f8</errorID>
      <errorWord>10%-30%</errorWord>
      <group>L1_Knowledge</group>
      <groupName>知识性问题</groupName>
      <ability>L2_Knowledge</ability>
      <abilityName>其他知识</abilityName>
      <candidateList>
        <item>10%—30%</item>
      </candidateList>
      <explain>1. “10%-30%”中的单位“%”仅出现在后一个数字上，容易引起歧义；根据《现代汉语标点符号数字用法规范手册》，数字表示范围两边需要使用统一的格式。2. 根据标点国标 4.13 中的规则，数字、时间或地域连接符应使用（视觉上更长的）“—”或“～”。</explain>
      <paraID> 104936A</paraID>
      <start>50</start>
      <end>57</end>
      <status>unmodified</status>
      <modifiedWord/>
      <trackRevisions>false</trackRevisions>
    </reviewItem>
    <reviewItem>
      <errorID>1afc97d5-4ff7-4eba-bf6a-e94094aefcd3</errorID>
      <errorWord>粘度</errorWord>
      <group>L1_Word</group>
      <groupName>字词问题</groupName>
      <ability>L2_Alias</ability>
      <abilityName>也作/曾用词</abilityName>
      <candidateList>
        <item>黏度</item>
      </candidateList>
      <explain>词汇[粘度]为不规范表述或旧称，其规范书面表述为[黏度]。</explain>
      <paraID>27980B5F</paraID>
      <start>34</start>
      <end>36</end>
      <status>unmodified</status>
      <modifiedWord/>
      <trackRevisions>false</trackRevisions>
    </reviewItem>
    <reviewItem>
      <errorID>c564af00-4749-4a4d-9295-773e0ef47206</errorID>
      <errorWord>：</errorWord>
      <group>L1_Format</group>
      <groupName>格式问题</groupName>
      <ability>L2_HalfPunc</ability>
      <abilityName>全半角检查</abilityName>
      <candidateList>
        <item>:</item>
      </candidateList>
      <explain>文本全半角错误。</explain>
      <paraID>27980B5F</paraID>
      <start>143</start>
      <end>144</end>
      <status>unmodified</status>
      <modifiedWord/>
      <trackRevisions>false</trackRevisions>
    </reviewItem>
    <reviewItem>
      <errorID>9abdf635-f767-4b07-9e0b-c2f85d386015</errorID>
      <errorWord>：</errorWord>
      <group>L1_Format</group>
      <groupName>格式问题</groupName>
      <ability>L2_HalfPunc</ability>
      <abilityName>全半角检查</abilityName>
      <candidateList>
        <item>:</item>
      </candidateList>
      <explain>文本全半角错误。</explain>
      <paraID>27980B5F</paraID>
      <start>165</start>
      <end>166</end>
      <status>unmodified</status>
      <modifiedWord/>
      <trackRevisions>false</trackRevisions>
    </reviewItem>
    <reviewItem>
      <errorID>d834eb4d-3cf8-41e8-8028-b83bb929f90e</errorID>
      <errorWord>:&gt;</errorWord>
      <group>L1_Punc</group>
      <groupName>标点问题</groupName>
      <ability>L2_Punc</ability>
      <abilityName>标点符号检查</abilityName>
      <candidateList>
        <item>:</item>
      </candidateList>
      <explain/>
      <paraID>27980B5F</paraID>
      <start>187</start>
      <end>189</end>
      <status>unmodified</status>
      <modifiedWord/>
      <trackRevisions>false</trackRevisions>
    </reviewItem>
    <reviewItem>
      <errorID>86cf62d8-5178-46ed-a06f-72e9e69261dc</errorID>
      <errorWord>：&gt;</errorWord>
      <group>L1_Punc</group>
      <groupName>标点问题</groupName>
      <ability>L2_Punc</ability>
      <abilityName>标点符号检查</abilityName>
      <candidateList>
        <item>：</item>
      </candidateList>
      <explain/>
      <paraID>27980B5F</paraID>
      <start>218</start>
      <end>220</end>
      <status>unmodified</status>
      <modifiedWord/>
      <trackRevisions>false</trackRevisions>
    </reviewItem>
    <reviewItem>
      <errorID>2b599bc7-66e0-4679-a651-aad23cb08b01</errorID>
      <errorWord>：&gt;</errorWord>
      <group>L1_Punc</group>
      <groupName>标点问题</groupName>
      <ability>L2_Punc</ability>
      <abilityName>标点符号检查</abilityName>
      <candidateList>
        <item>：</item>
      </candidateList>
      <explain/>
      <paraID>27980B5F</paraID>
      <start>241</start>
      <end>243</end>
      <status>unmodified</status>
      <modifiedWord/>
      <trackRevisions>false</trackRevisions>
    </reviewItem>
    <reviewItem>
      <errorID>6ee2ee71-deef-4c24-b632-8c6194da8407</errorID>
      <errorWord>15%-30%</errorWord>
      <group>L1_Knowledge</group>
      <groupName>知识性问题</groupName>
      <ability>L2_Knowledge</ability>
      <abilityName>其他知识</abilityName>
      <candidateList>
        <item>15%—30%</item>
      </candidateList>
      <explain>1. “15%-30%”中的单位“%”仅出现在后一个数字上，容易引起歧义；根据《现代汉语标点符号数字用法规范手册》，数字表示范围两边需要使用统一的格式。2. 根据标点国标 4.13 中的规则，数字、时间或地域连接符应使用（视觉上更长的）“—”或“～”。</explain>
      <paraID>4E01CDB1</paraID>
      <start>11</start>
      <end>18</end>
      <status>unmodified</status>
      <modifiedWord/>
      <trackRevisions>false</trackRevisions>
    </reviewItem>
    <reviewItem>
      <errorID>f70c1e89-89c5-4498-a9ff-5d4b043c515b</errorID>
      <errorWord>5%-15%</errorWord>
      <group>L1_Knowledge</group>
      <groupName>知识性问题</groupName>
      <ability>L2_Knowledge</ability>
      <abilityName>其他知识</abilityName>
      <candidateList>
        <item>5%—15%</item>
      </candidateList>
      <explain>1. “5%-15%”中的单位“%”仅出现在后一个数字上，容易引起歧义；根据《现代汉语标点符号数字用法规范手册》，数字表示范围两边需要使用统一的格式。2. 根据标点国标 4.13 中的规则，数字、时间或地域连接符应使用（视觉上更长的）“—”或“～”。</explain>
      <paraID>4E01CDB1</paraID>
      <start>39</start>
      <end>45</end>
      <status>unmodified</status>
      <modifiedWord/>
      <trackRevisions>false</trackRevisions>
    </reviewItem>
    <reviewItem>
      <errorID>66d768f3-c789-440e-b323-fb4ea60e3fbc</errorID>
      <errorWord>20%-40%</errorWord>
      <group>L1_Knowledge</group>
      <groupName>知识性问题</groupName>
      <ability>L2_Knowledge</ability>
      <abilityName>其他知识</abilityName>
      <candidateList>
        <item>20%—40%</item>
      </candidateList>
      <explain>1. “20%-40%”中的单位“%”仅出现在后一个数字上，容易引起歧义；根据《现代汉语标点符号数字用法规范手册》，数字表示范围两边需要使用统一的格式。2. 根据标点国标 4.13 中的规则，数字、时间或地域连接符应使用（视觉上更长的）“—”或“～”。</explain>
      <paraID>4E01CDB1</paraID>
      <start>64</start>
      <end>71</end>
      <status>unmodified</status>
      <modifiedWord/>
      <trackRevisions>false</trackRevisions>
    </reviewItem>
    <reviewItem>
      <errorID>955613f6-75f5-4fc9-8ba1-5962327c8744</errorID>
      <errorWord>2%-10%</errorWord>
      <group>L1_Knowledge</group>
      <groupName>知识性问题</groupName>
      <ability>L2_Knowledge</ability>
      <abilityName>其他知识</abilityName>
      <candidateList>
        <item>2%—10%</item>
      </candidateList>
      <explain>1. “2%-10%”中的单位“%”仅出现在后一个数字上，容易引起歧义；根据《现代汉语标点符号数字用法规范手册》，数字表示范围两边需要使用统一的格式。2. 根据标点国标 4.13 中的规则，数字、时间或地域连接符应使用（视觉上更长的）“—”或“～”。</explain>
      <paraID>4E01CDB1</paraID>
      <start>89</start>
      <end>95</end>
      <status>unmodified</status>
      <modifiedWord/>
      <trackRevisions>false</trackRevisions>
    </reviewItem>
    <reviewItem>
      <errorID>7125c6ff-5a4d-48e0-9323-d5d4cc6146a6</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4E01CDB1</paraID>
      <start>114</start>
      <end>119</end>
      <status>unmodified</status>
      <modifiedWord/>
      <trackRevisions>false</trackRevisions>
    </reviewItem>
    <reviewItem>
      <errorID>5f42f294-27b0-49fd-aa0f-2ca67de351e9</errorID>
      <errorWord>30%-50%</errorWord>
      <group>L1_Knowledge</group>
      <groupName>知识性问题</groupName>
      <ability>L2_Knowledge</ability>
      <abilityName>其他知识</abilityName>
      <candidateList>
        <item>30%—50%</item>
      </candidateList>
      <explain>1. “30%-50%”中的单位“%”仅出现在后一个数字上，容易引起歧义；根据《现代汉语标点符号数字用法规范手册》，数字表示范围两边需要使用统一的格式。2. 根据标点国标 4.13 中的规则，数字、时间或地域连接符应使用（视觉上更长的）“—”或“～”。</explain>
      <paraID>4E01CDB1</paraID>
      <start>170</start>
      <end>177</end>
      <status>unmodified</status>
      <modifiedWord/>
      <trackRevisions>false</trackRevisions>
    </reviewItem>
    <reviewItem>
      <errorID>4a388a5d-5b6d-43ba-853d-acb3805a101e</errorID>
      <errorWord>粘度</errorWord>
      <group>L1_Word</group>
      <groupName>字词问题</groupName>
      <ability>L2_Alias</ability>
      <abilityName>也作/曾用词</abilityName>
      <candidateList>
        <item>黏度</item>
      </candidateList>
      <explain>词汇[粘度]为不规范表述或旧称，其规范书面表述为[黏度]。</explain>
      <paraID>363CDCE3</paraID>
      <start>37</start>
      <end>39</end>
      <status>unmodified</status>
      <modifiedWord/>
      <trackRevisions>false</trackRevisions>
    </reviewItem>
    <reviewItem>
      <errorID>ad6a6ac5-7b19-4e69-b7df-adadd10575e5</errorID>
      <errorWord>90-100%</errorWord>
      <group>L1_Knowledge</group>
      <groupName>知识性问题</groupName>
      <ability>L2_Knowledge</ability>
      <abilityName>其他知识</abilityName>
      <candidateList>
        <item>90%—100%</item>
      </candidateList>
      <explain>1. “90-100%”中的单位“%”仅出现在后一个数字上，容易引起歧义；根据《现代汉语标点符号数字用法规范手册》，数字表示范围两边需要使用统一的格式。2.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3C954371</paraID>
      <start>14</start>
      <end>21</end>
      <status>unmodified</status>
      <modifiedWord/>
      <trackRevisions>false</trackRevisions>
    </reviewItem>
    <reviewItem>
      <errorID>dd837c78-6d34-4dae-9088-e26a9efcc75e</errorID>
      <errorWord>：</errorWord>
      <group>L1_Format</group>
      <groupName>格式问题</groupName>
      <ability>L2_HalfPunc</ability>
      <abilityName>全半角检查</abilityName>
      <candidateList>
        <item>:</item>
      </candidateList>
      <explain>文本全半角错误。</explain>
      <paraID>4549218A</paraID>
      <start>89</start>
      <end>90</end>
      <status>unmodified</status>
      <modifiedWord/>
      <trackRevisions>false</trackRevisions>
    </reviewItem>
    <reviewItem>
      <errorID>4395563d-4fea-4681-8035-d216db358b3c</errorID>
      <errorWord>：</errorWord>
      <group>L1_Format</group>
      <groupName>格式问题</groupName>
      <ability>L2_HalfPunc</ability>
      <abilityName>全半角检查</abilityName>
      <candidateList>
        <item>:</item>
      </candidateList>
      <explain>文本全半角错误。</explain>
      <paraID>4549218A</paraID>
      <start>109</start>
      <end>110</end>
      <status>unmodified</status>
      <modifiedWord/>
      <trackRevisions>false</trackRevisions>
    </reviewItem>
    <reviewItem>
      <errorID>0c2a01e0-18bb-4250-b3d7-bd193e17cc60</errorID>
      <errorWord>75-95%</errorWord>
      <group>L1_Knowledge</group>
      <groupName>知识性问题</groupName>
      <ability>L2_Knowledge</ability>
      <abilityName>其他知识</abilityName>
      <candidateList>
        <item>75%—95%</item>
      </candidateList>
      <explain>1. “75-95%”中的单位“%”仅出现在后一个数字上，容易引起歧义；根据《现代汉语标点符号数字用法规范手册》，数字表示范围两边需要使用统一的格式。2. 根据标点国标 4.13 中的规则，数字、时间或地域连接符应使用（视觉上更长的）“—”或“～”。</explain>
      <paraID>12FFDF84</paraID>
      <start>14</start>
      <end>20</end>
      <status>unmodified</status>
      <modifiedWord/>
      <trackRevisions>false</trackRevisions>
    </reviewItem>
    <reviewItem>
      <errorID>3276b117-ad81-48cb-93e0-1c3ddbaeba4a</errorID>
      <errorWord>：</errorWord>
      <group>L1_Format</group>
      <groupName>格式问题</groupName>
      <ability>L2_HalfPunc</ability>
      <abilityName>全半角检查</abilityName>
      <candidateList>
        <item>:</item>
      </candidateList>
      <explain>文本全半角错误。</explain>
      <paraID>7D2E961A</paraID>
      <start>121</start>
      <end>122</end>
      <status>unmodified</status>
      <modifiedWord/>
      <trackRevisions>false</trackRevisions>
    </reviewItem>
    <reviewItem>
      <errorID>897dd41e-1390-4d9d-abc0-dc12e273b179</errorID>
      <errorWord>：</errorWord>
      <group>L1_Format</group>
      <groupName>格式问题</groupName>
      <ability>L2_HalfPunc</ability>
      <abilityName>全半角检查</abilityName>
      <candidateList>
        <item>:</item>
      </candidateList>
      <explain>文本全半角错误。</explain>
      <paraID>7D2E961A</paraID>
      <start>142</start>
      <end>143</end>
      <status>unmodified</status>
      <modifiedWord/>
      <trackRevisions>false</trackRevisions>
    </reviewItem>
    <reviewItem>
      <errorID>cc10bdfd-bc24-4683-bf60-4663abc5056f</errorID>
      <errorWord>饱和蒸汽</errorWord>
      <group>L1_Word</group>
      <groupName>字词问题</groupName>
      <ability>L2_Typo</ability>
      <abilityName>字词错误</abilityName>
      <candidateList>
        <item>饱和蒸气</item>
      </candidateList>
      <explain/>
      <paraID> 9BE63A5</paraID>
      <start>99</start>
      <end>103</end>
      <status>unmodified</status>
      <modifiedWord/>
      <trackRevisions>false</trackRevisions>
    </reviewItem>
    <reviewItem>
      <errorID>4638a071-63f9-44d0-b45a-bc794bb01570</errorID>
      <errorWord>作</errorWord>
      <group>L1_Word</group>
      <groupName>字词问题</groupName>
      <ability>L2_Typo</ability>
      <abilityName>字词错误</abilityName>
      <candidateList>
        <item>做</item>
      </candidateList>
      <explain>存在发音相同字词的误用。</explain>
      <paraID>7CA1EC1E</paraID>
      <start>112</start>
      <end>113</end>
      <status>unmodified</status>
      <modifiedWord/>
      <trackRevisions>false</trackRevisions>
    </reviewItem>
    <reviewItem>
      <errorID>e44d66b7-9e2f-491d-9eec-e32bac520168</errorID>
      <errorWord>（</errorWord>
      <group>L1_Format</group>
      <groupName>格式问题</groupName>
      <ability>L2_HalfPunc</ability>
      <abilityName>全半角检查</abilityName>
      <candidateList>
        <item>(</item>
      </candidateList>
      <explain>文本全半角错误。</explain>
      <paraID>5DAF2DE0</paraID>
      <start>11</start>
      <end>12</end>
      <status>unmodified</status>
      <modifiedWord/>
      <trackRevisions>false</trackRevisions>
    </reviewItem>
    <reviewItem>
      <errorID>d1f58b28-ac20-45f8-b432-faf2e3829bf8</errorID>
      <errorWord>）</errorWord>
      <group>L1_Format</group>
      <groupName>格式问题</groupName>
      <ability>L2_HalfPunc</ability>
      <abilityName>全半角检查</abilityName>
      <candidateList>
        <item>)</item>
      </candidateList>
      <explain>文本全半角错误。</explain>
      <paraID>5DAF2DE0</paraID>
      <start>16</start>
      <end>17</end>
      <status>unmodified</status>
      <modifiedWord/>
      <trackRevisions>false</trackRevisions>
    </reviewItem>
    <reviewItem>
      <errorID>e8350066-bcc5-4882-b938-811434c610d5</errorID>
      <errorWord>（</errorWord>
      <group>L1_Punc</group>
      <groupName>标点问题</groupName>
      <ability>L2_Punc</ability>
      <abilityName>标点符号检查</abilityName>
      <candidateList>
        <item/>
      </candidateList>
      <explain>同一形式括号套用。</explain>
      <paraID> 354617A</paraID>
      <start>40</start>
      <end>41</end>
      <status>unmodified</status>
      <modifiedWord/>
      <trackRevisions>false</trackRevisions>
    </reviewItem>
    <reviewItem>
      <errorID>4ca9e881-a077-4301-9515-ef36936fcf71</errorID>
      <errorWord>(</errorWord>
      <group>L1_Punc</group>
      <groupName>标点问题</groupName>
      <ability>L2_Punc</ability>
      <abilityName>标点符号检查</abilityName>
      <candidateList/>
      <explain>同一形式括号套用。</explain>
      <paraID> 354617A</paraID>
      <start>41</start>
      <end>42</end>
      <status>unmodified</status>
      <modifiedWord/>
      <trackRevisions>false</trackRevisions>
    </reviewItem>
    <reviewItem>
      <errorID>2adde785-9c23-40eb-be07-89ef83b6b55c</errorID>
      <errorWord>)</errorWord>
      <group>L1_Format</group>
      <groupName>格式问题</groupName>
      <ability>L2_HalfPunc</ability>
      <abilityName>全半角检查</abilityName>
      <candidateList>
        <item>）</item>
      </candidateList>
      <explain>文本全半角错误。</explain>
      <paraID> 354617A</paraID>
      <start>46</start>
      <end>47</end>
      <status>unmodified</status>
      <modifiedWord/>
      <trackRevisions>false</trackRevisions>
    </reviewItem>
    <reviewItem>
      <errorID>cfa1252f-9c1d-4e81-b45b-f81f021ec678</errorID>
      <errorWord>）</errorWord>
      <group>L1_Punc</group>
      <groupName>标点问题</groupName>
      <ability>L2_Punc</ability>
      <abilityName>标点符号检查</abilityName>
      <candidateList/>
      <explain>同一形式括号套用。</explain>
      <paraID> 354617A</paraID>
      <start>62</start>
      <end>63</end>
      <status>unmodified</status>
      <modifiedWord/>
      <trackRevisions>false</trackRevisions>
    </reviewItem>
    <reviewItem>
      <errorID>4f64f86c-f613-4236-a4a0-1a405b1ae066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1E9D1033</paraID>
      <start>0</start>
      <end>2</end>
      <status>unmodified</status>
      <modifiedWord/>
      <trackRevisions>false</trackRevisions>
    </reviewItem>
    <reviewItem>
      <errorID>6d779bcb-2781-4352-b259-cfaf65b68ad1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2FBC8A14</paraID>
      <start>0</start>
      <end>2</end>
      <status>unmodified</status>
      <modifiedWord/>
      <trackRevisions>false</trackRevisions>
    </reviewItem>
    <reviewItem>
      <errorID>f313df55-7a87-4bfd-8a6a-c9a367fdeca1</errorID>
      <errorWord>达</errorWord>
      <group>L1_Word</group>
      <groupName>字词问题</groupName>
      <ability>L2_Typo</ability>
      <abilityName>字词错误</abilityName>
      <candidateList>
        <item>达到</item>
      </candidateList>
      <explain>〈动〉到（多指抽象事物或程度）：达得到｜达不到｜目的没有～｜～国际水平。</explain>
      <paraID> 74FAC97</paraID>
      <start>94</start>
      <end>95</end>
      <status>unmodified</status>
      <modifiedWord/>
      <trackRevisions>false</trackRevisions>
    </reviewItem>
    <reviewItem>
      <errorID>26316ff4-09d4-47c0-a41a-31779ec6b9b6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2CC9E3DF</paraID>
      <start>0</start>
      <end>2</end>
      <status>unmodified</status>
      <modifiedWord/>
      <trackRevisions>false</trackRevisions>
    </reviewItem>
    <reviewItem>
      <errorID>ba0580f3-5741-4f51-93fc-8dc9c4475e36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75848999</paraID>
      <start>0</start>
      <end>2</end>
      <status>unmodified</status>
      <modifiedWord/>
      <trackRevisions>false</trackRevisions>
    </reviewItem>
    <reviewItem>
      <errorID>488a7290-cb50-4f6d-906d-5b569f697793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2779EF3B</paraID>
      <start>113</start>
      <end>114</end>
      <status>unmodified</status>
      <modifiedWord/>
      <trackRevisions>false</trackRevisions>
    </reviewItem>
    <reviewItem>
      <errorID>32dc8919-b192-472f-b797-75c8c8234918</errorID>
      <errorWord>芯用</errorWord>
      <group>L1_Word</group>
      <groupName>字词问题</groupName>
      <ability>L2_Typo</ability>
      <abilityName>字词错误</abilityName>
      <candidateList>
        <item>芯</item>
      </candidateList>
      <explain/>
      <paraID>79F38236</paraID>
      <start>102</start>
      <end>104</end>
      <status>unmodified</status>
      <modifiedWord/>
      <trackRevisions>false</trackRevisions>
    </reviewItem>
    <reviewItem>
      <errorID>8c66809c-618b-45d2-b0ea-d0b2fe1d2603</errorID>
      <errorWord>-</errorWord>
      <group>L1_Format</group>
      <groupName>格式问题</groupName>
      <ability>L2_HalfPunc</ability>
      <abilityName>全半角检查</abilityName>
      <candidateList>
        <item>－</item>
      </candidateList>
      <explain>文本全半角错误。</explain>
      <paraID>1B57E316</paraID>
      <start>14</start>
      <end>15</end>
      <status>unmodified</status>
      <modifiedWord/>
      <trackRevisions>false</trackRevisions>
    </reviewItem>
    <reviewItem>
      <errorID>01c41747-547c-40f7-9d65-925385f02dee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324ABE08</paraID>
      <start>52</start>
      <end>53</end>
      <status>unmodified</status>
      <modifiedWord/>
      <trackRevisions>false</trackRevisions>
    </reviewItem>
    <reviewItem>
      <errorID>c6148114-2cf3-4bfb-93aa-3710c7ac920b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324ABE08</paraID>
      <start>60</start>
      <end>61</end>
      <status>unmodified</status>
      <modifiedWord/>
      <trackRevisions>false</trackRevisions>
    </reviewItem>
    <reviewItem>
      <errorID>b86e228a-fe11-4c3c-992e-60814493066d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324ABE08</paraID>
      <start>70</start>
      <end>71</end>
      <status>unmodified</status>
      <modifiedWord/>
      <trackRevisions>false</trackRevisions>
    </reviewItem>
    <reviewItem>
      <errorID>4e040c0a-24bf-44fa-b695-5dd989130e51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348C138E</paraID>
      <start>8</start>
      <end>9</end>
      <status>unmodified</status>
      <modifiedWord/>
      <trackRevisions>false</trackRevisions>
    </reviewItem>
    <reviewItem>
      <errorID>9c1176d9-cbe9-48cd-b5b0-07adf754ef18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348C138E</paraID>
      <start>74</start>
      <end>75</end>
      <status>unmodified</status>
      <modifiedWord/>
      <trackRevisions>false</trackRevisions>
    </reviewItem>
    <reviewItem>
      <errorID>0c59f72f-c849-4329-91a3-294ac2509342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41636DD3</paraID>
      <start>0</start>
      <end>2</end>
      <status>unmodified</status>
      <modifiedWord/>
      <trackRevisions>false</trackRevisions>
    </reviewItem>
    <reviewItem>
      <errorID>b34ec142-c532-4168-866c-f10440a0ad81</errorID>
      <errorWord>达</errorWord>
      <group>L1_Word</group>
      <groupName>字词问题</groupName>
      <ability>L2_Typo</ability>
      <abilityName>字词错误</abilityName>
      <candidateList>
        <item>达到</item>
      </candidateList>
      <explain>〈动〉到（多指抽象事物或程度）：达得到｜达不到｜目的没有～｜～国际水平。</explain>
      <paraID>52392274</paraID>
      <start>14</start>
      <end>15</end>
      <status>unmodified</status>
      <modifiedWord/>
      <trackRevisions>false</trackRevisions>
    </reviewItem>
    <reviewItem>
      <errorID>5e214012-5bd9-4cae-af44-f3e5de5cebd6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244E31D7</paraID>
      <start>0</start>
      <end>2</end>
      <status>unmodified</status>
      <modifiedWord/>
      <trackRevisions>false</trackRevisions>
    </reviewItem>
    <reviewItem>
      <errorID>7fa4af58-ea43-414f-b2d2-8ef5fa964af0</errorID>
      <errorWord>年</errorWord>
      <group>L1_Word</group>
      <groupName>字词问题</groupName>
      <ability>L2_Typo</ability>
      <abilityName>字词错误</abilityName>
      <candidateList>
        <item>年度</item>
      </candidateList>
      <explain/>
      <paraID>1282872C</paraID>
      <start>0</start>
      <end>1</end>
      <status>unmodified</status>
      <modifiedWord/>
      <trackRevisions>false</trackRevisions>
    </reviewItem>
    <reviewItem>
      <errorID>a15ae5ae-3f4c-4646-99b3-65d4fee495de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276B4BF7</paraID>
      <start>28</start>
      <end>29</end>
      <status>unmodified</status>
      <modifiedWord/>
      <trackRevisions>false</trackRevisions>
    </reviewItem>
    <reviewItem>
      <errorID>5a11fb55-fac4-4274-8043-26aeff7fd965</errorID>
      <errorWord>，</errorWord>
      <group>L1_Format</group>
      <groupName>格式问题</groupName>
      <ability>L2_HalfPunc</ability>
      <abilityName>全半角检查</abilityName>
      <candidateList>
        <item>,</item>
      </candidateList>
      <explain>文本全半角错误。</explain>
      <paraID>7614504C</paraID>
      <start>13</start>
      <end>14</end>
      <status>unmodified</status>
      <modifiedWord/>
      <trackRevisions>false</trackRevisions>
    </reviewItem>
    <reviewItem>
      <errorID>08ef383f-0376-438c-a3a2-9eda65077421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C00D125</paraID>
      <start>101</start>
      <end>102</end>
      <status>unmodified</status>
      <modifiedWord/>
      <trackRevisions>false</trackRevisions>
    </reviewItem>
    <reviewItem>
      <errorID>ea7215b2-145c-463c-86c9-4b63c810ef4c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1C7298B5</paraID>
      <start>0</start>
      <end>2</end>
      <status>unmodified</status>
      <modifiedWord/>
      <trackRevisions>false</trackRevisions>
    </reviewItem>
    <reviewItem>
      <errorID>8f59ee00-aca5-4ba6-b8f0-593437ae70da</errorID>
      <errorWord>达</errorWord>
      <group>L1_Word</group>
      <groupName>字词问题</groupName>
      <ability>L2_Typo</ability>
      <abilityName>字词错误</abilityName>
      <candidateList>
        <item>达到</item>
      </candidateList>
      <explain>〈动〉到（多指抽象事物或程度）：达得到｜达不到｜目的没有～｜～国际水平。</explain>
      <paraID>735927C6</paraID>
      <start>14</start>
      <end>15</end>
      <status>unmodified</status>
      <modifiedWord/>
      <trackRevisions>false</trackRevisions>
    </reviewItem>
    <reviewItem>
      <errorID>8e0ecaff-a8fa-4efd-9830-339aed712025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3E57D6D5</paraID>
      <start>27</start>
      <end>28</end>
      <status>unmodified</status>
      <modifiedWord/>
      <trackRevisions>false</trackRevisions>
    </reviewItem>
    <reviewItem>
      <errorID>d4ad2477-5f29-44b2-9d18-b4b44a08a6ed</errorID>
      <errorWord>水库的</errorWord>
      <group>L1_Word</group>
      <groupName>字词问题</groupName>
      <ability>L2_Typo</ability>
      <abilityName>字词错误</abilityName>
      <candidateList>
        <item>水库</item>
      </candidateList>
      <explain/>
      <paraID>3E57D6D5</paraID>
      <start>76</start>
      <end>79</end>
      <status>unmodified</status>
      <modifiedWord/>
      <trackRevisions>false</trackRevisions>
    </reviewItem>
    <reviewItem>
      <errorID>cfb26723-7afe-4705-b463-50e340b7d371</errorID>
      <errorWord>质量标准</errorWord>
      <group>L1_Word</group>
      <groupName>字词问题</groupName>
      <ability>L2_Typo</ability>
      <abilityName>字词错误</abilityName>
      <candidateList>
        <item>量标准</item>
      </candidateList>
      <explain/>
      <paraID>4AD9859E</paraID>
      <start>22</start>
      <end>26</end>
      <status>unmodified</status>
      <modifiedWord/>
      <trackRevisions>false</trackRevisions>
    </reviewItem>
    <reviewItem>
      <errorID>288c7ead-c99c-4746-acb7-cefe58d14e5f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56CEE339</paraID>
      <start>0</start>
      <end>2</end>
      <status>unmodified</status>
      <modifiedWord/>
      <trackRevisions>false</trackRevisions>
    </reviewItem>
    <reviewItem>
      <errorID>b8619e02-4294-4bbe-9c01-21cb9e757234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64613D87</paraID>
      <start>0</start>
      <end>2</end>
      <status>unmodified</status>
      <modifiedWord/>
      <trackRevisions>false</trackRevisions>
    </reviewItem>
    <reviewItem>
      <errorID>de574f99-212a-4fae-a7db-b72a7fddcb1a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7CEE945F</paraID>
      <start>0</start>
      <end>2</end>
      <status>unmodified</status>
      <modifiedWord/>
      <trackRevisions>false</trackRevisions>
    </reviewItem>
    <reviewItem>
      <errorID>3d377d9e-4d16-43d5-ae51-2d5ac7170734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2779B386</paraID>
      <start>0</start>
      <end>2</end>
      <status>unmodified</status>
      <modifiedWord/>
      <trackRevisions>false</trackRevisions>
    </reviewItem>
    <reviewItem>
      <errorID>88e1162c-d72b-4e8d-b294-918983d6bcc2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492F7387</paraID>
      <start>0</start>
      <end>2</end>
      <status>unmodified</status>
      <modifiedWord/>
      <trackRevisions>false</trackRevisions>
    </reviewItem>
    <reviewItem>
      <errorID>1d71b712-f10c-46c4-94af-61488a8e7708</errorID>
      <errorWord>，</errorWord>
      <group>L1_Format</group>
      <groupName>格式问题</groupName>
      <ability>L2_HalfPunc</ability>
      <abilityName>全半角检查</abilityName>
      <candidateList>
        <item>,</item>
      </candidateList>
      <explain>文本全半角错误。</explain>
      <paraID>4A0CB0D4</paraID>
      <start>9</start>
      <end>10</end>
      <status>unmodified</status>
      <modifiedWord/>
      <trackRevisions>false</trackRevisions>
    </reviewItem>
    <reviewItem>
      <errorID>5dcb668f-31e8-41f1-a2f2-300d9aa9908d</errorID>
      <errorWord>，</errorWord>
      <group>L1_Format</group>
      <groupName>格式问题</groupName>
      <ability>L2_HalfPunc</ability>
      <abilityName>全半角检查</abilityName>
      <candidateList>
        <item>,</item>
      </candidateList>
      <explain>文本全半角错误。</explain>
      <paraID>2F35C9F1</paraID>
      <start>10</start>
      <end>11</end>
      <status>unmodified</status>
      <modifiedWord/>
      <trackRevisions>false</trackRevisions>
    </reviewItem>
    <reviewItem>
      <errorID>abc4c11f-ba67-4c40-ae42-4e0740aeaf86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953B6A2</paraID>
      <start>0</start>
      <end>2</end>
      <status>unmodified</status>
      <modifiedWord/>
      <trackRevisions>false</trackRevisions>
    </reviewItem>
    <reviewItem>
      <errorID>9f7695e8-7fdd-4707-97b9-73c812f59e45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7B0FCB8B</paraID>
      <start>0</start>
      <end>2</end>
      <status>unmodified</status>
      <modifiedWord/>
      <trackRevisions>false</trackRevisions>
    </reviewItem>
    <reviewItem>
      <errorID>c9de9c25-a39e-4bfb-8d7f-9338a926d78b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3682EA8E</paraID>
      <start>0</start>
      <end>2</end>
      <status>unmodified</status>
      <modifiedWord/>
      <trackRevisions>false</trackRevisions>
    </reviewItem>
    <reviewItem>
      <errorID>a4e5f354-383c-4282-b787-aeb0df75c30c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6094C95B</paraID>
      <start>0</start>
      <end>2</end>
      <status>unmodified</status>
      <modifiedWord/>
      <trackRevisions>false</trackRevisions>
    </reviewItem>
    <reviewItem>
      <errorID>e28e521b-e62d-4fac-9087-aedb5b220d16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3700FFA</paraID>
      <start>0</start>
      <end>2</end>
      <status>unmodified</status>
      <modifiedWord/>
      <trackRevisions>false</trackRevisions>
    </reviewItem>
    <reviewItem>
      <errorID>5ba6e751-4a46-48a7-af61-5c9ba5b641e5</errorID>
      <errorWord>达</errorWord>
      <group>L1_Word</group>
      <groupName>字词问题</groupName>
      <ability>L2_Typo</ability>
      <abilityName>字词错误</abilityName>
      <candidateList>
        <item>达到</item>
      </candidateList>
      <explain>〈动〉到（多指抽象事物或程度）：达得到｜达不到｜目的没有～｜～国际水平。</explain>
      <paraID>7D219E57</paraID>
      <start>40</start>
      <end>41</end>
      <status>unmodified</status>
      <modifiedWord/>
      <trackRevisions>false</trackRevisions>
    </reviewItem>
    <reviewItem>
      <errorID>758b722d-d698-46ea-836c-7f7d8e533581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6917DD0</paraID>
      <start>0</start>
      <end>2</end>
      <status>unmodified</status>
      <modifiedWord/>
      <trackRevisions>false</trackRevisions>
    </reviewItem>
    <reviewItem>
      <errorID>3088dd59-e8e1-4110-8fd8-00f56fce814c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55437F81</paraID>
      <start>0</start>
      <end>2</end>
      <status>unmodified</status>
      <modifiedWord/>
      <trackRevisions>false</trackRevisions>
    </reviewItem>
    <reviewItem>
      <errorID>04c67d20-78a1-452f-b8e0-22f178410169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600C50E9</paraID>
      <start>0</start>
      <end>2</end>
      <status>unmodified</status>
      <modifiedWord/>
      <trackRevisions>false</trackRevisions>
    </reviewItem>
    <reviewItem>
      <errorID>69685704-6cf6-4add-a170-922dd0572e95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35674127</paraID>
      <start>0</start>
      <end>2</end>
      <status>unmodified</status>
      <modifiedWord/>
      <trackRevisions>false</trackRevisions>
    </reviewItem>
    <reviewItem>
      <errorID>20d8f2c8-9d39-4f90-809a-bab8941f9ac4</errorID>
      <errorWord>达</errorWord>
      <group>L1_Word</group>
      <groupName>字词问题</groupName>
      <ability>L2_Typo</ability>
      <abilityName>字词错误</abilityName>
      <candidateList>
        <item>达到</item>
      </candidateList>
      <explain>〈动〉到（多指抽象事物或程度）：达得到｜达不到｜目的没有～｜～国际水平。</explain>
      <paraID>5C929115</paraID>
      <start>14</start>
      <end>15</end>
      <status>unmodified</status>
      <modifiedWord/>
      <trackRevisions>false</trackRevisions>
    </reviewItem>
    <reviewItem>
      <errorID>4d0f9c3f-d50f-4d2a-a3ce-85aeffc08f16</errorID>
      <errorWord>-</errorWord>
      <group>L1_Format</group>
      <groupName>格式问题</groupName>
      <ability>L2_HalfPunc</ability>
      <abilityName>全半角检查</abilityName>
      <candidateList>
        <item>－</item>
      </candidateList>
      <explain>文本全半角错误。</explain>
      <paraID>2D57B716</paraID>
      <start>5</start>
      <end>6</end>
      <status>unmodified</status>
      <modifiedWord/>
      <trackRevisions>false</trackRevisions>
    </reviewItem>
    <reviewItem>
      <errorID>240334cf-86dc-40cc-b21f-c284bc6c5261</errorID>
      <errorWord>-</errorWord>
      <group>L1_Format</group>
      <groupName>格式问题</groupName>
      <ability>L2_HalfPunc</ability>
      <abilityName>全半角检查</abilityName>
      <candidateList>
        <item>－</item>
      </candidateList>
      <explain>文本全半角错误。</explain>
      <paraID>2D57B716</paraID>
      <start>12</start>
      <end>13</end>
      <status>unmodified</status>
      <modifiedWord/>
      <trackRevisions>false</trackRevisions>
    </reviewItem>
    <reviewItem>
      <errorID>472fad76-34d4-40c1-adcb-636ca90479ba</errorID>
      <errorWord>-</errorWord>
      <group>L1_Format</group>
      <groupName>格式问题</groupName>
      <ability>L2_HalfPunc</ability>
      <abilityName>全半角检查</abilityName>
      <candidateList>
        <item>－</item>
      </candidateList>
      <explain>文本全半角错误。</explain>
      <paraID>2D57B716</paraID>
      <start>21</start>
      <end>22</end>
      <status>unmodified</status>
      <modifiedWord/>
      <trackRevisions>false</trackRevisions>
    </reviewItem>
    <reviewItem>
      <errorID>197e4f21-ded0-405b-b8cb-c0053826be15</errorID>
      <errorWord>办公有</errorWord>
      <group>L1_Word</group>
      <groupName>字词问题</groupName>
      <ability>L2_Typo</ability>
      <abilityName>字词错误</abilityName>
      <candidateList>
        <item>办公</item>
      </candidateList>
      <explain>〈动〉办理公务；处理公事：～会议｜星期天照常～。</explain>
      <paraID>33CC5D11</paraID>
      <start>54</start>
      <end>57</end>
      <status>unmodified</status>
      <modifiedWord/>
      <trackRevisions>false</trackRevisions>
    </reviewItem>
    <reviewItem>
      <errorID>b2624970-6e83-4ede-8dc8-6cd2abd6900f</errorID>
      <errorWord>达</errorWord>
      <group>L1_Word</group>
      <groupName>字词问题</groupName>
      <ability>L2_Typo</ability>
      <abilityName>字词错误</abilityName>
      <candidateList>
        <item>达到</item>
      </candidateList>
      <explain>〈动〉到（多指抽象事物或程度）：达得到｜达不到｜目的没有～｜～国际水平。</explain>
      <paraID>247225F6</paraID>
      <start>40</start>
      <end>41</end>
      <status>unmodified</status>
      <modifiedWord/>
      <trackRevisions>false</trackRevisions>
    </reviewItem>
    <reviewItem>
      <errorID>6eee720b-040c-49cb-944b-90a55be72703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48C8F0FF</paraID>
      <start>0</start>
      <end>2</end>
      <status>unmodified</status>
      <modifiedWord/>
      <trackRevisions>false</trackRevisions>
    </reviewItem>
    <reviewItem>
      <errorID>d7a676c1-0408-4d00-bb1d-525a6342d8b6</errorID>
      <errorWord>作</errorWord>
      <group>L1_Word</group>
      <groupName>字词问题</groupName>
      <ability>L2_Typo</ability>
      <abilityName>字词错误</abilityName>
      <candidateList>
        <item>做</item>
      </candidateList>
      <explain>存在发音相同字词的误用。</explain>
      <paraID>219B6780</paraID>
      <start>84</start>
      <end>85</end>
      <status>unmodified</status>
      <modifiedWord/>
      <trackRevisions>false</trackRevisions>
    </reviewItem>
    <reviewItem>
      <errorID>ab0dd8cd-63da-4bca-8aa3-f3898cd39108</errorID>
      <errorWord>、</errorWord>
      <group>L1_Punc</group>
      <groupName>标点问题</groupName>
      <ability>L2_Punc</ability>
      <abilityName>标点符号检查</abilityName>
      <candidateList>
        <item>.</item>
      </candidateList>
      <explain/>
      <paraID> CF8B1F7</paraID>
      <start>1</start>
      <end>2</end>
      <status>unmodified</status>
      <modifiedWord/>
      <trackRevisions>false</trackRevisions>
    </reviewItem>
    <reviewItem>
      <errorID>1dc05822-a799-4def-b208-8b94a640532c</errorID>
      <errorWord>、</errorWord>
      <group>L1_Punc</group>
      <groupName>标点问题</groupName>
      <ability>L2_Punc</ability>
      <abilityName>标点符号检查</abilityName>
      <candidateList>
        <item>.</item>
      </candidateList>
      <explain/>
      <paraID>3BCFFA64</paraID>
      <start>1</start>
      <end>2</end>
      <status>unmodified</status>
      <modifiedWord/>
      <trackRevisions>false</trackRevisions>
    </reviewItem>
    <reviewItem>
      <errorID>fb953294-c333-4db9-8cad-ee3734ce4d7b</errorID>
      <errorWord>达</errorWord>
      <group>L1_Word</group>
      <groupName>字词问题</groupName>
      <ability>L2_Typo</ability>
      <abilityName>字词错误</abilityName>
      <candidateList>
        <item>达到</item>
      </candidateList>
      <explain>〈动〉到（多指抽象事物或程度）：达得到｜达不到｜目的没有～｜～国际水平。</explain>
      <paraID> 11408E1</paraID>
      <start>21</start>
      <end>22</end>
      <status>unmodified</status>
      <modifiedWord/>
      <trackRevisions>false</trackRevisions>
    </reviewItem>
    <reviewItem>
      <errorID>154f9660-3b6f-4b86-890a-276f9e53dbcb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EBD985</paraID>
      <start>0</start>
      <end>2</end>
      <status>unmodified</status>
      <modifiedWord/>
      <trackRevisions>false</trackRevisions>
    </reviewItem>
    <reviewItem>
      <errorID>51088239-ac89-4785-9673-43bfcbb3358f</errorID>
      <errorWord>-</errorWord>
      <group>L1_Format</group>
      <groupName>格式问题</groupName>
      <ability>L2_HalfPunc</ability>
      <abilityName>全半角检查</abilityName>
      <candidateList>
        <item>－</item>
      </candidateList>
      <explain>文本全半角错误。</explain>
      <paraID>372AD506</paraID>
      <start>12</start>
      <end>13</end>
      <status>unmodified</status>
      <modifiedWord/>
      <trackRevisions>false</trackRevisions>
    </reviewItem>
    <reviewItem>
      <errorID>08168091-a741-4920-84cd-a02d748c2c0e</errorID>
      <errorWord>-</errorWord>
      <group>L1_Format</group>
      <groupName>格式问题</groupName>
      <ability>L2_HalfPunc</ability>
      <abilityName>全半角检查</abilityName>
      <candidateList>
        <item>－</item>
      </candidateList>
      <explain>文本全半角错误。</explain>
      <paraID>372AD506</paraID>
      <start>13</start>
      <end>14</end>
      <status>unmodified</status>
      <modifiedWord/>
      <trackRevisions>false</trackRevisions>
    </reviewItem>
    <reviewItem>
      <errorID>9827e1a5-8a8f-4a28-986d-deb60557d5ab</errorID>
      <errorWord>，</errorWord>
      <group>L1_Format</group>
      <groupName>格式问题</groupName>
      <ability>L2_HalfPunc</ability>
      <abilityName>全半角检查</abilityName>
      <candidateList>
        <item>, </item>
      </candidateList>
      <explain>文本全半角错误。</explain>
      <paraID>6995EF78</paraID>
      <start>2</start>
      <end>3</end>
      <status>unmodified</status>
      <modifiedWord/>
      <trackRevisions>false</trackRevisions>
    </reviewItem>
    <reviewItem>
      <errorID>977681eb-3921-4da0-b443-bab3b9b72da7</errorID>
      <errorWord>，</errorWord>
      <group>L1_Format</group>
      <groupName>格式问题</groupName>
      <ability>L2_HalfPunc</ability>
      <abilityName>全半角检查</abilityName>
      <candidateList>
        <item>, </item>
      </candidateList>
      <explain>文本全半角错误。</explain>
      <paraID>5910D22F</paraID>
      <start>1</start>
      <end>2</end>
      <status>unmodified</status>
      <modifiedWord/>
      <trackRevisions>false</trackRevisions>
    </reviewItem>
    <reviewItem>
      <errorID>152f90fe-2fdf-4f00-8568-4658ed2fb997</errorID>
      <errorWord>-</errorWord>
      <group>L1_Format</group>
      <groupName>格式问题</groupName>
      <ability>L2_HalfPunc</ability>
      <abilityName>全半角检查</abilityName>
      <candidateList>
        <item>－</item>
      </candidateList>
      <explain>文本全半角错误。</explain>
      <paraID> 751A4E2</paraID>
      <start>85</start>
      <end>86</end>
      <status>unmodified</status>
      <modifiedWord/>
      <trackRevisions>false</trackRevisions>
    </reviewItem>
    <reviewItem>
      <errorID>71b4f34e-99ba-4a2f-988b-4c9585e02db0</errorID>
      <errorWord>-</errorWord>
      <group>L1_Format</group>
      <groupName>格式问题</groupName>
      <ability>L2_HalfPunc</ability>
      <abilityName>全半角检查</abilityName>
      <candidateList>
        <item>－</item>
      </candidateList>
      <explain>文本全半角错误。</explain>
      <paraID> 751A4E2</paraID>
      <start>86</start>
      <end>87</end>
      <status>unmodified</status>
      <modifiedWord/>
      <trackRevisions>false</trackRevisions>
    </reviewItem>
    <reviewItem>
      <errorID>e8a2d78a-fc8d-4727-a004-8102ae326d83</errorID>
      <errorWord>-</errorWord>
      <group>L1_Format</group>
      <groupName>格式问题</groupName>
      <ability>L2_HalfPunc</ability>
      <abilityName>全半角检查</abilityName>
      <candidateList>
        <item>－</item>
      </candidateList>
      <explain>文本全半角错误。</explain>
      <paraID>441523B5</paraID>
      <start>87</start>
      <end>88</end>
      <status>unmodified</status>
      <modifiedWord/>
      <trackRevisions>false</trackRevisions>
    </reviewItem>
    <reviewItem>
      <errorID>f73fc4f1-c0cb-407c-80a4-b286c8101f1a</errorID>
      <errorWord>-</errorWord>
      <group>L1_Format</group>
      <groupName>格式问题</groupName>
      <ability>L2_HalfPunc</ability>
      <abilityName>全半角检查</abilityName>
      <candidateList>
        <item>－</item>
      </candidateList>
      <explain>文本全半角错误。</explain>
      <paraID>441523B5</paraID>
      <start>88</start>
      <end>89</end>
      <status>unmodified</status>
      <modifiedWord/>
      <trackRevisions>false</trackRevisions>
    </reviewItem>
    <reviewItem>
      <errorID>9543654d-e209-4306-b66a-1bf21daafd7d</errorID>
      <errorWord>-</errorWord>
      <group>L1_Format</group>
      <groupName>格式问题</groupName>
      <ability>L2_HalfPunc</ability>
      <abilityName>全半角检查</abilityName>
      <candidateList>
        <item>－</item>
      </candidateList>
      <explain>文本全半角错误。</explain>
      <paraID>1405E948</paraID>
      <start>92</start>
      <end>93</end>
      <status>unmodified</status>
      <modifiedWord/>
      <trackRevisions>false</trackRevisions>
    </reviewItem>
    <reviewItem>
      <errorID>43adb7af-978a-43bc-9753-2a6fdb9c681f</errorID>
      <errorWord>-</errorWord>
      <group>L1_Format</group>
      <groupName>格式问题</groupName>
      <ability>L2_HalfPunc</ability>
      <abilityName>全半角检查</abilityName>
      <candidateList>
        <item>－</item>
      </candidateList>
      <explain>文本全半角错误。</explain>
      <paraID>1405E948</paraID>
      <start>93</start>
      <end>94</end>
      <status>unmodified</status>
      <modifiedWord/>
      <trackRevisions>false</trackRevisions>
    </reviewItem>
    <reviewItem>
      <errorID>66e8b1b1-4a73-4e9b-aca7-fd36ece8948e</errorID>
      <errorWord>复刷</errorWord>
      <group>L1_Word</group>
      <groupName>字词问题</groupName>
      <ability>L2_Typo</ability>
      <abilityName>字词错误</abilityName>
      <candidateList>
        <item>涂刷</item>
      </candidateList>
      <explain/>
      <paraID>43937FEA</paraID>
      <start>23</start>
      <end>25</end>
      <status>unmodified</status>
      <modifiedWord/>
      <trackRevisions>false</trackRevisions>
    </reviewItem>
    <reviewItem>
      <errorID>e29479f0-ce4c-4a95-9484-7392b9c76a1e</errorID>
      <errorWord>飘</errorWord>
      <group>L1_Word</group>
      <groupName>字词问题</groupName>
      <ability>L2_Typo</ability>
      <abilityName>字词错误</abilityName>
      <candidateList>
        <item>扬</item>
      </candidateList>
      <explain/>
      <paraID> C9F1F29</paraID>
      <start>38</start>
      <end>39</end>
      <status>unmodified</status>
      <modifiedWord/>
      <trackRevisions>false</trackRevisions>
    </reviewItem>
    <reviewItem>
      <errorID>70830664-c8dc-40ec-adcf-002a4db40995</errorID>
      <errorWord>法律、法规</errorWord>
      <group>L1_Word</group>
      <groupName>字词问题</groupName>
      <ability>L2_Typo</ability>
      <abilityName>字词错误</abilityName>
      <candidateList>
        <item>法律法规</item>
      </candidateList>
      <explain/>
      <paraID>67D167AD</paraID>
      <start>66</start>
      <end>71</end>
      <status>unmodified</status>
      <modifiedWord/>
      <trackRevisions>false</trackRevisions>
    </reviewItem>
    <reviewItem>
      <errorID>93b35236-f94b-4a30-9d32-80c259aa92bd</errorID>
      <errorWord>-</errorWord>
      <group>L1_Format</group>
      <groupName>格式问题</groupName>
      <ability>L2_HalfPunc</ability>
      <abilityName>全半角检查</abilityName>
      <candidateList>
        <item>－</item>
      </candidateList>
      <explain>文本全半角错误。</explain>
      <paraID>12717F02</paraID>
      <start>58</start>
      <end>59</end>
      <status>unmodified</status>
      <modifiedWord/>
      <trackRevisions>false</trackRevisions>
    </reviewItem>
    <reviewItem>
      <errorID>1914bfa1-357d-4cc2-9598-bcd0942e5797</errorID>
      <errorWord>-</errorWord>
      <group>L1_Format</group>
      <groupName>格式问题</groupName>
      <ability>L2_HalfPunc</ability>
      <abilityName>全半角检查</abilityName>
      <candidateList>
        <item>－</item>
      </candidateList>
      <explain>文本全半角错误。</explain>
      <paraID>12717F02</paraID>
      <start>59</start>
      <end>60</end>
      <status>unmodified</status>
      <modifiedWord/>
      <trackRevisions>false</trackRevisions>
    </reviewItem>
    <reviewItem>
      <errorID>215f0240-9e75-4dd0-bdfd-b9e92f532140</errorID>
      <errorWord>属</errorWord>
      <group>L1_Word</group>
      <groupName>字词问题</groupName>
      <ability>L2_Typo</ability>
      <abilityName>字词错误</abilityName>
      <candidateList>
        <item>属于</item>
      </candidateList>
      <explain/>
      <paraID>624603BA</paraID>
      <start>32</start>
      <end>33</end>
      <status>unmodified</status>
      <modifiedWord/>
      <trackRevisions>false</trackRevisions>
    </reviewItem>
    <reviewItem>
      <errorID>97c6a8ca-0760-4572-9951-4d7e9b4024ee</errorID>
      <errorWord>-</errorWord>
      <group>L1_Format</group>
      <groupName>格式问题</groupName>
      <ability>L2_HalfPunc</ability>
      <abilityName>全半角检查</abilityName>
      <candidateList>
        <item>－</item>
      </candidateList>
      <explain>文本全半角错误。</explain>
      <paraID>624603BA</paraID>
      <start>60</start>
      <end>61</end>
      <status>unmodified</status>
      <modifiedWord/>
      <trackRevisions>false</trackRevisions>
    </reviewItem>
    <reviewItem>
      <errorID>ba4f4cf7-fc62-4625-ab84-5ecba50af524</errorID>
      <errorWord>-</errorWord>
      <group>L1_Format</group>
      <groupName>格式问题</groupName>
      <ability>L2_HalfPunc</ability>
      <abilityName>全半角检查</abilityName>
      <candidateList>
        <item>－</item>
      </candidateList>
      <explain>文本全半角错误。</explain>
      <paraID>624603BA</paraID>
      <start>61</start>
      <end>62</end>
      <status>unmodified</status>
      <modifiedWord/>
      <trackRevisions>false</trackRevisions>
    </reviewItem>
    <reviewItem>
      <errorID>3b993297-1121-464f-b06c-3fec3941d514</errorID>
      <errorWord>进化</errorWord>
      <group>L1_Word</group>
      <groupName>字词问题</groupName>
      <ability>L2_Typo</ability>
      <abilityName>字词错误</abilityName>
      <candidateList>
        <item>净化</item>
      </candidateList>
      <explain/>
      <paraID>58730735</paraID>
      <start>52</start>
      <end>54</end>
      <status>unmodified</status>
      <modifiedWord/>
      <trackRevisions>false</trackRevisions>
    </reviewItem>
    <reviewItem>
      <errorID>168dbe68-5b7d-463c-89e2-6ccd7c54cc8a</errorID>
      <errorWord>-</errorWord>
      <group>L1_Format</group>
      <groupName>格式问题</groupName>
      <ability>L2_HalfPunc</ability>
      <abilityName>全半角检查</abilityName>
      <candidateList>
        <item>－</item>
      </candidateList>
      <explain>文本全半角错误。</explain>
      <paraID>58730735</paraID>
      <start>257</start>
      <end>258</end>
      <status>unmodified</status>
      <modifiedWord/>
      <trackRevisions>false</trackRevisions>
    </reviewItem>
    <reviewItem>
      <errorID>75bf6333-719e-407a-8cc5-264583b6362b</errorID>
      <errorWord>-</errorWord>
      <group>L1_Format</group>
      <groupName>格式问题</groupName>
      <ability>L2_HalfPunc</ability>
      <abilityName>全半角检查</abilityName>
      <candidateList>
        <item>－</item>
      </candidateList>
      <explain>文本全半角错误。</explain>
      <paraID>58730735</paraID>
      <start>258</start>
      <end>259</end>
      <status>unmodified</status>
      <modifiedWord/>
      <trackRevisions>false</trackRevisions>
    </reviewItem>
    <reviewItem>
      <errorID>fe0f7d5b-9ed4-4fe1-a4c2-f64220b97ee7</errorID>
      <errorWord>（</errorWord>
      <group>L1_Format</group>
      <groupName>格式问题</groupName>
      <ability>L2_HalfPunc</ability>
      <abilityName>全半角检查</abilityName>
      <candidateList>
        <item>(</item>
      </candidateList>
      <explain>文本全半角错误。</explain>
      <paraID>412979F7</paraID>
      <start>0</start>
      <end>1</end>
      <status>unmodified</status>
      <modifiedWord/>
      <trackRevisions>false</trackRevisions>
    </reviewItem>
    <reviewItem>
      <errorID>c2b2cfce-175e-4bf5-9204-f47976c35d68</errorID>
      <errorWord>）</errorWord>
      <group>L1_Format</group>
      <groupName>格式问题</groupName>
      <ability>L2_HalfPunc</ability>
      <abilityName>全半角检查</abilityName>
      <candidateList>
        <item>)</item>
      </candidateList>
      <explain>文本全半角错误。</explain>
      <paraID>412979F7</paraID>
      <start>4</start>
      <end>5</end>
      <status>unmodified</status>
      <modifiedWord/>
      <trackRevisions>false</trackRevisions>
    </reviewItem>
    <reviewItem>
      <errorID>88868ace-e836-43aa-87db-229154fcd2cc</errorID>
      <errorWord>-</errorWord>
      <group>L1_Format</group>
      <groupName>格式问题</groupName>
      <ability>L2_HalfPunc</ability>
      <abilityName>全半角检查</abilityName>
      <candidateList>
        <item>－</item>
      </candidateList>
      <explain>文本全半角错误。</explain>
      <paraID>57744C66</paraID>
      <start>56</start>
      <end>57</end>
      <status>unmodified</status>
      <modifiedWord/>
      <trackRevisions>false</trackRevisions>
    </reviewItem>
    <reviewItem>
      <errorID>e685d8ef-8511-4945-8c85-3e6c474b70ba</errorID>
      <errorWord>-</errorWord>
      <group>L1_Format</group>
      <groupName>格式问题</groupName>
      <ability>L2_HalfPunc</ability>
      <abilityName>全半角检查</abilityName>
      <candidateList>
        <item>－</item>
      </candidateList>
      <explain>文本全半角错误。</explain>
      <paraID>57744C66</paraID>
      <start>57</start>
      <end>58</end>
      <status>unmodified</status>
      <modifiedWord/>
      <trackRevisions>false</trackRevisions>
    </reviewItem>
    <reviewItem>
      <errorID>fb7969a0-8369-474e-b938-05c7eac4bfa0</errorID>
      <errorWord>-</errorWord>
      <group>L1_Format</group>
      <groupName>格式问题</groupName>
      <ability>L2_HalfPunc</ability>
      <abilityName>全半角检查</abilityName>
      <candidateList>
        <item>－</item>
      </candidateList>
      <explain>文本全半角错误。</explain>
      <paraID>5D99D4F2</paraID>
      <start>70</start>
      <end>71</end>
      <status>unmodified</status>
      <modifiedWord/>
      <trackRevisions>false</trackRevisions>
    </reviewItem>
    <reviewItem>
      <errorID>c9471452-b8b1-4cda-81d8-81873e6af87d</errorID>
      <errorWord>-</errorWord>
      <group>L1_Format</group>
      <groupName>格式问题</groupName>
      <ability>L2_HalfPunc</ability>
      <abilityName>全半角检查</abilityName>
      <candidateList>
        <item>－</item>
      </candidateList>
      <explain>文本全半角错误。</explain>
      <paraID>5D99D4F2</paraID>
      <start>71</start>
      <end>72</end>
      <status>unmodified</status>
      <modifiedWord/>
      <trackRevisions>false</trackRevisions>
    </reviewItem>
    <reviewItem>
      <errorID>a0bee452-1fa5-41fa-88c8-f48eacd3482d</errorID>
      <errorWord>-</errorWord>
      <group>L1_Format</group>
      <groupName>格式问题</groupName>
      <ability>L2_HalfPunc</ability>
      <abilityName>全半角检查</abilityName>
      <candidateList>
        <item>－</item>
      </candidateList>
      <explain>文本全半角错误。</explain>
      <paraID>61729615</paraID>
      <start>12</start>
      <end>13</end>
      <status>unmodified</status>
      <modifiedWord/>
      <trackRevisions>false</trackRevisions>
    </reviewItem>
    <reviewItem>
      <errorID>44b05db1-9b49-401e-ac12-5de78d7609ee</errorID>
      <errorWord>-</errorWord>
      <group>L1_Format</group>
      <groupName>格式问题</groupName>
      <ability>L2_HalfPunc</ability>
      <abilityName>全半角检查</abilityName>
      <candidateList>
        <item>－</item>
      </candidateList>
      <explain>文本全半角错误。</explain>
      <paraID>61729615</paraID>
      <start>13</start>
      <end>14</end>
      <status>unmodified</status>
      <modifiedWord/>
      <trackRevisions>false</trackRevisions>
    </reviewItem>
    <reviewItem>
      <errorID>66912815-a25c-4817-8334-b36ac2664174</errorID>
      <errorWord>，</errorWord>
      <group>L1_Format</group>
      <groupName>格式问题</groupName>
      <ability>L2_HalfPunc</ability>
      <abilityName>全半角检查</abilityName>
      <candidateList>
        <item>, </item>
      </candidateList>
      <explain>文本全半角错误。</explain>
      <paraID>541ADC58</paraID>
      <start>1</start>
      <end>2</end>
      <status>unmodified</status>
      <modifiedWord/>
      <trackRevisions>false</trackRevisions>
    </reviewItem>
    <reviewItem>
      <errorID>c9978d37-7407-471e-a5f8-e3b39c5e116d</errorID>
      <errorWord>，</errorWord>
      <group>L1_Format</group>
      <groupName>格式问题</groupName>
      <ability>L2_HalfPunc</ability>
      <abilityName>全半角检查</abilityName>
      <candidateList>
        <item>, </item>
      </candidateList>
      <explain>文本全半角错误。</explain>
      <paraID> 24D075D</paraID>
      <start>1</start>
      <end>2</end>
      <status>unmodified</status>
      <modifiedWord/>
      <trackRevisions>false</trackRevisions>
    </reviewItem>
    <reviewItem>
      <errorID>e533b016-7092-4db4-8c70-dbdcc094c029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AB36799</paraID>
      <start>0</start>
      <end>2</end>
      <status>unmodified</status>
      <modifiedWord/>
      <trackRevisions>false</trackRevisions>
    </reviewItem>
    <reviewItem>
      <errorID>0a8cf8be-7c5b-4129-9967-3991cd8bd2b5</errorID>
      <errorWord>漫流</errorWord>
      <group>L1_Word</group>
      <groupName>字词问题</groupName>
      <ability>L2_Typo</ability>
      <abilityName>字词错误</abilityName>
      <candidateList>
        <item>径流</item>
      </candidateList>
      <explain>〈名〉降水除蒸发的、被土地吸收的和被拦堵的以外，沿着地面流走的水叫径流。渗入地下的也可以形成地下径流。</explain>
      <paraID> A3BC2DE</paraID>
      <start>26</start>
      <end>28</end>
      <status>unmodified</status>
      <modifiedWord/>
      <trackRevisions>false</trackRevisions>
    </reviewItem>
    <reviewItem>
      <errorID>576f590f-3ec4-4564-b44c-a709dc329930</errorID>
      <errorWord>)</errorWord>
      <group>L1_Format</group>
      <groupName>格式问题</groupName>
      <ability>L2_HalfPunc</ability>
      <abilityName>全半角检查</abilityName>
      <candidateList>
        <item>）</item>
      </candidateList>
      <explain>文本全半角错误。</explain>
      <paraID>2F5DE102</paraID>
      <start>37</start>
      <end>38</end>
      <status>unmodified</status>
      <modifiedWord/>
      <trackRevisions>false</trackRevisions>
    </reviewItem>
    <reviewItem>
      <errorID>24393b8c-3ace-4199-ae5c-78160f779f61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1647C1A6</paraID>
      <start>8</start>
      <end>9</end>
      <status>unmodified</status>
      <modifiedWord/>
      <trackRevisions>false</trackRevisions>
    </reviewItem>
    <reviewItem>
      <errorID>4593cbac-b7c7-4122-ac26-c537d4678517</errorID>
      <errorWord>树脂</errorWord>
      <group>L1_Word</group>
      <groupName>字词问题</groupName>
      <ability>L2_Typo</ability>
      <abilityName>字词错误</abilityName>
      <candidateList>
        <item>树酯</item>
      </candidateList>
      <explain/>
      <paraID>1647C1A6</paraID>
      <start>15</start>
      <end>17</end>
      <status>unmodified</status>
      <modifiedWord/>
      <trackRevisions>false</trackRevisions>
    </reviewItem>
    <reviewItem>
      <errorID>8e5f65a1-2032-44ac-b872-b7acd2226d96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29B86C90</paraID>
      <start>8</start>
      <end>9</end>
      <status>unmodified</status>
      <modifiedWord/>
      <trackRevisions>false</trackRevisions>
    </reviewItem>
    <reviewItem>
      <errorID>eb14e612-5d16-4ac4-9f7e-5a19089a1fbb</errorID>
      <errorWord>树脂</errorWord>
      <group>L1_Word</group>
      <groupName>字词问题</groupName>
      <ability>L2_Typo</ability>
      <abilityName>字词错误</abilityName>
      <candidateList>
        <item>树酯</item>
      </candidateList>
      <explain/>
      <paraID>29B86C90</paraID>
      <start>15</start>
      <end>17</end>
      <status>unmodified</status>
      <modifiedWord/>
      <trackRevisions>false</trackRevisions>
    </reviewItem>
    <reviewItem>
      <errorID>4780af1b-6544-4efe-8fab-27e523e83932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37E61618</paraID>
      <start>150</start>
      <end>151</end>
      <status>unmodified</status>
      <modifiedWord/>
      <trackRevisions>false</trackRevisions>
    </reviewItem>
    <reviewItem>
      <errorID>579d5965-5df4-4e58-ac5c-22bd0c436d22</errorID>
      <errorWord>转输</errorWord>
      <group>L1_Word</group>
      <groupName>字词问题</groupName>
      <ability>L2_Typo</ability>
      <abilityName>字词错误</abilityName>
      <candidateList>
        <item>传输</item>
      </candidateList>
      <explain>存在发音相同字词的误用。</explain>
      <paraID>73C098FB</paraID>
      <start>11</start>
      <end>13</end>
      <status>unmodified</status>
      <modifiedWord/>
      <trackRevisions>false</trackRevisions>
    </reviewItem>
    <reviewItem>
      <errorID>1cc3437c-06ff-4d0e-9377-8a9d43328d99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5778D4D4</paraID>
      <start>0</start>
      <end>2</end>
      <status>unmodified</status>
      <modifiedWord/>
      <trackRevisions>false</trackRevisions>
    </reviewItem>
    <reviewItem>
      <errorID>258723a2-90b7-445a-9834-605b607757ef</errorID>
      <errorWord>，...，</errorWord>
      <group>L1_Punc</group>
      <groupName>标点问题</groupName>
      <ability>L2_Punc</ability>
      <abilityName>标点符号检查</abilityName>
      <candidateList>
        <item>，</item>
      </candidateList>
      <explain/>
      <paraID>54281649</paraID>
      <start>8</start>
      <end>13</end>
      <status>unmodified</status>
      <modifiedWord/>
      <trackRevisions>false</trackRevisions>
    </reviewItem>
    <reviewItem>
      <errorID>d006a336-cdfd-4eb6-91d8-af076dfb2b01</errorID>
      <errorWord>，...，</errorWord>
      <group>L1_Punc</group>
      <groupName>标点问题</groupName>
      <ability>L2_Punc</ability>
      <abilityName>标点符号检查</abilityName>
      <candidateList>
        <item>，</item>
      </candidateList>
      <explain/>
      <paraID>20EBD267</paraID>
      <start>5</start>
      <end>10</end>
      <status>unmodified</status>
      <modifiedWord/>
      <trackRevisions>false</trackRevisions>
    </reviewItem>
    <reviewItem>
      <errorID>c13865d4-4a32-47c3-bf8f-3c46c388fcd4</errorID>
      <errorWord>，如</errorWord>
      <group>L1_Word</group>
      <groupName>字词问题</groupName>
      <ability>L2_Typo</ability>
      <abilityName>字词错误</abilityName>
      <candidateList>
        <item>，</item>
      </candidateList>
      <explain/>
      <paraID>  3060AC</paraID>
      <start>147</start>
      <end>149</end>
      <status>unmodified</status>
      <modifiedWord/>
      <trackRevisions>false</trackRevisions>
    </reviewItem>
    <reviewItem>
      <errorID>c3708393-4a1c-4f9c-952f-ce6722a4aaf8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59062EE9</paraID>
      <start>0</start>
      <end>2</end>
      <status>unmodified</status>
      <modifiedWord/>
      <trackRevisions>false</trackRevisions>
    </reviewItem>
    <reviewItem>
      <errorID>34c99b5e-c2df-48ff-9d0c-9c374f5d72f9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25862E30</paraID>
      <start>0</start>
      <end>2</end>
      <status>unmodified</status>
      <modifiedWord/>
      <trackRevisions>false</trackRevisions>
    </reviewItem>
    <reviewItem>
      <errorID>c6996e87-61dc-4883-888c-a23eb5721685</errorID>
      <errorWord>达</errorWord>
      <group>L1_Word</group>
      <groupName>字词问题</groupName>
      <ability>L2_Typo</ability>
      <abilityName>字词错误</abilityName>
      <candidateList>
        <item>达到</item>
      </candidateList>
      <explain>〈动〉到（多指抽象事物或程度）：达得到｜达不到｜目的没有～｜～国际水平。</explain>
      <paraID> 23567DD</paraID>
      <start>40</start>
      <end>41</end>
      <status>unmodified</status>
      <modifiedWord/>
      <trackRevisions>false</trackRevisions>
    </reviewItem>
    <reviewItem>
      <errorID>36634807-f497-4f90-8bb4-f97e1b54c92c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22080092</paraID>
      <start>0</start>
      <end>2</end>
      <status>unmodified</status>
      <modifiedWord/>
      <trackRevisions>false</trackRevisions>
    </reviewItem>
    <reviewItem>
      <errorID>e5936e82-2c77-4d49-a2bc-83c35f825d3b</errorID>
      <errorWord>隔震</errorWord>
      <group>L1_Word</group>
      <groupName>字词问题</groupName>
      <ability>L2_Typo</ability>
      <abilityName>字词错误</abilityName>
      <candidateList>
        <item>隔振</item>
      </candidateList>
      <explain/>
      <paraID>5D7B0549</paraID>
      <start>11</start>
      <end>13</end>
      <status>unmodified</status>
      <modifiedWord/>
      <trackRevisions>false</trackRevisions>
    </reviewItem>
    <reviewItem>
      <errorID>540c9b2a-40f1-44ba-926b-3a5fc79aec28</errorID>
      <errorWord>减震</errorWord>
      <group>L1_Word</group>
      <groupName>字词问题</groupName>
      <ability>L2_Typo</ability>
      <abilityName>字词错误</abilityName>
      <candidateList>
        <item>减振</item>
      </candidateList>
      <explain/>
      <paraID>5D7B0549</paraID>
      <start>14</start>
      <end>16</end>
      <status>unmodified</status>
      <modifiedWord/>
      <trackRevisions>false</trackRevisions>
    </reviewItem>
    <reviewItem>
      <errorID>57f46db4-1a43-4894-af6f-d0607262a4c7</errorID>
      <errorWord>提高</errorWord>
      <group>L1_Word</group>
      <groupName>字词问题</groupName>
      <ability>L2_Typo</ability>
      <abilityName>字词错误</abilityName>
      <candidateList>
        <item>增强</item>
      </candidateList>
      <explain>“提高～意识”搭配不当，建议修改为“增强～意识”。</explain>
      <paraID>4907D9AF</paraID>
      <start>11</start>
      <end>13</end>
      <status>unmodified</status>
      <modifiedWord/>
      <trackRevisions>false</trackRevisions>
    </reviewItem>
    <reviewItem>
      <errorID>c98395e8-ae08-447e-bb6c-08f84b16688a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758EBB16</paraID>
      <start>28</start>
      <end>31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55C660-CB12-4A19-A757-8B8AF3B661F3}">
  <ds:schemaRefs/>
</ds:datastoreItem>
</file>

<file path=customXml/itemProps3.xml><?xml version="1.0" encoding="utf-8"?>
<ds:datastoreItem xmlns:ds="http://schemas.openxmlformats.org/officeDocument/2006/customXml" ds:itemID="{0994C299-D988-4CEF-9518-ED5E7327F142}">
  <ds:schemaRefs/>
</ds:datastoreItem>
</file>

<file path=docProps/app.xml><?xml version="1.0" encoding="utf-8"?>
<Properties xmlns="http://schemas.openxmlformats.org/officeDocument/2006/extended-properties" xmlns:vt="http://schemas.openxmlformats.org/officeDocument/2006/docPropsVTypes">
  <Template>000huanping</Template>
  <Company>Organization</Company>
  <Pages>80</Pages>
  <Words>15232</Words>
  <Characters>15971</Characters>
  <Lines>365</Lines>
  <Paragraphs>102</Paragraphs>
  <TotalTime>38</TotalTime>
  <ScaleCrop>false</ScaleCrop>
  <LinksUpToDate>false</LinksUpToDate>
  <CharactersWithSpaces>16079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2026-03-08T01:15:00Z</dcterms:created>
  <dc:creator>张益达</dc:creator>
  <cp:lastModifiedBy>张益达</cp:lastModifiedBy>
  <dcterms:modified xsi:type="dcterms:W3CDTF">2026-03-16T02:57:07Z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eyJoZGlkIjoiMmZhNjIzZDYzZDQ0MzEwYzBjZGFmNzk4YmYwY2NkODciLCJ1c2VySWQiOiIxMjM0MTY0MDc5In0=</vt:lpwstr>
  </property>
  <property fmtid="{D5CDD505-2E9C-101B-9397-08002B2CF9AE}" pid="4" name="ICV">
    <vt:lpwstr>EE23D2BAF1764D00AB86419EE2DE54BD_13</vt:lpwstr>
  </property>
</Properties>
</file>