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A1D997">
      <w:pPr>
        <w:keepNext w:val="0"/>
        <w:keepLines w:val="0"/>
        <w:pageBreakBefore w:val="0"/>
        <w:widowControl/>
        <w:tabs>
          <w:tab w:val="left" w:pos="8820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176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  <w:t>《青阳县低温雨雪冰冻</w:t>
      </w: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  <w:lang w:val="en-US" w:eastAsia="zh-CN"/>
        </w:rPr>
        <w:t>灾害</w:t>
      </w: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  <w:t>应急预案</w:t>
      </w:r>
    </w:p>
    <w:p w14:paraId="75848BE0">
      <w:pPr>
        <w:keepNext w:val="0"/>
        <w:keepLines w:val="0"/>
        <w:pageBreakBefore w:val="0"/>
        <w:widowControl/>
        <w:tabs>
          <w:tab w:val="left" w:pos="8820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176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  <w:t>（征求意见稿）》的修订说明</w:t>
      </w:r>
    </w:p>
    <w:p w14:paraId="45DDD1F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</w:p>
    <w:p w14:paraId="2E719F3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为了做好低温雨雪冰冻灾害防范应对工作，完善应急预案体系，县应急局起草了《青阳县低温雨雪冰冻灾害应急预案（征求意见稿）》，</w:t>
      </w:r>
      <w:r>
        <w:rPr>
          <w:rFonts w:hint="eastAsia" w:ascii="仿宋_GB2312" w:hAnsi="仿宋_GB2312" w:eastAsia="仿宋_GB2312" w:cs="仿宋_GB2312"/>
          <w:sz w:val="32"/>
          <w:szCs w:val="32"/>
        </w:rPr>
        <w:t>现将相关情况说明如下：</w:t>
      </w:r>
    </w:p>
    <w:p w14:paraId="2141C342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8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6"/>
          <w:sz w:val="32"/>
          <w:szCs w:val="32"/>
        </w:rPr>
        <w:t>一、</w:t>
      </w:r>
      <w:r>
        <w:rPr>
          <w:rFonts w:hint="eastAsia" w:ascii="黑体" w:hAnsi="黑体" w:eastAsia="黑体" w:cs="黑体"/>
          <w:spacing w:val="6"/>
          <w:sz w:val="32"/>
          <w:szCs w:val="32"/>
        </w:rPr>
        <w:t>修订背景和必要性</w:t>
      </w:r>
    </w:p>
    <w:p w14:paraId="4061865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2025年12月29日，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国务院办公厅印发《国家低温雨雪冰冻灾害应急预案》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国办函〔2025〕126号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2025年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12月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日，安徽省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防灾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减灾救灾委员会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办公室发布征求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《安徽省低温雨雪冰冻灾害应急预案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征求意见稿）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》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意见的函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5E976D1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default" w:asci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根据《突发事件应急预案管理办法》（国办发〔2024〕5号）有关应急预案评估、修订的规定，县级以上地方人民政府及其有关部门应急预案原则上每3年评估一次，当发生有关法律、法规、规章、标准、上位预案中的有关规定发生重大变化，应急指挥机构及其职责发生重大调整等情况，应当及时修订应急预案。</w:t>
      </w:r>
    </w:p>
    <w:p w14:paraId="72D025A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此前，我县于2022年1月27日印发了《青阳县低温雨雪冰冻灾害应急预案》（青政办秘〔2022〕9号）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县应急管理局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对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照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国家、安徽省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池州市有关应对低温雨雪灾害的工作要求，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并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结合我县实际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按照管用实用的原则认真组织修订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起草了《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青阳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低温雨雪冰冻灾害应急预案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（</w:t>
      </w:r>
      <w:r>
        <w:rPr>
          <w:rFonts w:hint="eastAsia" w:eastAsia="仿宋_GB2312" w:cs="仿宋_GB2312"/>
          <w:color w:val="auto"/>
          <w:sz w:val="32"/>
          <w:szCs w:val="32"/>
          <w:lang w:val="en-US" w:eastAsia="zh-CN"/>
        </w:rPr>
        <w:t>征求意见稿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》。</w:t>
      </w:r>
    </w:p>
    <w:p w14:paraId="775D194E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8"/>
        <w:outlineLvl w:val="0"/>
        <w:rPr>
          <w:rFonts w:ascii="黑体" w:hAnsi="黑体" w:eastAsia="黑体" w:cs="黑体"/>
          <w:spacing w:val="6"/>
          <w:sz w:val="32"/>
          <w:szCs w:val="32"/>
        </w:rPr>
      </w:pPr>
      <w:r>
        <w:rPr>
          <w:rFonts w:ascii="黑体" w:hAnsi="黑体" w:eastAsia="黑体" w:cs="黑体"/>
          <w:spacing w:val="6"/>
          <w:sz w:val="32"/>
          <w:szCs w:val="32"/>
        </w:rPr>
        <w:t>二、</w:t>
      </w:r>
      <w:r>
        <w:rPr>
          <w:rFonts w:hint="eastAsia" w:ascii="黑体" w:hAnsi="黑体" w:eastAsia="黑体" w:cs="黑体"/>
          <w:spacing w:val="6"/>
          <w:sz w:val="32"/>
          <w:szCs w:val="32"/>
        </w:rPr>
        <w:t>文件修订过程</w:t>
      </w:r>
    </w:p>
    <w:p w14:paraId="647C985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《青阳县低温雨雪冰冻灾害应急预案（征求意见稿）》由青阳县应急管理局组织编制，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起草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过程大致为：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一是根据上级文件要求，认真组织修订，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结合我县应对低温雨雪冰冻灾害工作情况，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起草《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青阳县低温雨雪冰冻灾害应急预案（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征求意见稿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）</w:t>
      </w:r>
      <w:r>
        <w:rPr>
          <w:rFonts w:hint="default" w:ascii="仿宋_GB2312" w:eastAsia="仿宋_GB2312" w:cs="方正仿宋_GBK"/>
          <w:color w:val="auto"/>
          <w:sz w:val="32"/>
          <w:szCs w:val="32"/>
          <w:lang w:val="en-US" w:eastAsia="zh-CN"/>
        </w:rPr>
        <w:t>》（初稿）。二是向各乡镇和各有关单位征求意见，组织专家评审，对初稿内容进行了修改完善，现向社会公众征求意见建议。</w:t>
      </w:r>
    </w:p>
    <w:p w14:paraId="76D21D10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8"/>
        <w:outlineLvl w:val="0"/>
        <w:rPr>
          <w:rFonts w:ascii="黑体" w:hAnsi="黑体" w:eastAsia="黑体" w:cs="黑体"/>
          <w:spacing w:val="6"/>
          <w:sz w:val="32"/>
          <w:szCs w:val="32"/>
        </w:rPr>
      </w:pPr>
      <w:r>
        <w:rPr>
          <w:rFonts w:ascii="黑体" w:hAnsi="黑体" w:eastAsia="黑体" w:cs="黑体"/>
          <w:spacing w:val="6"/>
          <w:sz w:val="32"/>
          <w:szCs w:val="32"/>
        </w:rPr>
        <w:t>三、</w:t>
      </w:r>
      <w:r>
        <w:rPr>
          <w:rFonts w:hint="eastAsia" w:ascii="黑体" w:hAnsi="黑体" w:eastAsia="黑体" w:cs="黑体"/>
          <w:spacing w:val="6"/>
          <w:sz w:val="32"/>
          <w:szCs w:val="32"/>
        </w:rPr>
        <w:t>主要内容和特点</w:t>
      </w:r>
    </w:p>
    <w:p w14:paraId="3EE9F31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default" w:ascii="仿宋_GB2312" w:hAnsi="仿宋" w:eastAsia="仿宋_GB2312" w:cs="仿宋"/>
          <w:b w:val="0"/>
          <w:bCs/>
          <w:color w:val="auto"/>
          <w:sz w:val="32"/>
          <w:szCs w:val="32"/>
          <w:lang w:val="en-US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本预案参照省、市预案体例，结合我县实际工作实际编制而成，正文共设总则、组织指挥机构与职责、监测预警、应急响应、善后工作、应急保障、附则7个部分，主要有以下特点</w:t>
      </w:r>
      <w:bookmarkStart w:id="0" w:name="_GoBack"/>
      <w:bookmarkEnd w:id="0"/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：</w:t>
      </w:r>
    </w:p>
    <w:p w14:paraId="36B58D4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b/>
          <w:bCs w:val="0"/>
          <w:color w:val="auto"/>
          <w:sz w:val="32"/>
          <w:szCs w:val="32"/>
          <w:lang w:val="en-US" w:eastAsia="zh-CN"/>
        </w:rPr>
        <w:t>一是组织体系设置适应县防灾减灾救灾工作机制。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此次修订后的预案，由县安防委负责统筹指导、协调和监督全县低温雨雪冰冻灾害防范应对工作，与目前县级防灾减灾救灾工作实际一致，有利于低温雨雪冰冻灾害应对工作的责任落实。</w:t>
      </w:r>
    </w:p>
    <w:p w14:paraId="3BF6323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hAnsi="仿宋" w:eastAsia="仿宋_GB2312" w:cs="仿宋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b/>
          <w:bCs w:val="0"/>
          <w:color w:val="auto"/>
          <w:sz w:val="32"/>
          <w:szCs w:val="32"/>
          <w:lang w:val="en-US" w:eastAsia="zh-CN"/>
        </w:rPr>
        <w:t>二是合理确定响应分级。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根据低温雨雪冰冻灾害影响范围、危害程度、灾害损失等情况，对低温雨雪冰冻灾害进行分级响应，根据县实际情况确定分级标准，确定启动和应急结束程序，从生活保障、公共设施抢修、生活救助、重点行业和区域隐患排查等方面制定主要响应措施，突出以人为本的救灾理念。</w:t>
      </w:r>
    </w:p>
    <w:p w14:paraId="31BB20B4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b/>
          <w:bCs w:val="0"/>
          <w:color w:val="auto"/>
          <w:sz w:val="32"/>
          <w:szCs w:val="32"/>
          <w:lang w:val="en-US" w:eastAsia="zh-CN"/>
        </w:rPr>
        <w:t>三是善后工作从单纯的事务性处理上升至治理能力提升的高度。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打破单一部门的碎片化治理模式，构建起立体善后网，整合交通、住建、工信、民政、应急等多部门职能，同步推进群众安置、基础设施修复与损失核定，实现了救灾资源的一体化调度，有效提升了灾后恢复效率。</w:t>
      </w:r>
    </w:p>
    <w:p w14:paraId="71395D5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</w:p>
    <w:p w14:paraId="0D5E8680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rPr>
          <w:rFonts w:ascii="Arial"/>
          <w:sz w:val="21"/>
        </w:rPr>
      </w:pPr>
    </w:p>
    <w:sectPr>
      <w:headerReference r:id="rId5" w:type="default"/>
      <w:footerReference r:id="rId6" w:type="default"/>
      <w:pgSz w:w="11906" w:h="16838"/>
      <w:pgMar w:top="2098" w:right="1079" w:bottom="1984" w:left="1587" w:header="0" w:footer="1644" w:gutter="0"/>
      <w:pgNumType w:fmt="numberInDash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7B654DD-BF4F-4F72-8893-37CFCEF6A638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98FCC1FE-E3F6-4CDF-9C5C-EFF79F21A5E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2747615F-3780-4485-8D0F-9F9718A19454}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F15D9FEE-22F7-4969-8FAF-BA856E0BB9C0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187EAD12-E900-4264-AA40-3387B985223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4DB1564D-8B70-4032-A9FB-DE68B1649E54}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  <w:embedRegular r:id="rId7" w:fontKey="{1C368AD3-9AA1-48B4-9974-0D8E4BEBF7F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CEE8F2">
    <w:pPr>
      <w:spacing w:before="1" w:line="233" w:lineRule="auto"/>
      <w:ind w:right="25"/>
      <w:jc w:val="right"/>
      <w:rPr>
        <w:rFonts w:ascii="新宋体" w:hAnsi="新宋体" w:eastAsia="新宋体" w:cs="新宋体"/>
        <w:spacing w:val="-2"/>
        <w:sz w:val="28"/>
        <w:szCs w:val="28"/>
      </w:rPr>
    </w:pPr>
    <w:r>
      <w:rPr>
        <w:rFonts w:ascii="新宋体" w:hAnsi="新宋体" w:eastAsia="新宋体" w:cs="新宋体"/>
        <w:spacing w:val="-2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7156B9">
                          <w:pPr>
                            <w:spacing w:before="1" w:line="233" w:lineRule="auto"/>
                            <w:ind w:right="25"/>
                            <w:jc w:val="right"/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7156B9">
                    <w:pPr>
                      <w:spacing w:before="1" w:line="233" w:lineRule="auto"/>
                      <w:ind w:right="25"/>
                      <w:jc w:val="right"/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</w:pP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9958BF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093D7F"/>
    <w:rsid w:val="043D4F04"/>
    <w:rsid w:val="04A647CA"/>
    <w:rsid w:val="053A45EC"/>
    <w:rsid w:val="06D33870"/>
    <w:rsid w:val="0A211347"/>
    <w:rsid w:val="0B324867"/>
    <w:rsid w:val="0C4F1BEB"/>
    <w:rsid w:val="0CFF0F1B"/>
    <w:rsid w:val="0EDD528C"/>
    <w:rsid w:val="15EA2FB6"/>
    <w:rsid w:val="167F6F27"/>
    <w:rsid w:val="16FC296F"/>
    <w:rsid w:val="170F61FF"/>
    <w:rsid w:val="1D210A3A"/>
    <w:rsid w:val="1F6C267A"/>
    <w:rsid w:val="1F7E03C6"/>
    <w:rsid w:val="22400CF8"/>
    <w:rsid w:val="242515DF"/>
    <w:rsid w:val="2550753F"/>
    <w:rsid w:val="27FC13A7"/>
    <w:rsid w:val="28657B53"/>
    <w:rsid w:val="29C0782D"/>
    <w:rsid w:val="2AFE0EF4"/>
    <w:rsid w:val="30DB1652"/>
    <w:rsid w:val="317C0E11"/>
    <w:rsid w:val="32F26CA9"/>
    <w:rsid w:val="34C75F13"/>
    <w:rsid w:val="35971A38"/>
    <w:rsid w:val="391F5132"/>
    <w:rsid w:val="391F5588"/>
    <w:rsid w:val="3A1E15E9"/>
    <w:rsid w:val="3B0000FA"/>
    <w:rsid w:val="3B390EFB"/>
    <w:rsid w:val="404043A0"/>
    <w:rsid w:val="41E9571B"/>
    <w:rsid w:val="43FF1225"/>
    <w:rsid w:val="449000D0"/>
    <w:rsid w:val="49BF33F1"/>
    <w:rsid w:val="4AB8064A"/>
    <w:rsid w:val="4B6F2660"/>
    <w:rsid w:val="4C176F4A"/>
    <w:rsid w:val="5E3E4C2D"/>
    <w:rsid w:val="614D5EC2"/>
    <w:rsid w:val="61A93CCB"/>
    <w:rsid w:val="631F0BA7"/>
    <w:rsid w:val="645C17EF"/>
    <w:rsid w:val="691724F7"/>
    <w:rsid w:val="6C711CE5"/>
    <w:rsid w:val="6CD34FEE"/>
    <w:rsid w:val="6CDC443A"/>
    <w:rsid w:val="70AF3CC9"/>
    <w:rsid w:val="72A526E9"/>
    <w:rsid w:val="79BE2A0E"/>
    <w:rsid w:val="7A74136B"/>
    <w:rsid w:val="7AF558A5"/>
    <w:rsid w:val="7BA613DD"/>
    <w:rsid w:val="7D252299"/>
    <w:rsid w:val="7D6E08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1"/>
    <w:basedOn w:val="1"/>
    <w:next w:val="1"/>
    <w:link w:val="17"/>
    <w:qFormat/>
    <w:uiPriority w:val="0"/>
    <w:pPr>
      <w:spacing w:beforeAutospacing="0" w:afterAutospacing="0" w:line="560" w:lineRule="exact"/>
      <w:ind w:firstLine="372" w:firstLineChars="200"/>
      <w:jc w:val="left"/>
      <w:outlineLvl w:val="0"/>
    </w:pPr>
    <w:rPr>
      <w:rFonts w:hint="eastAsia" w:ascii="宋体" w:hAnsi="宋体" w:eastAsia="黑体" w:cs="宋体"/>
      <w:b/>
      <w:bCs/>
      <w:kern w:val="44"/>
      <w:sz w:val="32"/>
      <w:szCs w:val="48"/>
      <w:lang w:bidi="ar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Lines="0" w:beforeAutospacing="0" w:afterLines="0" w:afterAutospacing="0" w:line="560" w:lineRule="exact"/>
      <w:ind w:firstLine="643" w:firstLineChars="200"/>
      <w:outlineLvl w:val="1"/>
    </w:pPr>
    <w:rPr>
      <w:rFonts w:ascii="Arial" w:hAnsi="Arial" w:eastAsia="仿宋_GB2312"/>
      <w:b/>
      <w:sz w:val="32"/>
    </w:rPr>
  </w:style>
  <w:style w:type="paragraph" w:styleId="2">
    <w:name w:val="heading 5"/>
    <w:basedOn w:val="1"/>
    <w:next w:val="1"/>
    <w:unhideWhenUsed/>
    <w:qFormat/>
    <w:uiPriority w:val="9"/>
    <w:pPr>
      <w:outlineLvl w:val="4"/>
    </w:pPr>
    <w:rPr>
      <w:rFonts w:cs="Times New Roman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6">
    <w:name w:val="Body Text Indent"/>
    <w:basedOn w:val="1"/>
    <w:qFormat/>
    <w:uiPriority w:val="0"/>
    <w:pPr>
      <w:spacing w:line="580" w:lineRule="exact"/>
      <w:ind w:firstLine="600" w:firstLineChars="200"/>
    </w:pPr>
    <w:rPr>
      <w:rFonts w:ascii="Times" w:hAnsi="Times" w:eastAsia="方正仿宋_GBK"/>
      <w:sz w:val="30"/>
      <w:szCs w:val="24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toc 1"/>
    <w:basedOn w:val="1"/>
    <w:next w:val="1"/>
    <w:qFormat/>
    <w:uiPriority w:val="0"/>
  </w:style>
  <w:style w:type="paragraph" w:styleId="10">
    <w:name w:val="toc 2"/>
    <w:basedOn w:val="1"/>
    <w:next w:val="1"/>
    <w:qFormat/>
    <w:uiPriority w:val="0"/>
    <w:pPr>
      <w:ind w:left="420" w:leftChars="200"/>
    </w:p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spacing w:after="0"/>
      <w:ind w:firstLine="420" w:firstLineChars="200"/>
    </w:p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character" w:customStyle="1" w:styleId="17">
    <w:name w:val="标题 1 Char"/>
    <w:link w:val="3"/>
    <w:qFormat/>
    <w:uiPriority w:val="0"/>
    <w:rPr>
      <w:rFonts w:hint="eastAsia" w:ascii="宋体" w:hAnsi="宋体" w:eastAsia="黑体" w:cs="宋体"/>
      <w:b/>
      <w:bCs/>
      <w:kern w:val="44"/>
      <w:sz w:val="32"/>
      <w:szCs w:val="48"/>
      <w:lang w:bidi="ar"/>
    </w:rPr>
  </w:style>
  <w:style w:type="paragraph" w:customStyle="1" w:styleId="18">
    <w:name w:val="正文-公1"/>
    <w:basedOn w:val="1"/>
    <w:qFormat/>
    <w:uiPriority w:val="0"/>
    <w:pPr>
      <w:ind w:firstLine="200" w:firstLineChars="200"/>
    </w:pPr>
    <w:rPr>
      <w:rFonts w:eastAsia="宋体" w:cs="Calibri"/>
      <w:color w:val="00000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7e08fda6-f1c0-415d-8223-5ea0b4ad05c4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5E976D1F</paraID>
      <start>80</start>
      <end>85</end>
      <status>unmodified</status>
      <modifiedWord/>
      <trackRevisions>false</trackRevisions>
    </reviewItem>
    <reviewItem>
      <errorID>4bf794ae-8534-4fbb-a54b-2b142090e3e7</errorID>
      <errorWord>（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72D025A5</paraID>
      <start>128</start>
      <end>129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4b82c4d-044b-4e82-8181-ebbf506b06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1105</Words>
  <Characters>1129</Characters>
  <TotalTime>3</TotalTime>
  <ScaleCrop>false</ScaleCrop>
  <LinksUpToDate>false</LinksUpToDate>
  <CharactersWithSpaces>1130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2026-03-11T09:40:00Z</dcterms:created>
  <dc:creator>dddddd</dc:creator>
  <cp:lastModifiedBy>姚佩英</cp:lastModifiedBy>
  <dcterms:modified xsi:type="dcterms:W3CDTF">2026-04-01T01:40:51Z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2026-03-11T15:51:03Z</vt:filetime>
  </property>
  <property fmtid="{D5CDD505-2E9C-101B-9397-08002B2CF9AE}" pid="4" name="KSOTemplateDocerSaveRecord">
    <vt:lpwstr>eyJoZGlkIjoiOTNiNGMzOTE3ODFjMjkzMTUzYTg1ZWNmZDM1ZDZlM2EiLCJ1c2VySWQiOiIxNzIyNjEzNDEyIn0=</vt:lpwstr>
  </property>
  <property fmtid="{D5CDD505-2E9C-101B-9397-08002B2CF9AE}" pid="5" name="KSOProductBuildVer">
    <vt:lpwstr>2052-12.1.0.25225</vt:lpwstr>
  </property>
  <property fmtid="{D5CDD505-2E9C-101B-9397-08002B2CF9AE}" pid="6" name="ICV">
    <vt:lpwstr>CDC77EC45C5248C5AD3837926AB28F3D_12</vt:lpwstr>
  </property>
</Properties>
</file>