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4F650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  <w:t>《青阳县自然灾害救助应急预案</w:t>
      </w:r>
    </w:p>
    <w:p w14:paraId="75848BE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jc w:val="center"/>
        <w:textAlignment w:val="baseline"/>
        <w:rPr>
          <w:rFonts w:ascii="Arial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  <w:t>（</w:t>
      </w: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  <w:lang w:val="en-US" w:eastAsia="zh-CN"/>
        </w:rPr>
        <w:t>征求意见稿</w:t>
      </w:r>
      <w:r>
        <w:rPr>
          <w:rFonts w:hint="eastAsia" w:ascii="方正小标宋简体" w:hAnsi="方正小标宋简体" w:eastAsia="方正小标宋简体" w:cs="方正小标宋简体"/>
          <w:spacing w:val="11"/>
          <w:sz w:val="44"/>
          <w:szCs w:val="44"/>
        </w:rPr>
        <w:t>）》的修订说明</w:t>
      </w:r>
    </w:p>
    <w:p w14:paraId="2EEE687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</w:p>
    <w:p w14:paraId="2E719F3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</w:rPr>
        <w:t>为了做好全县防灾减灾救灾工作，完善应急预案体系，县应急局起草了《青阳县自然灾害救助应急预案（征求意见稿）》，现将相关情况说明如下：</w:t>
      </w:r>
    </w:p>
    <w:p w14:paraId="2141C342">
      <w:pPr>
        <w:spacing w:before="101" w:line="226" w:lineRule="auto"/>
        <w:ind w:left="648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一、</w:t>
      </w:r>
      <w:r>
        <w:rPr>
          <w:rFonts w:hint="eastAsia" w:ascii="黑体" w:hAnsi="黑体" w:eastAsia="黑体" w:cs="黑体"/>
          <w:spacing w:val="6"/>
          <w:sz w:val="31"/>
          <w:szCs w:val="31"/>
        </w:rPr>
        <w:t>修订背景和必要性</w:t>
      </w:r>
    </w:p>
    <w:p w14:paraId="4061865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</w:rPr>
        <w:t>自然灾害救助应急预案是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自然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灾害救助工作的重要指导性文件，预案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中应急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响应是拨付救灾资金的重要条件。2024年1月20日，国务院办公厅修订印发了《国家自然灾害救助应急预案》（国办函〔2024〕11号）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；</w:t>
      </w:r>
      <w:r>
        <w:rPr>
          <w:rFonts w:asci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年</w:t>
      </w:r>
      <w:r>
        <w:rPr>
          <w:rFonts w:ascii="仿宋_GB2312" w:eastAsia="仿宋_GB2312" w:cs="仿宋_GB2312"/>
          <w:color w:val="auto"/>
          <w:sz w:val="32"/>
          <w:szCs w:val="32"/>
        </w:rPr>
        <w:t>1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日，安徽省人民政府办公厅发布了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修订后的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《安徽省自然灾害救助应急预案》（皖政办秘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〔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202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  <w:lang w:val="en-US" w:eastAsia="zh-CN"/>
        </w:rPr>
        <w:t>5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〕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1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号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）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；</w:t>
      </w:r>
      <w:r>
        <w:rPr>
          <w:rFonts w:asci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日，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经市政府同意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池州市安全生产（防灾减灾救灾）委员会发布了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修订后的《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关于印发池州市自然灾害救助应急预案的通知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》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（池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安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〔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202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  <w:lang w:val="en-US" w:eastAsia="zh-CN"/>
        </w:rPr>
        <w:t>5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〕</w:t>
      </w:r>
      <w:r>
        <w:rPr>
          <w:rFonts w:ascii="仿宋_GB2312" w:hAnsi="Calibri" w:eastAsia="仿宋_GB2312" w:cs="仿宋_GB2312"/>
          <w:color w:val="auto"/>
          <w:kern w:val="2"/>
          <w:sz w:val="32"/>
          <w:szCs w:val="32"/>
        </w:rPr>
        <w:t>7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</w:rPr>
        <w:t>号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）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424F291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根据《突发事件应急预案管理办法》（国办发〔2024〕5号）有关应急预案评估、修订的规定，县级以上地方人民政府及其有关部门应急预案原则上每3年评估一次，当发生有关法律、法规、规章、标准、上位预案中的有关规定发生重大变化，应急指挥机构及其职责发生重大调整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等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情况，应当及时修订应急预案。</w:t>
      </w:r>
    </w:p>
    <w:p w14:paraId="7CFA75C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此前，我县于202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15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日印发了《青阳县自然灾害救助应急预案》（青政办秘〔2022〕68号）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县应急管理局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对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照省、市《预案》要求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并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结合我县实际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按照管用实用的原则认真组织修订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起草了《</w:t>
      </w:r>
      <w:r>
        <w:rPr>
          <w:rFonts w:hint="eastAsia" w:ascii="仿宋_GB2312" w:eastAsia="仿宋_GB2312" w:cs="方正仿宋_GBK"/>
          <w:color w:val="auto"/>
          <w:sz w:val="32"/>
          <w:szCs w:val="32"/>
          <w:lang w:val="en-US" w:eastAsia="zh-CN"/>
        </w:rPr>
        <w:t>青阳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自然灾害救助应急预案（</w:t>
      </w:r>
      <w:r>
        <w:rPr>
          <w:rFonts w:hint="eastAsia" w:eastAsia="仿宋_GB2312" w:cs="仿宋_GB2312"/>
          <w:color w:val="auto"/>
          <w:sz w:val="32"/>
          <w:szCs w:val="32"/>
          <w:lang w:val="en-US" w:eastAsia="zh-CN"/>
        </w:rPr>
        <w:t>征求意见稿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）》。</w:t>
      </w:r>
    </w:p>
    <w:p w14:paraId="775D194E">
      <w:pPr>
        <w:spacing w:before="231" w:line="227" w:lineRule="auto"/>
        <w:ind w:left="648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二、</w:t>
      </w:r>
      <w:r>
        <w:rPr>
          <w:rFonts w:hint="eastAsia" w:ascii="黑体" w:hAnsi="黑体" w:eastAsia="黑体" w:cs="黑体"/>
          <w:spacing w:val="7"/>
          <w:sz w:val="31"/>
          <w:szCs w:val="31"/>
        </w:rPr>
        <w:t>文件修订过程</w:t>
      </w:r>
    </w:p>
    <w:p w14:paraId="647C9859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《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青阳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eastAsia="zh-CN"/>
        </w:rPr>
        <w:t>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自然灾害救助应急预案（</w:t>
      </w:r>
      <w:r>
        <w:rPr>
          <w:rFonts w:hint="eastAsia" w:eastAsia="仿宋_GB2312" w:cs="仿宋_GB2312"/>
          <w:color w:val="auto"/>
          <w:sz w:val="32"/>
          <w:szCs w:val="32"/>
          <w:lang w:val="en-US" w:eastAsia="zh-CN"/>
        </w:rPr>
        <w:t>征求意见稿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）》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由青阳县应急管理局组织编制，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起草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过程大致为：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一是根据上级文件要求，认真组织修订，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结合我县自然灾害情况，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起草《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青阳县自然灾害救助应急预案（征求意见稿）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》（初稿）。二是向各乡镇和各有关单位征求意见，组织专家评审，对初稿内容进行了修改完善，现向社会公众征求意见建议。</w:t>
      </w:r>
    </w:p>
    <w:p w14:paraId="76D21D10">
      <w:pPr>
        <w:spacing w:before="232" w:line="227" w:lineRule="auto"/>
        <w:ind w:left="649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三、</w:t>
      </w:r>
      <w:r>
        <w:rPr>
          <w:rFonts w:hint="eastAsia" w:ascii="黑体" w:hAnsi="黑体" w:eastAsia="黑体" w:cs="黑体"/>
          <w:spacing w:val="7"/>
          <w:sz w:val="31"/>
          <w:szCs w:val="31"/>
        </w:rPr>
        <w:t>主要内容和特点</w:t>
      </w:r>
    </w:p>
    <w:p w14:paraId="3EE9F31C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" w:eastAsia="仿宋_GB2312" w:cs="仿宋"/>
          <w:b w:val="0"/>
          <w:bCs/>
          <w:color w:val="auto"/>
          <w:sz w:val="32"/>
          <w:szCs w:val="32"/>
          <w:lang w:val="en-US"/>
        </w:rPr>
      </w:pPr>
      <w:r>
        <w:rPr>
          <w:rFonts w:hint="eastAsia" w:ascii="仿宋_GB2312" w:hAnsi="仿宋" w:eastAsia="仿宋_GB2312" w:cs="仿宋"/>
          <w:b w:val="0"/>
          <w:bCs/>
          <w:color w:val="auto"/>
          <w:sz w:val="32"/>
          <w:szCs w:val="32"/>
          <w:lang w:val="en-US" w:eastAsia="zh-CN"/>
        </w:rPr>
        <w:t>本预案参照省、市相关预案体例，结合我县实际工作实际编制而成，正文共设总则、组织指挥体系、灾害救助准备、灾情信息报告和发布、分级响应、灾后救助及恢复重建、保障措施、附则、附件9个部分，主要有以下特点</w:t>
      </w:r>
      <w:bookmarkStart w:id="0" w:name="_GoBack"/>
      <w:bookmarkEnd w:id="0"/>
      <w:r>
        <w:rPr>
          <w:rFonts w:hint="eastAsia" w:ascii="仿宋_GB2312" w:hAnsi="仿宋" w:eastAsia="仿宋_GB2312" w:cs="仿宋"/>
          <w:b w:val="0"/>
          <w:bCs/>
          <w:color w:val="auto"/>
          <w:sz w:val="32"/>
          <w:szCs w:val="32"/>
          <w:lang w:val="en-US" w:eastAsia="zh-CN"/>
        </w:rPr>
        <w:t>：</w:t>
      </w:r>
    </w:p>
    <w:p w14:paraId="6C7707B2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hAnsi="Times New Roman" w:eastAsia="仿宋_GB2312" w:cs="Times New Roman"/>
          <w:b w:val="0"/>
          <w:bCs/>
          <w:color w:val="auto"/>
          <w:sz w:val="36"/>
          <w:szCs w:val="36"/>
          <w:lang w:eastAsia="zh-CN"/>
        </w:rPr>
      </w:pPr>
      <w:r>
        <w:rPr>
          <w:rFonts w:hint="eastAsia" w:ascii="仿宋_GB2312" w:hAnsi="Times New Roman" w:eastAsia="仿宋_GB2312" w:cs="方正楷体_GBK"/>
          <w:b/>
          <w:bCs w:val="0"/>
          <w:color w:val="auto"/>
          <w:sz w:val="32"/>
          <w:szCs w:val="32"/>
        </w:rPr>
        <w:t>一是优化响应分级标准。</w:t>
      </w:r>
      <w:r>
        <w:rPr>
          <w:rFonts w:hint="eastAsia" w:ascii="仿宋_GB2312" w:hAnsi="Times New Roman" w:eastAsia="仿宋_GB2312" w:cs="方正楷体_GBK"/>
          <w:b w:val="0"/>
          <w:bCs/>
          <w:color w:val="auto"/>
          <w:sz w:val="32"/>
          <w:szCs w:val="32"/>
        </w:rPr>
        <w:t>结合</w:t>
      </w:r>
      <w:r>
        <w:rPr>
          <w:rFonts w:hint="eastAsia" w:ascii="仿宋_GB2312" w:hAnsi="Times New Roman" w:eastAsia="仿宋_GB2312" w:cs="方正楷体_GBK"/>
          <w:b w:val="0"/>
          <w:bCs/>
          <w:color w:val="auto"/>
          <w:sz w:val="32"/>
          <w:szCs w:val="32"/>
          <w:lang w:eastAsia="zh-CN"/>
        </w:rPr>
        <w:t>我</w:t>
      </w:r>
      <w:r>
        <w:rPr>
          <w:rFonts w:hint="eastAsia" w:ascii="仿宋_GB2312" w:hAnsi="Times New Roman" w:eastAsia="仿宋_GB2312" w:cs="方正楷体_GBK"/>
          <w:b w:val="0"/>
          <w:bCs/>
          <w:color w:val="auto"/>
          <w:sz w:val="32"/>
          <w:szCs w:val="32"/>
          <w:lang w:val="en-US" w:eastAsia="zh-CN"/>
        </w:rPr>
        <w:t>县</w:t>
      </w:r>
      <w:r>
        <w:rPr>
          <w:rFonts w:hint="eastAsia" w:ascii="仿宋_GB2312" w:hAnsi="Times New Roman" w:eastAsia="仿宋_GB2312" w:cs="方正楷体_GBK"/>
          <w:b w:val="0"/>
          <w:bCs/>
          <w:color w:val="auto"/>
          <w:sz w:val="32"/>
          <w:szCs w:val="32"/>
        </w:rPr>
        <w:t>灾害特点和救助能力，合理调整</w:t>
      </w:r>
      <w:r>
        <w:rPr>
          <w:rFonts w:hint="eastAsia" w:ascii="仿宋_GB2312" w:hAnsi="Times New Roman" w:eastAsia="仿宋_GB2312" w:cs="方正楷体_GBK"/>
          <w:b w:val="0"/>
          <w:bCs/>
          <w:color w:val="auto"/>
          <w:sz w:val="32"/>
          <w:szCs w:val="32"/>
          <w:lang w:val="en-US" w:eastAsia="zh-CN"/>
        </w:rPr>
        <w:t>一</w:t>
      </w:r>
      <w:r>
        <w:rPr>
          <w:rFonts w:hint="eastAsia" w:ascii="仿宋_GB2312" w:hAnsi="Times New Roman" w:eastAsia="仿宋_GB2312" w:cs="方正楷体_GBK"/>
          <w:b w:val="0"/>
          <w:bCs/>
          <w:color w:val="auto"/>
          <w:sz w:val="32"/>
          <w:szCs w:val="32"/>
        </w:rPr>
        <w:t>至</w:t>
      </w:r>
      <w:r>
        <w:rPr>
          <w:rFonts w:hint="eastAsia" w:ascii="仿宋_GB2312" w:hAnsi="Times New Roman" w:eastAsia="仿宋_GB2312" w:cs="方正楷体_GBK"/>
          <w:b w:val="0"/>
          <w:bCs/>
          <w:color w:val="auto"/>
          <w:sz w:val="32"/>
          <w:szCs w:val="32"/>
          <w:lang w:val="en-US" w:eastAsia="zh-CN"/>
        </w:rPr>
        <w:t>四</w:t>
      </w:r>
      <w:r>
        <w:rPr>
          <w:rFonts w:hint="eastAsia" w:ascii="仿宋_GB2312" w:hAnsi="Times New Roman" w:eastAsia="仿宋_GB2312" w:cs="方正楷体_GBK"/>
          <w:b w:val="0"/>
          <w:bCs/>
          <w:color w:val="auto"/>
          <w:sz w:val="32"/>
          <w:szCs w:val="32"/>
        </w:rPr>
        <w:t>级响应的启动条件，增强响应标准的科学性和适用性</w:t>
      </w:r>
      <w:r>
        <w:rPr>
          <w:rFonts w:hint="eastAsia" w:ascii="仿宋_GB2312" w:hAnsi="Times New Roman" w:eastAsia="仿宋_GB2312" w:cs="方正楷体_GBK"/>
          <w:b w:val="0"/>
          <w:bCs/>
          <w:color w:val="auto"/>
          <w:sz w:val="32"/>
          <w:szCs w:val="32"/>
          <w:lang w:eastAsia="zh-CN"/>
        </w:rPr>
        <w:t>。</w:t>
      </w:r>
    </w:p>
    <w:p w14:paraId="5719EF0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eastAsia="仿宋_GB2312" w:cs="方正仿宋_GBK"/>
          <w:b w:val="0"/>
          <w:bCs/>
          <w:dstrike/>
          <w:color w:val="auto"/>
          <w:sz w:val="32"/>
          <w:szCs w:val="32"/>
        </w:rPr>
      </w:pPr>
      <w:r>
        <w:rPr>
          <w:rFonts w:hint="eastAsia" w:ascii="仿宋_GB2312" w:eastAsia="仿宋_GB2312" w:cs="方正楷体_GBK"/>
          <w:b/>
          <w:bCs w:val="0"/>
          <w:color w:val="auto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 w:cs="方正楷体_GBK"/>
          <w:b/>
          <w:bCs w:val="0"/>
          <w:color w:val="auto"/>
          <w:sz w:val="32"/>
          <w:szCs w:val="32"/>
        </w:rPr>
        <w:t>是增加过硬举措。</w:t>
      </w:r>
      <w:r>
        <w:rPr>
          <w:rFonts w:hint="eastAsia" w:ascii="仿宋_GB2312" w:eastAsia="仿宋_GB2312" w:cs="方正仿宋_GBK"/>
          <w:b w:val="0"/>
          <w:bCs/>
          <w:color w:val="auto"/>
          <w:sz w:val="32"/>
          <w:szCs w:val="32"/>
        </w:rPr>
        <w:t>增加了“五停”措施和“五断”准备：明确必要时采取停课、停工、停产、停运、停业等应对措施，做好断水、断电、断网、断路、断气等极端情况应急准备。</w:t>
      </w:r>
    </w:p>
    <w:p w14:paraId="01E42CF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楷体_GBK"/>
          <w:b/>
          <w:bCs w:val="0"/>
          <w:color w:val="auto"/>
          <w:sz w:val="32"/>
          <w:szCs w:val="32"/>
          <w:lang w:val="en-US" w:eastAsia="zh-CN"/>
        </w:rPr>
        <w:t>三</w:t>
      </w:r>
      <w:r>
        <w:rPr>
          <w:rFonts w:hint="eastAsia" w:ascii="仿宋_GB2312" w:eastAsia="仿宋_GB2312" w:cs="方正楷体_GBK"/>
          <w:b/>
          <w:bCs w:val="0"/>
          <w:color w:val="auto"/>
          <w:sz w:val="32"/>
          <w:szCs w:val="32"/>
        </w:rPr>
        <w:t>是操作灵活有度。</w:t>
      </w:r>
      <w:r>
        <w:rPr>
          <w:rFonts w:hint="eastAsia" w:ascii="仿宋_GB2312" w:eastAsia="仿宋_GB2312" w:cs="方正仿宋_GBK"/>
          <w:b w:val="0"/>
          <w:bCs/>
          <w:color w:val="auto"/>
          <w:sz w:val="32"/>
          <w:szCs w:val="32"/>
        </w:rPr>
        <w:t>预案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规定，特殊情况下响应标准还可酌情调整；发生重特大自然灾害，可根据专项预案应急响应，视情同步启动救助应急响应。增加了响应启动的灵活性和衔接性，较</w:t>
      </w:r>
      <w:r>
        <w:rPr>
          <w:rFonts w:hint="eastAsia" w:ascii="仿宋_GB2312" w:eastAsia="仿宋_GB2312" w:cs="方正仿宋_GBK"/>
          <w:color w:val="auto"/>
          <w:sz w:val="32"/>
          <w:szCs w:val="32"/>
          <w:lang w:eastAsia="zh-CN"/>
        </w:rPr>
        <w:t>好地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处理了救灾预案和洪涝、地震等专项预案的关系。</w:t>
      </w:r>
    </w:p>
    <w:p w14:paraId="0D5E8680">
      <w:pPr>
        <w:rPr>
          <w:rFonts w:ascii="Arial"/>
          <w:sz w:val="21"/>
        </w:rPr>
      </w:pPr>
    </w:p>
    <w:sectPr>
      <w:headerReference r:id="rId5" w:type="default"/>
      <w:footerReference r:id="rId6" w:type="default"/>
      <w:pgSz w:w="11906" w:h="16838"/>
      <w:pgMar w:top="2098" w:right="1474" w:bottom="1984" w:left="1587" w:header="0" w:footer="1644" w:gutter="0"/>
      <w:pgNumType w:fmt="numberInDash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0350E441-1DA7-4C6B-BB00-F4D7009F623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5CA5BB6-295E-45BD-98DE-394040DCD1C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A990FB12-6964-46E5-8208-2F8C1387A52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F8636F55-E460-4EA1-82AC-B16ABF464D6D}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3351844C-081D-45F6-A4A3-160343C6ACFC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6" w:fontKey="{F9C33D46-A3C3-4921-8D8E-B9928DBC956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7" w:fontKey="{E7C200D6-70FC-4406-A21A-B4460C48EF6D}"/>
  </w:font>
  <w:font w:name="方正楷体_GBK">
    <w:panose1 w:val="02000000000000000000"/>
    <w:charset w:val="86"/>
    <w:family w:val="script"/>
    <w:pitch w:val="default"/>
    <w:sig w:usb0="800002BF" w:usb1="38CF7CFA" w:usb2="00000016" w:usb3="00000000" w:csb0="00040000" w:csb1="00000000"/>
    <w:embedRegular r:id="rId8" w:fontKey="{C3094563-9FA5-4A57-A24A-16E543487089}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  <w:embedRegular r:id="rId9" w:fontKey="{A0A5D5CF-452D-4F55-B9CA-8F77EAD5E0DE}"/>
  </w:font>
  <w:font w:name="WPSEMBED15">
    <w:panose1 w:val="02000000000000000000"/>
    <w:charset w:val="86"/>
    <w:family w:val="auto"/>
    <w:pitch w:val="default"/>
    <w:sig w:usb0="800002BF" w:usb1="38C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CEE8F2">
    <w:pPr>
      <w:spacing w:before="1" w:line="233" w:lineRule="auto"/>
      <w:ind w:right="25"/>
      <w:jc w:val="right"/>
      <w:rPr>
        <w:rFonts w:ascii="新宋体" w:hAnsi="新宋体" w:eastAsia="新宋体" w:cs="新宋体"/>
        <w:spacing w:val="-2"/>
        <w:sz w:val="28"/>
        <w:szCs w:val="28"/>
      </w:rPr>
    </w:pPr>
    <w:r>
      <w:rPr>
        <w:rFonts w:ascii="新宋体" w:hAnsi="新宋体" w:eastAsia="新宋体" w:cs="新宋体"/>
        <w:spacing w:val="-2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7156B9">
                          <w:pPr>
                            <w:spacing w:before="1" w:line="233" w:lineRule="auto"/>
                            <w:ind w:right="25"/>
                            <w:jc w:val="right"/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新宋体" w:hAnsi="新宋体" w:eastAsia="新宋体" w:cs="新宋体"/>
                              <w:spacing w:val="-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7156B9">
                    <w:pPr>
                      <w:spacing w:before="1" w:line="233" w:lineRule="auto"/>
                      <w:ind w:right="25"/>
                      <w:jc w:val="right"/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</w:pP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新宋体" w:hAnsi="新宋体" w:eastAsia="新宋体" w:cs="新宋体"/>
                        <w:spacing w:val="-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9958BF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093D7F"/>
    <w:rsid w:val="01D2366A"/>
    <w:rsid w:val="043D4F04"/>
    <w:rsid w:val="04A647CA"/>
    <w:rsid w:val="05663F59"/>
    <w:rsid w:val="05A131E3"/>
    <w:rsid w:val="0A211347"/>
    <w:rsid w:val="0B324867"/>
    <w:rsid w:val="12217B86"/>
    <w:rsid w:val="150D619F"/>
    <w:rsid w:val="1ECB3353"/>
    <w:rsid w:val="2550753F"/>
    <w:rsid w:val="27F37477"/>
    <w:rsid w:val="27FC13A7"/>
    <w:rsid w:val="28657B53"/>
    <w:rsid w:val="2DF2421D"/>
    <w:rsid w:val="2FE50F59"/>
    <w:rsid w:val="35971A38"/>
    <w:rsid w:val="368E78A4"/>
    <w:rsid w:val="391F5588"/>
    <w:rsid w:val="3A1E15E9"/>
    <w:rsid w:val="3B0000FA"/>
    <w:rsid w:val="3B1B2B15"/>
    <w:rsid w:val="3B390EFB"/>
    <w:rsid w:val="449000D0"/>
    <w:rsid w:val="45EC57D9"/>
    <w:rsid w:val="49BF33F1"/>
    <w:rsid w:val="4B6F2660"/>
    <w:rsid w:val="4C176F4A"/>
    <w:rsid w:val="5AF77E50"/>
    <w:rsid w:val="5E3E4C2D"/>
    <w:rsid w:val="614D5EC2"/>
    <w:rsid w:val="645C17EF"/>
    <w:rsid w:val="691724F7"/>
    <w:rsid w:val="6AF30659"/>
    <w:rsid w:val="6CD34FEE"/>
    <w:rsid w:val="70AF3CC9"/>
    <w:rsid w:val="7A74136B"/>
    <w:rsid w:val="7B5C1499"/>
    <w:rsid w:val="7BD77DB7"/>
    <w:rsid w:val="7D6E08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1"/>
    <w:basedOn w:val="1"/>
    <w:next w:val="1"/>
    <w:link w:val="17"/>
    <w:qFormat/>
    <w:uiPriority w:val="0"/>
    <w:pPr>
      <w:spacing w:beforeAutospacing="0" w:afterAutospacing="0" w:line="560" w:lineRule="exact"/>
      <w:ind w:firstLine="372" w:firstLineChars="200"/>
      <w:jc w:val="left"/>
      <w:outlineLvl w:val="0"/>
    </w:pPr>
    <w:rPr>
      <w:rFonts w:hint="eastAsia" w:ascii="宋体" w:hAnsi="宋体" w:eastAsia="黑体" w:cs="宋体"/>
      <w:b/>
      <w:bCs/>
      <w:kern w:val="44"/>
      <w:sz w:val="32"/>
      <w:szCs w:val="48"/>
      <w:lang w:bidi="ar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Lines="0" w:beforeAutospacing="0" w:afterLines="0" w:afterAutospacing="0" w:line="560" w:lineRule="exact"/>
      <w:ind w:firstLine="643" w:firstLineChars="200"/>
      <w:outlineLvl w:val="1"/>
    </w:pPr>
    <w:rPr>
      <w:rFonts w:ascii="Arial" w:hAnsi="Arial" w:eastAsia="仿宋_GB2312"/>
      <w:b/>
      <w:sz w:val="32"/>
    </w:rPr>
  </w:style>
  <w:style w:type="paragraph" w:styleId="2">
    <w:name w:val="heading 5"/>
    <w:basedOn w:val="1"/>
    <w:next w:val="1"/>
    <w:unhideWhenUsed/>
    <w:qFormat/>
    <w:uiPriority w:val="9"/>
    <w:pPr>
      <w:outlineLvl w:val="4"/>
    </w:pPr>
    <w:rPr>
      <w:rFonts w:cs="Times New Roman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6">
    <w:name w:val="Body Text Indent"/>
    <w:basedOn w:val="1"/>
    <w:qFormat/>
    <w:uiPriority w:val="0"/>
    <w:pPr>
      <w:spacing w:line="580" w:lineRule="exact"/>
      <w:ind w:firstLine="600" w:firstLineChars="200"/>
    </w:pPr>
    <w:rPr>
      <w:rFonts w:ascii="Times" w:hAnsi="Times" w:eastAsia="方正仿宋_GBK"/>
      <w:sz w:val="30"/>
      <w:szCs w:val="24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toc 1"/>
    <w:basedOn w:val="1"/>
    <w:next w:val="1"/>
    <w:qFormat/>
    <w:uiPriority w:val="0"/>
  </w:style>
  <w:style w:type="paragraph" w:styleId="10">
    <w:name w:val="toc 2"/>
    <w:basedOn w:val="1"/>
    <w:next w:val="1"/>
    <w:qFormat/>
    <w:uiPriority w:val="0"/>
    <w:pPr>
      <w:ind w:left="420" w:leftChars="200"/>
    </w:p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spacing w:after="0"/>
      <w:ind w:firstLine="420" w:firstLineChars="200"/>
    </w:p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character" w:customStyle="1" w:styleId="17">
    <w:name w:val="标题 1 Char"/>
    <w:link w:val="3"/>
    <w:qFormat/>
    <w:uiPriority w:val="0"/>
    <w:rPr>
      <w:rFonts w:hint="eastAsia" w:ascii="宋体" w:hAnsi="宋体" w:eastAsia="黑体" w:cs="宋体"/>
      <w:b/>
      <w:bCs/>
      <w:kern w:val="44"/>
      <w:sz w:val="32"/>
      <w:szCs w:val="48"/>
      <w:lang w:bidi="ar"/>
    </w:rPr>
  </w:style>
  <w:style w:type="paragraph" w:customStyle="1" w:styleId="18">
    <w:name w:val="正文-公1"/>
    <w:basedOn w:val="1"/>
    <w:qFormat/>
    <w:uiPriority w:val="0"/>
    <w:pPr>
      <w:ind w:firstLine="200" w:firstLineChars="200"/>
    </w:pPr>
    <w:rPr>
      <w:rFonts w:eastAsia="宋体" w:cs="Calibri"/>
      <w:color w:val="00000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f36f0969-91fa-4777-a73a-c1b117d60379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424F291E</paraID>
      <start>80</start>
      <end>85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ec670ff-ffc5-4427-ae21-e4e4c99d17c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1065</Words>
  <Characters>1097</Characters>
  <TotalTime>12</TotalTime>
  <ScaleCrop>false</ScaleCrop>
  <LinksUpToDate>false</LinksUpToDate>
  <CharactersWithSpaces>1098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2026-03-11T09:40:00Z</dcterms:created>
  <dc:creator>dddddd</dc:creator>
  <cp:lastModifiedBy>姚佩英</cp:lastModifiedBy>
  <dcterms:modified xsi:type="dcterms:W3CDTF">2026-04-01T01:40:34Z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2026-03-11T15:51:03Z</vt:filetime>
  </property>
  <property fmtid="{D5CDD505-2E9C-101B-9397-08002B2CF9AE}" pid="4" name="KSOTemplateDocerSaveRecord">
    <vt:lpwstr>eyJoZGlkIjoiOTNiNGMzOTE3ODFjMjkzMTUzYTg1ZWNmZDM1ZDZlM2EiLCJ1c2VySWQiOiIxNzIyNjEzNDEyIn0=</vt:lpwstr>
  </property>
  <property fmtid="{D5CDD505-2E9C-101B-9397-08002B2CF9AE}" pid="5" name="KSOProductBuildVer">
    <vt:lpwstr>2052-12.1.0.25225</vt:lpwstr>
  </property>
  <property fmtid="{D5CDD505-2E9C-101B-9397-08002B2CF9AE}" pid="6" name="ICV">
    <vt:lpwstr>CDC77EC45C5248C5AD3837926AB28F3D_12</vt:lpwstr>
  </property>
</Properties>
</file>